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06AD24" wp14:editId="062D26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Pr="0088753C" w:rsidRDefault="00F920F5" w:rsidP="00F92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Pr="0088753C">
        <w:rPr>
          <w:rFonts w:ascii="Arial" w:hAnsi="Arial" w:cs="Arial"/>
          <w:b/>
          <w:sz w:val="32"/>
          <w:szCs w:val="32"/>
        </w:rPr>
        <w:t>Meeting</w:t>
      </w:r>
    </w:p>
    <w:p w:rsidR="00F920F5" w:rsidRDefault="0057671F" w:rsidP="00F9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:rsidR="0057671F" w:rsidRDefault="0057671F" w:rsidP="00F9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03/09/2018</w:t>
      </w:r>
    </w:p>
    <w:p w:rsidR="0057671F" w:rsidRDefault="0057671F" w:rsidP="00F9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KCH Executive meeting </w:t>
      </w:r>
      <w:r w:rsidRPr="0057671F">
        <w:rPr>
          <w:rFonts w:ascii="Arial" w:hAnsi="Arial" w:cs="Arial"/>
          <w:b/>
          <w:sz w:val="24"/>
          <w:szCs w:val="24"/>
        </w:rPr>
        <w:t xml:space="preserve">room, </w:t>
      </w:r>
      <w:r>
        <w:rPr>
          <w:rFonts w:ascii="Arial" w:hAnsi="Arial" w:cs="Arial"/>
          <w:b/>
          <w:sz w:val="24"/>
          <w:szCs w:val="24"/>
        </w:rPr>
        <w:t>QEQM, WHH Endoscopy seminar room</w:t>
      </w:r>
    </w:p>
    <w:p w:rsidR="0057671F" w:rsidRDefault="0057671F" w:rsidP="00F9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Diversity and Inclusion office (QEQM)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825"/>
        <w:gridCol w:w="1337"/>
      </w:tblGrid>
      <w:tr w:rsidR="0057671F" w:rsidTr="000A2289">
        <w:tc>
          <w:tcPr>
            <w:tcW w:w="3080" w:type="dxa"/>
          </w:tcPr>
          <w:p w:rsidR="0057671F" w:rsidRDefault="0057671F" w:rsidP="00F920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4825" w:type="dxa"/>
          </w:tcPr>
          <w:p w:rsidR="0057671F" w:rsidRDefault="0057671F" w:rsidP="00F920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7671F" w:rsidRDefault="0057671F" w:rsidP="00F920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671F" w:rsidTr="000A2289">
        <w:tc>
          <w:tcPr>
            <w:tcW w:w="3080" w:type="dxa"/>
          </w:tcPr>
          <w:p w:rsidR="0057671F" w:rsidRDefault="0057671F" w:rsidP="000A2289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Bruce Campion-Smith</w:t>
            </w:r>
          </w:p>
        </w:tc>
        <w:tc>
          <w:tcPr>
            <w:tcW w:w="4825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Head of Diversity &amp; Inclusion</w:t>
            </w:r>
          </w:p>
        </w:tc>
        <w:tc>
          <w:tcPr>
            <w:tcW w:w="1337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BCS</w:t>
            </w:r>
          </w:p>
        </w:tc>
      </w:tr>
      <w:tr w:rsidR="0057671F" w:rsidTr="000A2289">
        <w:tc>
          <w:tcPr>
            <w:tcW w:w="3080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Susan Abbott</w:t>
            </w:r>
          </w:p>
        </w:tc>
        <w:tc>
          <w:tcPr>
            <w:tcW w:w="4825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Diversity &amp; Inclusions Officer</w:t>
            </w:r>
          </w:p>
        </w:tc>
        <w:tc>
          <w:tcPr>
            <w:tcW w:w="1337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SA1</w:t>
            </w:r>
          </w:p>
        </w:tc>
      </w:tr>
      <w:tr w:rsidR="0057671F" w:rsidTr="000A2289">
        <w:tc>
          <w:tcPr>
            <w:tcW w:w="3080" w:type="dxa"/>
          </w:tcPr>
          <w:p w:rsidR="0057671F" w:rsidRDefault="0057671F" w:rsidP="003F77A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Ferenc Inkovics</w:t>
            </w:r>
          </w:p>
        </w:tc>
        <w:tc>
          <w:tcPr>
            <w:tcW w:w="4825" w:type="dxa"/>
          </w:tcPr>
          <w:p w:rsidR="0057671F" w:rsidRDefault="0057671F" w:rsidP="003F77A7">
            <w:pPr>
              <w:tabs>
                <w:tab w:val="left" w:pos="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Deputy Head of IT Service Delivery</w:t>
            </w:r>
          </w:p>
        </w:tc>
        <w:tc>
          <w:tcPr>
            <w:tcW w:w="1337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</w:t>
            </w:r>
          </w:p>
        </w:tc>
      </w:tr>
      <w:tr w:rsidR="0057671F" w:rsidTr="000A2289">
        <w:tc>
          <w:tcPr>
            <w:tcW w:w="3080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Umesh Rastogi</w:t>
            </w:r>
          </w:p>
        </w:tc>
        <w:tc>
          <w:tcPr>
            <w:tcW w:w="4825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Speciality Doctor (Anaesthetics)</w:t>
            </w:r>
          </w:p>
        </w:tc>
        <w:tc>
          <w:tcPr>
            <w:tcW w:w="1337" w:type="dxa"/>
          </w:tcPr>
          <w:p w:rsidR="0057671F" w:rsidRDefault="0057671F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</w:t>
            </w:r>
          </w:p>
        </w:tc>
      </w:tr>
      <w:tr w:rsidR="0057671F" w:rsidTr="000A2289">
        <w:tc>
          <w:tcPr>
            <w:tcW w:w="3080" w:type="dxa"/>
          </w:tcPr>
          <w:p w:rsidR="0057671F" w:rsidRDefault="0057671F" w:rsidP="000A2289">
            <w:pPr>
              <w:tabs>
                <w:tab w:val="left" w:pos="6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7671F">
              <w:rPr>
                <w:rFonts w:ascii="Arial" w:hAnsi="Arial" w:cs="Arial"/>
                <w:b/>
                <w:sz w:val="24"/>
                <w:szCs w:val="24"/>
              </w:rPr>
              <w:t>Ananth Rajagopalan</w:t>
            </w:r>
          </w:p>
        </w:tc>
        <w:tc>
          <w:tcPr>
            <w:tcW w:w="4825" w:type="dxa"/>
          </w:tcPr>
          <w:p w:rsidR="0057671F" w:rsidRDefault="009F4D5D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Dr neurology</w:t>
            </w:r>
          </w:p>
        </w:tc>
        <w:tc>
          <w:tcPr>
            <w:tcW w:w="1337" w:type="dxa"/>
          </w:tcPr>
          <w:p w:rsidR="0057671F" w:rsidRDefault="009F4D5D" w:rsidP="000A2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</w:p>
        </w:tc>
      </w:tr>
      <w:tr w:rsidR="0057671F" w:rsidTr="000A2289">
        <w:tc>
          <w:tcPr>
            <w:tcW w:w="3080" w:type="dxa"/>
          </w:tcPr>
          <w:p w:rsidR="0057671F" w:rsidRDefault="00700290" w:rsidP="0070029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0290">
              <w:rPr>
                <w:rFonts w:ascii="Arial" w:hAnsi="Arial" w:cs="Arial"/>
                <w:b/>
                <w:sz w:val="24"/>
                <w:szCs w:val="24"/>
              </w:rPr>
              <w:t>Dr.</w:t>
            </w:r>
            <w:proofErr w:type="spellEnd"/>
            <w:r w:rsidRPr="00700290">
              <w:rPr>
                <w:rFonts w:ascii="Arial" w:hAnsi="Arial" w:cs="Arial"/>
                <w:b/>
                <w:sz w:val="24"/>
                <w:szCs w:val="24"/>
              </w:rPr>
              <w:t xml:space="preserve"> Kamal El-Rashid</w:t>
            </w:r>
          </w:p>
        </w:tc>
        <w:tc>
          <w:tcPr>
            <w:tcW w:w="4825" w:type="dxa"/>
          </w:tcPr>
          <w:p w:rsidR="0057671F" w:rsidRDefault="00700290" w:rsidP="00700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290">
              <w:rPr>
                <w:rFonts w:ascii="Arial" w:hAnsi="Arial" w:cs="Arial"/>
                <w:b/>
                <w:sz w:val="24"/>
                <w:szCs w:val="24"/>
              </w:rPr>
              <w:t>Doctor, VASCULAR</w:t>
            </w:r>
          </w:p>
        </w:tc>
        <w:tc>
          <w:tcPr>
            <w:tcW w:w="1337" w:type="dxa"/>
          </w:tcPr>
          <w:p w:rsidR="0057671F" w:rsidRDefault="00700290" w:rsidP="00700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</w:t>
            </w:r>
          </w:p>
        </w:tc>
      </w:tr>
      <w:tr w:rsidR="003F77A7" w:rsidTr="00CE7F20">
        <w:tc>
          <w:tcPr>
            <w:tcW w:w="3080" w:type="dxa"/>
          </w:tcPr>
          <w:p w:rsidR="003F77A7" w:rsidRDefault="003F77A7" w:rsidP="003F7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703">
              <w:rPr>
                <w:rFonts w:ascii="Arial" w:hAnsi="Arial" w:cs="Arial"/>
                <w:b/>
                <w:sz w:val="24"/>
                <w:szCs w:val="24"/>
              </w:rPr>
              <w:t>Yvonne Davis</w:t>
            </w:r>
          </w:p>
        </w:tc>
        <w:tc>
          <w:tcPr>
            <w:tcW w:w="4825" w:type="dxa"/>
          </w:tcPr>
          <w:p w:rsidR="003F77A7" w:rsidRDefault="003F77A7" w:rsidP="00CE7F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Ward Manager ICU, WHH</w:t>
            </w:r>
          </w:p>
        </w:tc>
        <w:tc>
          <w:tcPr>
            <w:tcW w:w="1337" w:type="dxa"/>
          </w:tcPr>
          <w:p w:rsidR="003F77A7" w:rsidRDefault="003F77A7" w:rsidP="00CE7F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YD</w:t>
            </w:r>
          </w:p>
        </w:tc>
      </w:tr>
      <w:tr w:rsidR="00032596" w:rsidTr="00CE7F20">
        <w:tc>
          <w:tcPr>
            <w:tcW w:w="3080" w:type="dxa"/>
          </w:tcPr>
          <w:p w:rsidR="00032596" w:rsidRPr="00824703" w:rsidRDefault="00032596" w:rsidP="00032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Brita J</w:t>
            </w:r>
            <w:r w:rsidRPr="00032596">
              <w:rPr>
                <w:rFonts w:ascii="Arial" w:hAnsi="Arial" w:cs="Arial"/>
                <w:b/>
                <w:sz w:val="24"/>
                <w:szCs w:val="24"/>
              </w:rPr>
              <w:t>oseph</w:t>
            </w:r>
          </w:p>
        </w:tc>
        <w:tc>
          <w:tcPr>
            <w:tcW w:w="4825" w:type="dxa"/>
          </w:tcPr>
          <w:p w:rsidR="00032596" w:rsidRDefault="00032596" w:rsidP="00CE7F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Qualified Nurse ICU</w:t>
            </w:r>
          </w:p>
        </w:tc>
        <w:tc>
          <w:tcPr>
            <w:tcW w:w="1337" w:type="dxa"/>
          </w:tcPr>
          <w:p w:rsidR="00032596" w:rsidRDefault="00032596" w:rsidP="00CE7F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BJ</w:t>
            </w:r>
          </w:p>
        </w:tc>
      </w:tr>
    </w:tbl>
    <w:p w:rsidR="003F77A7" w:rsidRDefault="003F77A7" w:rsidP="003F77A7">
      <w:pPr>
        <w:jc w:val="center"/>
        <w:rPr>
          <w:rFonts w:ascii="Arial" w:hAnsi="Arial" w:cs="Arial"/>
          <w:b/>
          <w:sz w:val="24"/>
          <w:szCs w:val="24"/>
        </w:rPr>
      </w:pPr>
    </w:p>
    <w:p w:rsidR="00F920F5" w:rsidRPr="0088753C" w:rsidRDefault="00F920F5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F920F5" w:rsidRDefault="003F77A7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Yvonne Davi</w:t>
            </w:r>
            <w:r w:rsidR="00824703" w:rsidRPr="0082470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24703">
              <w:rPr>
                <w:rFonts w:ascii="Arial" w:hAnsi="Arial" w:cs="Arial"/>
                <w:b/>
                <w:sz w:val="24"/>
                <w:szCs w:val="24"/>
              </w:rPr>
              <w:t xml:space="preserve"> ( deputy)</w:t>
            </w: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920F5" w:rsidRDefault="00824703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703">
              <w:rPr>
                <w:rFonts w:ascii="Arial" w:hAnsi="Arial" w:cs="Arial"/>
                <w:b/>
                <w:sz w:val="24"/>
                <w:szCs w:val="24"/>
              </w:rPr>
              <w:t>Chinekwu (Chi) Davies</w:t>
            </w:r>
          </w:p>
          <w:p w:rsidR="00824703" w:rsidRDefault="00824703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703">
              <w:rPr>
                <w:rFonts w:ascii="Arial" w:hAnsi="Arial" w:cs="Arial"/>
                <w:b/>
                <w:sz w:val="24"/>
                <w:szCs w:val="24"/>
              </w:rPr>
              <w:t>Manju Banerjee</w:t>
            </w:r>
          </w:p>
          <w:p w:rsidR="00824703" w:rsidRDefault="00824703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Sally Smith</w:t>
            </w: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F920F5" w:rsidRPr="0088753C" w:rsidRDefault="00F920F5" w:rsidP="00F92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minutes of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F920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770"/>
      </w:tblGrid>
      <w:tr w:rsidR="0088753C" w:rsidTr="00403956">
        <w:tc>
          <w:tcPr>
            <w:tcW w:w="675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403956">
        <w:tc>
          <w:tcPr>
            <w:tcW w:w="675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8753C" w:rsidRPr="00426A20" w:rsidRDefault="00824703" w:rsidP="008875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6A20">
              <w:rPr>
                <w:rFonts w:ascii="Arial" w:hAnsi="Arial" w:cs="Arial"/>
                <w:sz w:val="24"/>
                <w:szCs w:val="24"/>
                <w:u w:val="single"/>
              </w:rPr>
              <w:t>SAS Doctors</w:t>
            </w:r>
          </w:p>
          <w:p w:rsidR="00824703" w:rsidRPr="0088753C" w:rsidRDefault="00824703" w:rsidP="002C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BCS is responsible for the WRES and has seen a correlation between parts of the SAS doctors survey </w:t>
            </w:r>
            <w:r w:rsidR="00CF547F">
              <w:rPr>
                <w:rFonts w:ascii="Arial" w:hAnsi="Arial" w:cs="Arial"/>
                <w:sz w:val="24"/>
                <w:szCs w:val="24"/>
              </w:rPr>
              <w:t>feedback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WRES </w:t>
            </w:r>
            <w:r w:rsidR="00CF547F">
              <w:rPr>
                <w:rFonts w:ascii="Arial" w:hAnsi="Arial" w:cs="Arial"/>
                <w:sz w:val="24"/>
                <w:szCs w:val="24"/>
              </w:rPr>
              <w:t>feedback, namely in the surgery and trauma orthopaedic areas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547F">
              <w:rPr>
                <w:rFonts w:ascii="Arial" w:hAnsi="Arial" w:cs="Arial"/>
                <w:sz w:val="24"/>
                <w:szCs w:val="24"/>
              </w:rPr>
              <w:t xml:space="preserve"> There are a lot of </w:t>
            </w:r>
            <w:r w:rsidR="00CF547F">
              <w:rPr>
                <w:rFonts w:ascii="Arial" w:hAnsi="Arial" w:cs="Arial"/>
                <w:sz w:val="24"/>
                <w:szCs w:val="24"/>
              </w:rPr>
              <w:lastRenderedPageBreak/>
              <w:t>BAM</w:t>
            </w:r>
            <w:r>
              <w:rPr>
                <w:rFonts w:ascii="Arial" w:hAnsi="Arial" w:cs="Arial"/>
                <w:sz w:val="24"/>
                <w:szCs w:val="24"/>
              </w:rPr>
              <w:t>E members of staff working in these areas there i</w:t>
            </w:r>
            <w:r w:rsidR="00CF547F">
              <w:rPr>
                <w:rFonts w:ascii="Arial" w:hAnsi="Arial" w:cs="Arial"/>
                <w:sz w:val="24"/>
                <w:szCs w:val="24"/>
              </w:rPr>
              <w:t>s notable dissatisfaction</w:t>
            </w:r>
            <w:r w:rsidR="00426A20">
              <w:rPr>
                <w:rFonts w:ascii="Arial" w:hAnsi="Arial" w:cs="Arial"/>
                <w:sz w:val="24"/>
                <w:szCs w:val="24"/>
              </w:rPr>
              <w:t>.</w:t>
            </w:r>
            <w:r w:rsidR="00CF547F">
              <w:rPr>
                <w:rFonts w:ascii="Arial" w:hAnsi="Arial" w:cs="Arial"/>
                <w:sz w:val="24"/>
                <w:szCs w:val="24"/>
              </w:rPr>
              <w:t xml:space="preserve"> BC</w:t>
            </w:r>
            <w:r>
              <w:rPr>
                <w:rFonts w:ascii="Arial" w:hAnsi="Arial" w:cs="Arial"/>
                <w:sz w:val="24"/>
                <w:szCs w:val="24"/>
              </w:rPr>
              <w:t xml:space="preserve">S is working with </w:t>
            </w:r>
            <w:r w:rsidR="000A2289">
              <w:rPr>
                <w:rFonts w:ascii="Arial" w:hAnsi="Arial" w:cs="Arial"/>
                <w:sz w:val="24"/>
                <w:szCs w:val="24"/>
              </w:rPr>
              <w:t xml:space="preserve">Surgical </w:t>
            </w:r>
            <w:r w:rsidR="00403956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0A2289">
              <w:rPr>
                <w:rFonts w:ascii="Arial" w:hAnsi="Arial" w:cs="Arial"/>
                <w:sz w:val="24"/>
                <w:szCs w:val="24"/>
              </w:rPr>
              <w:t>Business Partner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respond and take action linking the surgical service action plan in with the two surveys</w:t>
            </w:r>
            <w:r w:rsidR="00CF547F">
              <w:rPr>
                <w:rFonts w:ascii="Arial" w:hAnsi="Arial" w:cs="Arial"/>
                <w:sz w:val="24"/>
                <w:szCs w:val="24"/>
              </w:rPr>
              <w:t xml:space="preserve">. BCS would </w:t>
            </w:r>
            <w:r w:rsidR="00426A20">
              <w:rPr>
                <w:rFonts w:ascii="Arial" w:hAnsi="Arial" w:cs="Arial"/>
                <w:sz w:val="24"/>
                <w:szCs w:val="24"/>
              </w:rPr>
              <w:t>like BAME</w:t>
            </w:r>
            <w:r w:rsidR="00CF547F">
              <w:rPr>
                <w:rFonts w:ascii="Arial" w:hAnsi="Arial" w:cs="Arial"/>
                <w:sz w:val="24"/>
                <w:szCs w:val="24"/>
              </w:rPr>
              <w:t xml:space="preserve"> members to give their feedback on the surgical service action plan as soon as possible so he can take their findings to the </w:t>
            </w:r>
            <w:r w:rsidR="00403956" w:rsidRPr="00403956">
              <w:rPr>
                <w:rFonts w:ascii="Arial" w:hAnsi="Arial" w:cs="Arial"/>
                <w:sz w:val="24"/>
                <w:szCs w:val="24"/>
              </w:rPr>
              <w:t>Clinical Executive Management Group</w:t>
            </w:r>
            <w:r w:rsidR="00CF547F">
              <w:rPr>
                <w:rFonts w:ascii="Arial" w:hAnsi="Arial" w:cs="Arial"/>
                <w:sz w:val="24"/>
                <w:szCs w:val="24"/>
              </w:rPr>
              <w:t>. There is</w:t>
            </w:r>
            <w:r w:rsidR="00476DEC">
              <w:rPr>
                <w:rFonts w:ascii="Arial" w:hAnsi="Arial" w:cs="Arial"/>
                <w:sz w:val="24"/>
                <w:szCs w:val="24"/>
              </w:rPr>
              <w:t xml:space="preserve"> concern</w:t>
            </w:r>
            <w:r w:rsidR="002C1429">
              <w:rPr>
                <w:rFonts w:ascii="Arial" w:hAnsi="Arial" w:cs="Arial"/>
                <w:sz w:val="24"/>
                <w:szCs w:val="24"/>
              </w:rPr>
              <w:t xml:space="preserve"> that this survey is out</w:t>
            </w:r>
            <w:r w:rsidR="00CF547F">
              <w:rPr>
                <w:rFonts w:ascii="Arial" w:hAnsi="Arial" w:cs="Arial"/>
                <w:sz w:val="24"/>
                <w:szCs w:val="24"/>
              </w:rPr>
              <w:t>dated and the action plan lacks any dates for upcoming workshops</w:t>
            </w:r>
          </w:p>
        </w:tc>
        <w:tc>
          <w:tcPr>
            <w:tcW w:w="770" w:type="dxa"/>
          </w:tcPr>
          <w:p w:rsidR="0088753C" w:rsidRDefault="00824703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BCS</w:t>
            </w:r>
          </w:p>
        </w:tc>
      </w:tr>
      <w:tr w:rsidR="0088753C" w:rsidTr="00403956">
        <w:tc>
          <w:tcPr>
            <w:tcW w:w="675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7" w:type="dxa"/>
          </w:tcPr>
          <w:p w:rsidR="0088753C" w:rsidRPr="00426A20" w:rsidRDefault="00824703" w:rsidP="008875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6A20">
              <w:rPr>
                <w:rFonts w:ascii="Arial" w:hAnsi="Arial" w:cs="Arial"/>
                <w:sz w:val="24"/>
                <w:szCs w:val="24"/>
                <w:u w:val="single"/>
              </w:rPr>
              <w:t>Black History Month</w:t>
            </w:r>
            <w:r w:rsidR="00CF547F" w:rsidRPr="00426A2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CF547F" w:rsidRDefault="00426A20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F547F">
              <w:rPr>
                <w:rFonts w:ascii="Arial" w:hAnsi="Arial" w:cs="Arial"/>
                <w:sz w:val="24"/>
                <w:szCs w:val="24"/>
              </w:rPr>
              <w:t xml:space="preserve">question was posed of how we are going to celebrate Black history month in October it is felt that it is extremely important this year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F54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CF547F">
              <w:rPr>
                <w:rFonts w:ascii="Arial" w:hAnsi="Arial" w:cs="Arial"/>
                <w:sz w:val="24"/>
                <w:szCs w:val="24"/>
              </w:rPr>
              <w:t xml:space="preserve"> anniversary of Wind Rush and NHS celebrating 70 years it was agreed that we would have an event at the William Harvey Hospital in the hub  in October</w:t>
            </w:r>
          </w:p>
          <w:p w:rsidR="00CF547F" w:rsidRDefault="00CF547F" w:rsidP="00CF54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547F">
              <w:rPr>
                <w:rFonts w:ascii="Arial" w:hAnsi="Arial" w:cs="Arial"/>
                <w:b/>
                <w:sz w:val="24"/>
                <w:szCs w:val="24"/>
              </w:rPr>
              <w:t xml:space="preserve">ction YD to book hub 11-3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 now confirmed 23</w:t>
            </w:r>
            <w:r w:rsidRPr="00CF547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October)</w:t>
            </w:r>
          </w:p>
          <w:p w:rsidR="00CF547F" w:rsidRDefault="00CF547F" w:rsidP="00CF547F">
            <w:pPr>
              <w:rPr>
                <w:rFonts w:ascii="Arial" w:hAnsi="Arial" w:cs="Arial"/>
                <w:sz w:val="24"/>
                <w:szCs w:val="24"/>
              </w:rPr>
            </w:pPr>
            <w:r w:rsidRPr="00CF547F">
              <w:rPr>
                <w:rFonts w:ascii="Arial" w:hAnsi="Arial" w:cs="Arial"/>
                <w:sz w:val="24"/>
                <w:szCs w:val="24"/>
              </w:rPr>
              <w:t xml:space="preserve">we would like to put on a wind rush display </w:t>
            </w:r>
            <w:r w:rsidR="00426A20">
              <w:rPr>
                <w:rFonts w:ascii="Arial" w:hAnsi="Arial" w:cs="Arial"/>
                <w:sz w:val="24"/>
                <w:szCs w:val="24"/>
              </w:rPr>
              <w:t>,</w:t>
            </w:r>
            <w:r w:rsidRPr="00CF547F">
              <w:rPr>
                <w:rFonts w:ascii="Arial" w:hAnsi="Arial" w:cs="Arial"/>
                <w:sz w:val="24"/>
                <w:szCs w:val="24"/>
              </w:rPr>
              <w:t xml:space="preserve">70 years of NHS nursing </w:t>
            </w:r>
            <w:r w:rsidR="00426A20">
              <w:rPr>
                <w:rFonts w:ascii="Arial" w:hAnsi="Arial" w:cs="Arial"/>
                <w:sz w:val="24"/>
                <w:szCs w:val="24"/>
              </w:rPr>
              <w:t>,</w:t>
            </w:r>
            <w:r w:rsidRPr="00CF547F">
              <w:rPr>
                <w:rFonts w:ascii="Arial" w:hAnsi="Arial" w:cs="Arial"/>
                <w:sz w:val="24"/>
                <w:szCs w:val="24"/>
              </w:rPr>
              <w:t>run the recent TV advert and for as many people as possible to bring and share food as a way of showing different cultures</w:t>
            </w:r>
            <w:r w:rsidR="00426A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A20" w:rsidRDefault="00426A20" w:rsidP="00CF54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A20">
              <w:rPr>
                <w:rFonts w:ascii="Arial" w:hAnsi="Arial" w:cs="Arial"/>
                <w:b/>
                <w:sz w:val="24"/>
                <w:szCs w:val="24"/>
              </w:rPr>
              <w:t xml:space="preserve">Action SA1 to work with </w:t>
            </w:r>
            <w:proofErr w:type="spellStart"/>
            <w:r w:rsidRPr="00426A20">
              <w:rPr>
                <w:rFonts w:ascii="Arial" w:hAnsi="Arial" w:cs="Arial"/>
                <w:b/>
                <w:sz w:val="24"/>
                <w:szCs w:val="24"/>
              </w:rPr>
              <w:t>comms</w:t>
            </w:r>
            <w:proofErr w:type="spellEnd"/>
            <w:r w:rsidRPr="00426A20">
              <w:rPr>
                <w:rFonts w:ascii="Arial" w:hAnsi="Arial" w:cs="Arial"/>
                <w:b/>
                <w:sz w:val="24"/>
                <w:szCs w:val="24"/>
              </w:rPr>
              <w:t xml:space="preserve"> to advertise this as soon as possible</w:t>
            </w:r>
          </w:p>
          <w:p w:rsidR="00426A20" w:rsidRPr="00426A20" w:rsidRDefault="00426A20" w:rsidP="00CF547F">
            <w:pPr>
              <w:rPr>
                <w:rFonts w:ascii="Arial" w:hAnsi="Arial" w:cs="Arial"/>
                <w:sz w:val="24"/>
                <w:szCs w:val="24"/>
              </w:rPr>
            </w:pPr>
            <w:r w:rsidRPr="00426A20">
              <w:rPr>
                <w:rFonts w:ascii="Arial" w:hAnsi="Arial" w:cs="Arial"/>
                <w:sz w:val="24"/>
                <w:szCs w:val="24"/>
              </w:rPr>
              <w:t>we would like to ask some of the senior management to attend i</w:t>
            </w:r>
            <w:r>
              <w:rPr>
                <w:rFonts w:ascii="Arial" w:hAnsi="Arial" w:cs="Arial"/>
                <w:sz w:val="24"/>
                <w:szCs w:val="24"/>
              </w:rPr>
              <w:t>t was agreed that we will ask CD</w:t>
            </w:r>
            <w:r w:rsidRPr="00426A20">
              <w:rPr>
                <w:rFonts w:ascii="Arial" w:hAnsi="Arial" w:cs="Arial"/>
                <w:sz w:val="24"/>
                <w:szCs w:val="24"/>
              </w:rPr>
              <w:t xml:space="preserve"> to do this</w:t>
            </w:r>
          </w:p>
        </w:tc>
        <w:tc>
          <w:tcPr>
            <w:tcW w:w="770" w:type="dxa"/>
          </w:tcPr>
          <w:p w:rsidR="0088753C" w:rsidRDefault="00CF547F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SA1</w:t>
            </w:r>
          </w:p>
        </w:tc>
      </w:tr>
      <w:tr w:rsidR="0088753C" w:rsidTr="00403956">
        <w:tc>
          <w:tcPr>
            <w:tcW w:w="675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88753C" w:rsidRPr="00426A20" w:rsidRDefault="00824703" w:rsidP="008875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6A20">
              <w:rPr>
                <w:rFonts w:ascii="Arial" w:hAnsi="Arial" w:cs="Arial"/>
                <w:sz w:val="24"/>
                <w:szCs w:val="24"/>
                <w:u w:val="single"/>
              </w:rPr>
              <w:t>Enabling BAME nurses and midwives</w:t>
            </w:r>
          </w:p>
          <w:p w:rsidR="00426A20" w:rsidRPr="00D06C95" w:rsidRDefault="00426A20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Unfortunately the last meeting was very poorly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attended  however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this was during the summer holidays which often proves a difficult time for people to attend meetings coupled with a failed link to the William Harvey Hospital there was nothing to report. However BCS will set up a new meeting in the future.</w:t>
            </w:r>
          </w:p>
        </w:tc>
        <w:tc>
          <w:tcPr>
            <w:tcW w:w="770" w:type="dxa"/>
          </w:tcPr>
          <w:p w:rsidR="0088753C" w:rsidRDefault="00426A20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BCS</w:t>
            </w:r>
          </w:p>
        </w:tc>
      </w:tr>
      <w:tr w:rsidR="0088753C" w:rsidTr="00403956">
        <w:tc>
          <w:tcPr>
            <w:tcW w:w="675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88753C" w:rsidRDefault="00824703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  <w:p w:rsidR="00426A20" w:rsidRDefault="00C85656" w:rsidP="0088753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question was asked </w:t>
            </w:r>
            <w:r w:rsidR="00426A20" w:rsidRPr="00426A20">
              <w:rPr>
                <w:rFonts w:ascii="Arial" w:hAnsi="Arial" w:cs="Arial"/>
                <w:sz w:val="24"/>
                <w:szCs w:val="24"/>
              </w:rPr>
              <w:t xml:space="preserve">what do we respond when people ask us why do we need a BAME network. </w:t>
            </w:r>
            <w:r w:rsidR="00426A20">
              <w:rPr>
                <w:rFonts w:ascii="Arial" w:hAnsi="Arial" w:cs="Arial"/>
                <w:sz w:val="24"/>
                <w:szCs w:val="24"/>
              </w:rPr>
              <w:t xml:space="preserve">It was felt that the diversity and inclusion website (under the BAME banner) explained in various ways. </w:t>
            </w:r>
            <w:hyperlink r:id="rId7" w:history="1">
              <w:r w:rsidRPr="000649C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https://www.ekhuft.nhs.uk/search/?q=diverity+and+inclusion</w:t>
              </w:r>
            </w:hyperlink>
          </w:p>
          <w:p w:rsidR="00C85656" w:rsidRDefault="00C85656" w:rsidP="00887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C85656">
              <w:rPr>
                <w:rFonts w:ascii="Arial" w:hAnsi="Arial" w:cs="Arial"/>
                <w:sz w:val="24"/>
                <w:szCs w:val="24"/>
                <w:u w:val="single"/>
              </w:rPr>
              <w:t>YD would like some more badges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new members, many thanks Yvonne for spreading the word and getting new members on board.</w:t>
            </w: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656">
              <w:rPr>
                <w:rFonts w:ascii="Arial" w:hAnsi="Arial" w:cs="Arial"/>
                <w:b/>
                <w:sz w:val="24"/>
                <w:szCs w:val="24"/>
              </w:rPr>
              <w:t>Action SA1 one to email CD about badges.</w:t>
            </w: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C85656">
              <w:rPr>
                <w:rFonts w:ascii="Arial" w:hAnsi="Arial" w:cs="Arial"/>
                <w:sz w:val="24"/>
                <w:szCs w:val="24"/>
                <w:u w:val="single"/>
              </w:rPr>
              <w:t>A suggestion was put forward</w:t>
            </w:r>
            <w:r w:rsidRPr="00C85656">
              <w:rPr>
                <w:rFonts w:ascii="Arial" w:hAnsi="Arial" w:cs="Arial"/>
                <w:sz w:val="24"/>
                <w:szCs w:val="24"/>
              </w:rPr>
              <w:t xml:space="preserve"> that we tried to network with other BAME networks locally to exchange information,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understand how they run their network and ask them to attend our next meeting.</w:t>
            </w:r>
          </w:p>
          <w:p w:rsidR="00C85656" w:rsidRP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656">
              <w:rPr>
                <w:rFonts w:ascii="Arial" w:hAnsi="Arial" w:cs="Arial"/>
                <w:b/>
                <w:sz w:val="24"/>
                <w:szCs w:val="24"/>
              </w:rPr>
              <w:t>Action SA1 to investigate if there are any other networks locally and to extend invitations to next meeting.</w:t>
            </w:r>
          </w:p>
          <w:p w:rsidR="00C85656" w:rsidRPr="00C85656" w:rsidRDefault="00C85656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BJ</w:t>
            </w: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YD</w:t>
            </w: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656" w:rsidRDefault="00C85656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</w:t>
            </w:r>
          </w:p>
        </w:tc>
      </w:tr>
    </w:tbl>
    <w:p w:rsidR="00D06C95" w:rsidRPr="0088753C" w:rsidRDefault="00D06C95" w:rsidP="0088753C">
      <w:pPr>
        <w:rPr>
          <w:rFonts w:ascii="Arial" w:hAnsi="Arial" w:cs="Arial"/>
          <w:b/>
          <w:sz w:val="24"/>
          <w:szCs w:val="24"/>
        </w:rPr>
      </w:pPr>
    </w:p>
    <w:sectPr w:rsidR="00D06C95" w:rsidRPr="0088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032596"/>
    <w:rsid w:val="00070D22"/>
    <w:rsid w:val="000A2289"/>
    <w:rsid w:val="002477EF"/>
    <w:rsid w:val="00263768"/>
    <w:rsid w:val="00265BE7"/>
    <w:rsid w:val="002C1429"/>
    <w:rsid w:val="002E1AF6"/>
    <w:rsid w:val="003F77A7"/>
    <w:rsid w:val="00403956"/>
    <w:rsid w:val="00426A20"/>
    <w:rsid w:val="00476DEC"/>
    <w:rsid w:val="0057671F"/>
    <w:rsid w:val="005F3B95"/>
    <w:rsid w:val="006B4B22"/>
    <w:rsid w:val="00700290"/>
    <w:rsid w:val="00824703"/>
    <w:rsid w:val="0088753C"/>
    <w:rsid w:val="008A5A40"/>
    <w:rsid w:val="009F4D5D"/>
    <w:rsid w:val="00B12DB9"/>
    <w:rsid w:val="00B47408"/>
    <w:rsid w:val="00B976D0"/>
    <w:rsid w:val="00C11697"/>
    <w:rsid w:val="00C85656"/>
    <w:rsid w:val="00CE2BCD"/>
    <w:rsid w:val="00CF547F"/>
    <w:rsid w:val="00D06C95"/>
    <w:rsid w:val="00D22E57"/>
    <w:rsid w:val="00EA2C14"/>
    <w:rsid w:val="00F55761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khuft.nhs.uk/search/?q=diverity+and+incl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Ferenc Inkovics</cp:lastModifiedBy>
  <cp:revision>5</cp:revision>
  <dcterms:created xsi:type="dcterms:W3CDTF">2018-09-06T08:33:00Z</dcterms:created>
  <dcterms:modified xsi:type="dcterms:W3CDTF">2018-09-06T08:33:00Z</dcterms:modified>
</cp:coreProperties>
</file>