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870" w:rsidRDefault="004F7870" w:rsidP="00ED3E3A">
      <w:pPr>
        <w:pStyle w:val="Heading1"/>
        <w:spacing w:before="0" w:after="0"/>
        <w:jc w:val="center"/>
        <w:rPr>
          <w:color w:val="FF0000"/>
          <w:sz w:val="22"/>
          <w:szCs w:val="22"/>
        </w:rPr>
      </w:pPr>
      <w:r w:rsidRPr="009334DB">
        <w:rPr>
          <w:sz w:val="22"/>
          <w:szCs w:val="22"/>
        </w:rPr>
        <w:t xml:space="preserve">REPORT TO </w:t>
      </w:r>
      <w:r w:rsidR="004577A9">
        <w:rPr>
          <w:rFonts w:cs="Arial"/>
        </w:rPr>
        <w:t>FINANCE &amp; PERFORMANCE COMMITTEE (FPC)</w:t>
      </w:r>
    </w:p>
    <w:p w:rsidR="00590CE1" w:rsidRPr="00590CE1" w:rsidRDefault="00590CE1" w:rsidP="00590CE1">
      <w:pPr>
        <w:rPr>
          <w:sz w:val="22"/>
          <w:szCs w:val="22"/>
        </w:rPr>
      </w:pPr>
    </w:p>
    <w:p w:rsidR="0008759A" w:rsidRPr="00ED3E3A" w:rsidRDefault="00844CC8" w:rsidP="00ED3E3A">
      <w:pPr>
        <w:pStyle w:val="Heading2"/>
        <w:spacing w:after="0"/>
      </w:pPr>
      <w:r>
        <w:t>Report title</w:t>
      </w:r>
      <w:r w:rsidR="0008759A" w:rsidRPr="0008759A">
        <w:t xml:space="preserve">: </w:t>
      </w:r>
      <w:r w:rsidR="00ED3E3A">
        <w:tab/>
      </w:r>
      <w:r w:rsidR="00E67847">
        <w:t xml:space="preserve">EKHUFT </w:t>
      </w:r>
      <w:r w:rsidR="004577A9">
        <w:t>Group Tax Strategy</w:t>
      </w:r>
      <w:r w:rsidR="004A78BE">
        <w:t xml:space="preserve"> 2025/26</w:t>
      </w:r>
    </w:p>
    <w:p w:rsidR="00590CE1" w:rsidRPr="00590CE1" w:rsidRDefault="00590CE1" w:rsidP="00ED3E3A">
      <w:pPr>
        <w:rPr>
          <w:sz w:val="22"/>
          <w:szCs w:val="22"/>
        </w:rPr>
      </w:pPr>
    </w:p>
    <w:p w:rsidR="00590CE1" w:rsidRDefault="0008759A" w:rsidP="00ED3E3A">
      <w:pPr>
        <w:rPr>
          <w:b/>
          <w:sz w:val="22"/>
          <w:szCs w:val="22"/>
        </w:rPr>
      </w:pPr>
      <w:r w:rsidRPr="00ED3E3A">
        <w:rPr>
          <w:b/>
          <w:sz w:val="22"/>
          <w:szCs w:val="22"/>
        </w:rPr>
        <w:t>Meeting date:</w:t>
      </w:r>
    </w:p>
    <w:p w:rsidR="005022A3" w:rsidRPr="0043677B" w:rsidRDefault="005022A3" w:rsidP="00ED3E3A">
      <w:pPr>
        <w:rPr>
          <w:b/>
          <w:sz w:val="22"/>
          <w:szCs w:val="22"/>
        </w:rPr>
      </w:pPr>
    </w:p>
    <w:p w:rsidR="004577A9" w:rsidRDefault="00844CC8" w:rsidP="004577A9">
      <w:pPr>
        <w:rPr>
          <w:b/>
          <w:color w:val="FF0000"/>
          <w:sz w:val="22"/>
          <w:szCs w:val="22"/>
        </w:rPr>
      </w:pPr>
      <w:r w:rsidRPr="00ED3E3A">
        <w:rPr>
          <w:b/>
          <w:sz w:val="22"/>
          <w:szCs w:val="22"/>
        </w:rPr>
        <w:t>Board sponso</w:t>
      </w:r>
      <w:r w:rsidR="0008759A" w:rsidRPr="00ED3E3A">
        <w:rPr>
          <w:b/>
          <w:sz w:val="22"/>
          <w:szCs w:val="22"/>
        </w:rPr>
        <w:t xml:space="preserve">r: </w:t>
      </w:r>
      <w:r w:rsidR="00ED3E3A" w:rsidRPr="00ED3E3A">
        <w:rPr>
          <w:b/>
          <w:sz w:val="22"/>
          <w:szCs w:val="22"/>
        </w:rPr>
        <w:tab/>
      </w:r>
      <w:r w:rsidR="004577A9" w:rsidRPr="00562460">
        <w:rPr>
          <w:rFonts w:cs="Arial"/>
          <w:b/>
          <w:sz w:val="22"/>
        </w:rPr>
        <w:t>Chief Finance Officer</w:t>
      </w:r>
    </w:p>
    <w:p w:rsidR="00590CE1" w:rsidRPr="00590CE1" w:rsidRDefault="00590CE1" w:rsidP="00ED3E3A">
      <w:pPr>
        <w:rPr>
          <w:color w:val="FF0000"/>
          <w:sz w:val="22"/>
          <w:szCs w:val="22"/>
        </w:rPr>
      </w:pPr>
    </w:p>
    <w:p w:rsidR="0008759A" w:rsidRDefault="0008759A" w:rsidP="00ED3E3A">
      <w:pPr>
        <w:rPr>
          <w:b/>
          <w:color w:val="FF0000"/>
          <w:sz w:val="22"/>
          <w:szCs w:val="22"/>
        </w:rPr>
      </w:pPr>
      <w:r w:rsidRPr="00ED3E3A">
        <w:rPr>
          <w:b/>
          <w:sz w:val="22"/>
          <w:szCs w:val="22"/>
        </w:rPr>
        <w:t xml:space="preserve">Paper Author: </w:t>
      </w:r>
      <w:r w:rsidR="00ED3E3A" w:rsidRPr="00ED3E3A">
        <w:rPr>
          <w:b/>
          <w:sz w:val="22"/>
          <w:szCs w:val="22"/>
        </w:rPr>
        <w:tab/>
      </w:r>
      <w:r w:rsidR="004577A9">
        <w:rPr>
          <w:b/>
          <w:sz w:val="22"/>
          <w:szCs w:val="22"/>
        </w:rPr>
        <w:t>Director of Finance</w:t>
      </w:r>
      <w:r w:rsidR="004577A9" w:rsidRPr="00ED3E3A">
        <w:rPr>
          <w:b/>
          <w:color w:val="FF0000"/>
          <w:sz w:val="22"/>
          <w:szCs w:val="22"/>
        </w:rPr>
        <w:t xml:space="preserve"> </w:t>
      </w:r>
    </w:p>
    <w:p w:rsidR="00590CE1" w:rsidRPr="00ED3E3A" w:rsidRDefault="00590CE1" w:rsidP="00ED3E3A">
      <w:pPr>
        <w:rPr>
          <w:b/>
          <w:color w:val="FF0000"/>
          <w:sz w:val="22"/>
          <w:szCs w:val="22"/>
        </w:rPr>
      </w:pPr>
    </w:p>
    <w:p w:rsidR="008E1830" w:rsidRPr="009334DB" w:rsidRDefault="00B465B8" w:rsidP="00ED3E3A">
      <w:pPr>
        <w:pStyle w:val="Heading2"/>
        <w:shd w:val="clear" w:color="auto" w:fill="DEEAF6" w:themeFill="accent5" w:themeFillTint="33"/>
        <w:tabs>
          <w:tab w:val="left" w:pos="2552"/>
          <w:tab w:val="left" w:pos="4536"/>
          <w:tab w:val="left" w:pos="6237"/>
          <w:tab w:val="left" w:pos="8364"/>
        </w:tabs>
        <w:spacing w:after="0"/>
        <w:rPr>
          <w:szCs w:val="22"/>
        </w:rPr>
      </w:pPr>
      <w:r w:rsidRPr="009334DB">
        <w:rPr>
          <w:szCs w:val="22"/>
        </w:rPr>
        <w:t>Appendices:</w:t>
      </w:r>
    </w:p>
    <w:p w:rsidR="00590CE1" w:rsidRPr="00590CE1" w:rsidRDefault="00590CE1" w:rsidP="00ED3E3A">
      <w:pPr>
        <w:rPr>
          <w:sz w:val="22"/>
          <w:szCs w:val="22"/>
        </w:rPr>
      </w:pPr>
    </w:p>
    <w:p w:rsidR="00B465B8" w:rsidRDefault="004577A9" w:rsidP="00ED3E3A">
      <w:pPr>
        <w:rPr>
          <w:i/>
          <w:color w:val="FF0000"/>
          <w:sz w:val="22"/>
          <w:szCs w:val="22"/>
        </w:rPr>
      </w:pPr>
      <w:r w:rsidRPr="004577A9">
        <w:rPr>
          <w:rFonts w:cs="Arial"/>
          <w:b/>
          <w:sz w:val="22"/>
        </w:rPr>
        <w:t xml:space="preserve">Appendix 1 </w:t>
      </w:r>
      <w:r w:rsidR="00E67847">
        <w:rPr>
          <w:rFonts w:cs="Arial"/>
          <w:b/>
          <w:sz w:val="22"/>
        </w:rPr>
        <w:t xml:space="preserve">- EKHUFT </w:t>
      </w:r>
      <w:r w:rsidRPr="004577A9">
        <w:rPr>
          <w:rFonts w:cs="Arial"/>
          <w:b/>
          <w:sz w:val="22"/>
        </w:rPr>
        <w:t>Group Tax Strategy</w:t>
      </w:r>
      <w:r w:rsidR="003A66D5">
        <w:rPr>
          <w:rFonts w:cs="Arial"/>
          <w:b/>
          <w:sz w:val="22"/>
        </w:rPr>
        <w:t xml:space="preserve"> (</w:t>
      </w:r>
      <w:r w:rsidR="00D54BAC">
        <w:rPr>
          <w:rFonts w:cs="Arial"/>
          <w:b/>
          <w:sz w:val="22"/>
        </w:rPr>
        <w:t>March</w:t>
      </w:r>
      <w:r w:rsidR="003A66D5">
        <w:rPr>
          <w:rFonts w:cs="Arial"/>
          <w:b/>
          <w:sz w:val="22"/>
        </w:rPr>
        <w:t xml:space="preserve"> 2025)</w:t>
      </w:r>
    </w:p>
    <w:p w:rsidR="00590CE1" w:rsidRPr="00590CE1" w:rsidRDefault="00590CE1" w:rsidP="00ED3E3A">
      <w:pPr>
        <w:rPr>
          <w:color w:val="FF0000"/>
          <w:sz w:val="22"/>
          <w:szCs w:val="22"/>
        </w:rPr>
      </w:pPr>
    </w:p>
    <w:p w:rsidR="00B465B8" w:rsidRDefault="00844CC8" w:rsidP="00ED3E3A">
      <w:pPr>
        <w:pStyle w:val="Heading2"/>
        <w:shd w:val="clear" w:color="auto" w:fill="DEEAF6" w:themeFill="accent5" w:themeFillTint="33"/>
        <w:spacing w:after="0"/>
        <w:rPr>
          <w:szCs w:val="22"/>
        </w:rPr>
      </w:pPr>
      <w:r>
        <w:rPr>
          <w:szCs w:val="22"/>
        </w:rPr>
        <w:t>Executive summary</w:t>
      </w:r>
      <w:r w:rsidR="00B465B8" w:rsidRPr="009334DB">
        <w:rPr>
          <w:szCs w:val="22"/>
        </w:rPr>
        <w:t>:</w:t>
      </w:r>
    </w:p>
    <w:p w:rsidR="00A44E6A" w:rsidRPr="00A44E6A" w:rsidRDefault="00A44E6A" w:rsidP="00A44E6A"/>
    <w:tbl>
      <w:tblPr>
        <w:tblStyle w:val="TableGrid"/>
        <w:tblW w:w="0" w:type="auto"/>
        <w:tblLook w:val="0620" w:firstRow="1" w:lastRow="0" w:firstColumn="0" w:lastColumn="0" w:noHBand="1" w:noVBand="1"/>
      </w:tblPr>
      <w:tblGrid>
        <w:gridCol w:w="2263"/>
        <w:gridCol w:w="7786"/>
      </w:tblGrid>
      <w:tr w:rsidR="0075639A" w:rsidRPr="009334DB" w:rsidTr="00B465B8">
        <w:tc>
          <w:tcPr>
            <w:tcW w:w="2263" w:type="dxa"/>
          </w:tcPr>
          <w:p w:rsidR="0075639A" w:rsidRDefault="0075639A" w:rsidP="00ED3E3A">
            <w:pPr>
              <w:rPr>
                <w:b/>
                <w:sz w:val="22"/>
                <w:szCs w:val="22"/>
              </w:rPr>
            </w:pPr>
            <w:r w:rsidRPr="00844CC8">
              <w:rPr>
                <w:b/>
                <w:sz w:val="22"/>
                <w:szCs w:val="22"/>
              </w:rPr>
              <w:t>Action required:</w:t>
            </w:r>
          </w:p>
        </w:tc>
        <w:tc>
          <w:tcPr>
            <w:tcW w:w="7786" w:type="dxa"/>
          </w:tcPr>
          <w:p w:rsidR="0075639A" w:rsidRPr="00852531" w:rsidRDefault="00852531" w:rsidP="00ED3E3A">
            <w:pPr>
              <w:rPr>
                <w:b/>
                <w:sz w:val="22"/>
                <w:szCs w:val="22"/>
              </w:rPr>
            </w:pPr>
            <w:r w:rsidRPr="00852531">
              <w:rPr>
                <w:b/>
                <w:sz w:val="22"/>
                <w:szCs w:val="22"/>
              </w:rPr>
              <w:t>Approval</w:t>
            </w:r>
          </w:p>
          <w:p w:rsidR="00A44E6A" w:rsidRPr="00A44E6A" w:rsidRDefault="00A44E6A" w:rsidP="00ED3E3A">
            <w:pPr>
              <w:rPr>
                <w:color w:val="FF0000"/>
                <w:sz w:val="22"/>
                <w:szCs w:val="22"/>
              </w:rPr>
            </w:pPr>
          </w:p>
        </w:tc>
      </w:tr>
      <w:tr w:rsidR="00B465B8" w:rsidRPr="009334DB" w:rsidTr="00B465B8">
        <w:tc>
          <w:tcPr>
            <w:tcW w:w="2263" w:type="dxa"/>
          </w:tcPr>
          <w:p w:rsidR="00B465B8" w:rsidRPr="001A5315" w:rsidRDefault="001A5315" w:rsidP="00ED3E3A">
            <w:pPr>
              <w:rPr>
                <w:b/>
                <w:color w:val="FF0000"/>
                <w:sz w:val="22"/>
                <w:szCs w:val="22"/>
              </w:rPr>
            </w:pPr>
            <w:r>
              <w:rPr>
                <w:b/>
                <w:sz w:val="22"/>
                <w:szCs w:val="22"/>
              </w:rPr>
              <w:t>Purpose of the Report:</w:t>
            </w:r>
          </w:p>
        </w:tc>
        <w:tc>
          <w:tcPr>
            <w:tcW w:w="7786" w:type="dxa"/>
          </w:tcPr>
          <w:p w:rsidR="004176D6" w:rsidRDefault="004176D6" w:rsidP="00852531">
            <w:pPr>
              <w:jc w:val="both"/>
              <w:rPr>
                <w:rFonts w:cs="Arial"/>
                <w:sz w:val="22"/>
                <w:szCs w:val="22"/>
              </w:rPr>
            </w:pPr>
            <w:r>
              <w:rPr>
                <w:rFonts w:cs="Arial"/>
                <w:sz w:val="22"/>
                <w:szCs w:val="22"/>
              </w:rPr>
              <w:t xml:space="preserve">The </w:t>
            </w:r>
            <w:r w:rsidR="00E67847">
              <w:rPr>
                <w:rFonts w:cs="Arial"/>
                <w:sz w:val="22"/>
                <w:szCs w:val="22"/>
              </w:rPr>
              <w:t xml:space="preserve">EKHUFT </w:t>
            </w:r>
            <w:r>
              <w:rPr>
                <w:rFonts w:cs="Arial"/>
                <w:sz w:val="22"/>
                <w:szCs w:val="22"/>
              </w:rPr>
              <w:t>Group’s Tax Strategy was first approved in September 2021 and is no</w:t>
            </w:r>
            <w:r w:rsidR="003A66D5">
              <w:rPr>
                <w:rFonts w:cs="Arial"/>
                <w:sz w:val="22"/>
                <w:szCs w:val="22"/>
              </w:rPr>
              <w:t>w</w:t>
            </w:r>
            <w:r>
              <w:rPr>
                <w:rFonts w:cs="Arial"/>
                <w:sz w:val="22"/>
                <w:szCs w:val="22"/>
              </w:rPr>
              <w:t xml:space="preserve"> due for review.</w:t>
            </w:r>
          </w:p>
          <w:p w:rsidR="004176D6" w:rsidRDefault="004176D6" w:rsidP="00852531">
            <w:pPr>
              <w:jc w:val="both"/>
              <w:rPr>
                <w:rFonts w:cs="Arial"/>
                <w:sz w:val="22"/>
                <w:szCs w:val="22"/>
              </w:rPr>
            </w:pPr>
          </w:p>
          <w:p w:rsidR="00A44E6A" w:rsidRPr="003A66D5" w:rsidRDefault="004176D6" w:rsidP="003A66D5">
            <w:pPr>
              <w:jc w:val="both"/>
              <w:rPr>
                <w:rFonts w:cs="Arial"/>
                <w:sz w:val="22"/>
                <w:szCs w:val="22"/>
              </w:rPr>
            </w:pPr>
            <w:r>
              <w:rPr>
                <w:rFonts w:cs="Arial"/>
                <w:sz w:val="22"/>
                <w:szCs w:val="22"/>
              </w:rPr>
              <w:t xml:space="preserve">The purpose of the report is </w:t>
            </w:r>
            <w:r w:rsidR="003A66D5">
              <w:rPr>
                <w:rFonts w:cs="Arial"/>
                <w:sz w:val="22"/>
                <w:szCs w:val="22"/>
              </w:rPr>
              <w:t xml:space="preserve">to </w:t>
            </w:r>
            <w:r w:rsidRPr="003A66D5">
              <w:rPr>
                <w:rFonts w:cs="Arial"/>
                <w:sz w:val="22"/>
                <w:szCs w:val="22"/>
              </w:rPr>
              <w:t>propose an updated strategy</w:t>
            </w:r>
            <w:r w:rsidR="00867428">
              <w:rPr>
                <w:rFonts w:cs="Arial"/>
                <w:sz w:val="22"/>
                <w:szCs w:val="22"/>
              </w:rPr>
              <w:t xml:space="preserve"> for approval</w:t>
            </w:r>
            <w:r w:rsidRPr="003A66D5">
              <w:rPr>
                <w:rFonts w:cs="Arial"/>
                <w:sz w:val="22"/>
                <w:szCs w:val="22"/>
              </w:rPr>
              <w:t xml:space="preserve">, which </w:t>
            </w:r>
            <w:r w:rsidR="00867428">
              <w:rPr>
                <w:rFonts w:cs="Arial"/>
                <w:sz w:val="22"/>
                <w:szCs w:val="22"/>
              </w:rPr>
              <w:t>incorporates</w:t>
            </w:r>
            <w:r w:rsidRPr="003A66D5">
              <w:rPr>
                <w:rFonts w:cs="Arial"/>
                <w:sz w:val="22"/>
                <w:szCs w:val="22"/>
              </w:rPr>
              <w:t xml:space="preserve"> the comments made by </w:t>
            </w:r>
            <w:r w:rsidR="003A66D5" w:rsidRPr="003A66D5">
              <w:rPr>
                <w:rFonts w:cs="Arial"/>
                <w:sz w:val="22"/>
                <w:szCs w:val="22"/>
              </w:rPr>
              <w:t xml:space="preserve">the </w:t>
            </w:r>
            <w:r w:rsidRPr="003A66D5">
              <w:rPr>
                <w:rFonts w:cs="Arial"/>
                <w:sz w:val="22"/>
                <w:szCs w:val="22"/>
              </w:rPr>
              <w:t xml:space="preserve">Deloitte </w:t>
            </w:r>
            <w:r w:rsidR="003A66D5" w:rsidRPr="003A66D5">
              <w:rPr>
                <w:rFonts w:cs="Arial"/>
                <w:sz w:val="22"/>
                <w:szCs w:val="22"/>
              </w:rPr>
              <w:t xml:space="preserve">Accounting firm, </w:t>
            </w:r>
            <w:r w:rsidRPr="003A66D5">
              <w:rPr>
                <w:rFonts w:cs="Arial"/>
                <w:sz w:val="22"/>
                <w:szCs w:val="22"/>
              </w:rPr>
              <w:t xml:space="preserve">following a review in </w:t>
            </w:r>
            <w:r w:rsidR="00E67847">
              <w:rPr>
                <w:rFonts w:cs="Arial"/>
                <w:sz w:val="22"/>
                <w:szCs w:val="22"/>
              </w:rPr>
              <w:t xml:space="preserve">February </w:t>
            </w:r>
            <w:r w:rsidRPr="003A66D5">
              <w:rPr>
                <w:rFonts w:cs="Arial"/>
                <w:sz w:val="22"/>
                <w:szCs w:val="22"/>
              </w:rPr>
              <w:t>2024</w:t>
            </w:r>
            <w:r w:rsidR="004A78BE">
              <w:rPr>
                <w:rFonts w:cs="Arial"/>
                <w:sz w:val="22"/>
                <w:szCs w:val="22"/>
              </w:rPr>
              <w:t>,</w:t>
            </w:r>
            <w:r w:rsidRPr="003A66D5">
              <w:rPr>
                <w:rFonts w:cs="Arial"/>
                <w:sz w:val="22"/>
                <w:szCs w:val="22"/>
              </w:rPr>
              <w:t xml:space="preserve"> as part of their Transfer Pricing work. </w:t>
            </w:r>
          </w:p>
          <w:p w:rsidR="004176D6" w:rsidRPr="00852531" w:rsidRDefault="004176D6" w:rsidP="00852531">
            <w:pPr>
              <w:jc w:val="both"/>
              <w:rPr>
                <w:color w:val="FF0000"/>
                <w:sz w:val="22"/>
                <w:szCs w:val="22"/>
              </w:rPr>
            </w:pPr>
          </w:p>
        </w:tc>
      </w:tr>
      <w:tr w:rsidR="00B465B8" w:rsidTr="00B465B8">
        <w:tc>
          <w:tcPr>
            <w:tcW w:w="2263" w:type="dxa"/>
          </w:tcPr>
          <w:p w:rsidR="00B465B8" w:rsidRPr="0075639A" w:rsidRDefault="0075639A" w:rsidP="00ED3E3A">
            <w:pPr>
              <w:rPr>
                <w:b/>
                <w:color w:val="FF0000"/>
              </w:rPr>
            </w:pPr>
            <w:r>
              <w:rPr>
                <w:b/>
                <w:sz w:val="22"/>
                <w:szCs w:val="22"/>
              </w:rPr>
              <w:t>Summary of key issues:</w:t>
            </w:r>
          </w:p>
        </w:tc>
        <w:tc>
          <w:tcPr>
            <w:tcW w:w="7786" w:type="dxa"/>
          </w:tcPr>
          <w:p w:rsidR="004A78BE" w:rsidRDefault="00852531" w:rsidP="00852531">
            <w:pPr>
              <w:jc w:val="both"/>
              <w:rPr>
                <w:rFonts w:cs="Arial"/>
                <w:sz w:val="22"/>
                <w:szCs w:val="22"/>
              </w:rPr>
            </w:pPr>
            <w:r w:rsidRPr="00852531">
              <w:rPr>
                <w:rFonts w:cs="Arial"/>
                <w:sz w:val="22"/>
                <w:szCs w:val="22"/>
              </w:rPr>
              <w:t>The 2016 Finance Bill requires companies to disclose more information in respect of tax and for larger company groups, to publish their tax strategy. Although this is not a requirement for the EKHUFT Group, given the significance of the two wholly owned subsidiary companies and the associated tax liabilities, a tax strategy is considered good practice.</w:t>
            </w:r>
          </w:p>
          <w:p w:rsidR="004A78BE" w:rsidRDefault="004A78BE" w:rsidP="00852531">
            <w:pPr>
              <w:jc w:val="both"/>
              <w:rPr>
                <w:rFonts w:cs="Arial"/>
                <w:sz w:val="22"/>
                <w:szCs w:val="22"/>
              </w:rPr>
            </w:pPr>
          </w:p>
          <w:p w:rsidR="00852531" w:rsidRPr="00852531" w:rsidRDefault="00852531" w:rsidP="00852531">
            <w:pPr>
              <w:jc w:val="both"/>
              <w:rPr>
                <w:rFonts w:cs="Arial"/>
                <w:sz w:val="22"/>
                <w:szCs w:val="22"/>
              </w:rPr>
            </w:pPr>
            <w:r w:rsidRPr="00852531">
              <w:rPr>
                <w:rFonts w:cs="Arial"/>
                <w:sz w:val="22"/>
                <w:szCs w:val="22"/>
              </w:rPr>
              <w:t>The Tax Strategy proposes for the Group:</w:t>
            </w:r>
          </w:p>
          <w:p w:rsidR="00852531" w:rsidRPr="00852531" w:rsidRDefault="00852531" w:rsidP="00852531">
            <w:pPr>
              <w:jc w:val="both"/>
              <w:rPr>
                <w:rFonts w:cs="Arial"/>
                <w:sz w:val="22"/>
                <w:szCs w:val="22"/>
              </w:rPr>
            </w:pPr>
          </w:p>
          <w:p w:rsidR="00852531" w:rsidRPr="00852531" w:rsidRDefault="00852531" w:rsidP="00852531">
            <w:pPr>
              <w:pStyle w:val="ListParagraph"/>
              <w:numPr>
                <w:ilvl w:val="0"/>
                <w:numId w:val="14"/>
              </w:numPr>
              <w:contextualSpacing/>
              <w:jc w:val="both"/>
              <w:rPr>
                <w:rFonts w:cs="Arial"/>
                <w:sz w:val="22"/>
                <w:szCs w:val="22"/>
              </w:rPr>
            </w:pPr>
            <w:r w:rsidRPr="00852531">
              <w:rPr>
                <w:rFonts w:cs="Arial"/>
                <w:sz w:val="22"/>
                <w:szCs w:val="22"/>
              </w:rPr>
              <w:t>governance arrangements in respect of taxation</w:t>
            </w:r>
          </w:p>
          <w:p w:rsidR="00852531" w:rsidRPr="00852531" w:rsidRDefault="00852531" w:rsidP="00852531">
            <w:pPr>
              <w:pStyle w:val="ListParagraph"/>
              <w:numPr>
                <w:ilvl w:val="0"/>
                <w:numId w:val="14"/>
              </w:numPr>
              <w:contextualSpacing/>
              <w:jc w:val="both"/>
              <w:rPr>
                <w:rFonts w:cs="Arial"/>
                <w:sz w:val="22"/>
                <w:szCs w:val="22"/>
              </w:rPr>
            </w:pPr>
            <w:r w:rsidRPr="00852531">
              <w:rPr>
                <w:rFonts w:cs="Arial"/>
                <w:sz w:val="22"/>
                <w:szCs w:val="22"/>
              </w:rPr>
              <w:t>approach to risk management in respect of taxation</w:t>
            </w:r>
          </w:p>
          <w:p w:rsidR="00852531" w:rsidRPr="00852531" w:rsidRDefault="00852531" w:rsidP="00852531">
            <w:pPr>
              <w:pStyle w:val="ListParagraph"/>
              <w:numPr>
                <w:ilvl w:val="0"/>
                <w:numId w:val="14"/>
              </w:numPr>
              <w:contextualSpacing/>
              <w:jc w:val="both"/>
              <w:rPr>
                <w:rFonts w:cs="Arial"/>
                <w:sz w:val="22"/>
                <w:szCs w:val="22"/>
              </w:rPr>
            </w:pPr>
            <w:r w:rsidRPr="00852531">
              <w:rPr>
                <w:rFonts w:cs="Arial"/>
                <w:sz w:val="22"/>
                <w:szCs w:val="22"/>
              </w:rPr>
              <w:t>attitude towards tax planning and level of risk</w:t>
            </w:r>
          </w:p>
          <w:p w:rsidR="00852531" w:rsidRPr="00852531" w:rsidRDefault="00852531" w:rsidP="00852531">
            <w:pPr>
              <w:pStyle w:val="ListParagraph"/>
              <w:numPr>
                <w:ilvl w:val="0"/>
                <w:numId w:val="14"/>
              </w:numPr>
              <w:contextualSpacing/>
              <w:jc w:val="both"/>
              <w:rPr>
                <w:rFonts w:cs="Arial"/>
                <w:sz w:val="22"/>
                <w:szCs w:val="22"/>
              </w:rPr>
            </w:pPr>
            <w:r w:rsidRPr="00852531">
              <w:rPr>
                <w:rFonts w:cs="Arial"/>
                <w:sz w:val="22"/>
                <w:szCs w:val="22"/>
              </w:rPr>
              <w:t>relationship with HMRC</w:t>
            </w:r>
          </w:p>
          <w:p w:rsidR="00852531" w:rsidRPr="00852531" w:rsidRDefault="00852531" w:rsidP="00852531">
            <w:pPr>
              <w:jc w:val="both"/>
              <w:rPr>
                <w:rFonts w:cs="Arial"/>
                <w:sz w:val="22"/>
                <w:szCs w:val="22"/>
              </w:rPr>
            </w:pPr>
          </w:p>
          <w:p w:rsidR="00852531" w:rsidRDefault="00852531" w:rsidP="00852531">
            <w:pPr>
              <w:jc w:val="both"/>
              <w:rPr>
                <w:rFonts w:cs="Arial"/>
                <w:sz w:val="22"/>
                <w:szCs w:val="22"/>
              </w:rPr>
            </w:pPr>
            <w:r w:rsidRPr="00852531">
              <w:rPr>
                <w:rFonts w:cs="Arial"/>
                <w:sz w:val="22"/>
                <w:szCs w:val="22"/>
              </w:rPr>
              <w:t xml:space="preserve">The </w:t>
            </w:r>
            <w:r>
              <w:rPr>
                <w:rFonts w:cs="Arial"/>
                <w:sz w:val="22"/>
                <w:szCs w:val="22"/>
              </w:rPr>
              <w:t xml:space="preserve">current strategy was agreed by the FPC in September 2021 and has been reviewed by Deloitte in </w:t>
            </w:r>
            <w:r w:rsidR="00E67847">
              <w:rPr>
                <w:rFonts w:cs="Arial"/>
                <w:sz w:val="22"/>
                <w:szCs w:val="22"/>
              </w:rPr>
              <w:t>February</w:t>
            </w:r>
            <w:r>
              <w:rPr>
                <w:rFonts w:cs="Arial"/>
                <w:sz w:val="22"/>
                <w:szCs w:val="22"/>
              </w:rPr>
              <w:t xml:space="preserve"> 2024</w:t>
            </w:r>
            <w:r w:rsidR="004A78BE">
              <w:rPr>
                <w:rFonts w:cs="Arial"/>
                <w:sz w:val="22"/>
                <w:szCs w:val="22"/>
              </w:rPr>
              <w:t>.T</w:t>
            </w:r>
            <w:r>
              <w:rPr>
                <w:rFonts w:cs="Arial"/>
                <w:sz w:val="22"/>
                <w:szCs w:val="22"/>
              </w:rPr>
              <w:t xml:space="preserve">heir comments </w:t>
            </w:r>
            <w:r w:rsidR="004A78BE">
              <w:rPr>
                <w:rFonts w:cs="Arial"/>
                <w:sz w:val="22"/>
                <w:szCs w:val="22"/>
              </w:rPr>
              <w:t xml:space="preserve">are </w:t>
            </w:r>
            <w:r>
              <w:rPr>
                <w:rFonts w:cs="Arial"/>
                <w:sz w:val="22"/>
                <w:szCs w:val="22"/>
              </w:rPr>
              <w:t>highlighted on the revised strategy</w:t>
            </w:r>
            <w:r w:rsidR="003A66D5">
              <w:rPr>
                <w:rFonts w:cs="Arial"/>
                <w:sz w:val="22"/>
                <w:szCs w:val="22"/>
              </w:rPr>
              <w:t>,</w:t>
            </w:r>
            <w:r>
              <w:rPr>
                <w:rFonts w:cs="Arial"/>
                <w:sz w:val="22"/>
                <w:szCs w:val="22"/>
              </w:rPr>
              <w:t xml:space="preserve"> included at appendix 1. </w:t>
            </w:r>
          </w:p>
          <w:p w:rsidR="00A44E6A" w:rsidRPr="00A44E6A" w:rsidRDefault="00A44E6A" w:rsidP="00ED3E3A">
            <w:pPr>
              <w:rPr>
                <w:color w:val="FF0000"/>
                <w:sz w:val="22"/>
                <w:szCs w:val="22"/>
              </w:rPr>
            </w:pPr>
          </w:p>
        </w:tc>
      </w:tr>
      <w:tr w:rsidR="00B465B8" w:rsidTr="00B465B8">
        <w:tc>
          <w:tcPr>
            <w:tcW w:w="2263" w:type="dxa"/>
          </w:tcPr>
          <w:p w:rsidR="00B465B8" w:rsidRPr="0075639A" w:rsidRDefault="0075639A" w:rsidP="00ED3E3A">
            <w:pPr>
              <w:rPr>
                <w:b/>
                <w:color w:val="FF0000"/>
              </w:rPr>
            </w:pPr>
            <w:r w:rsidRPr="0075639A">
              <w:rPr>
                <w:b/>
                <w:sz w:val="22"/>
                <w:szCs w:val="22"/>
              </w:rPr>
              <w:t>Key recommendations:</w:t>
            </w:r>
          </w:p>
        </w:tc>
        <w:tc>
          <w:tcPr>
            <w:tcW w:w="7786" w:type="dxa"/>
          </w:tcPr>
          <w:p w:rsidR="003A66D5" w:rsidRPr="00FD7CDB" w:rsidRDefault="003A66D5" w:rsidP="003A66D5">
            <w:pPr>
              <w:spacing w:after="200" w:line="276" w:lineRule="auto"/>
              <w:contextualSpacing/>
              <w:rPr>
                <w:rFonts w:cs="Arial"/>
                <w:sz w:val="22"/>
                <w:szCs w:val="22"/>
              </w:rPr>
            </w:pPr>
            <w:r w:rsidRPr="00FD7CDB">
              <w:rPr>
                <w:rFonts w:cs="Arial"/>
                <w:sz w:val="22"/>
                <w:szCs w:val="22"/>
              </w:rPr>
              <w:t>The Finance &amp; Performance Committee is requested to: -</w:t>
            </w:r>
          </w:p>
          <w:p w:rsidR="004A78BE" w:rsidRDefault="004A78BE" w:rsidP="004A78BE">
            <w:pPr>
              <w:pStyle w:val="ListParagraph"/>
              <w:numPr>
                <w:ilvl w:val="1"/>
                <w:numId w:val="20"/>
              </w:numPr>
              <w:rPr>
                <w:rFonts w:cs="Arial"/>
                <w:bCs/>
                <w:sz w:val="22"/>
                <w:szCs w:val="22"/>
              </w:rPr>
            </w:pPr>
            <w:r w:rsidRPr="00393976">
              <w:rPr>
                <w:rFonts w:cs="Arial"/>
                <w:bCs/>
                <w:sz w:val="22"/>
                <w:szCs w:val="22"/>
              </w:rPr>
              <w:t xml:space="preserve">review and approve the updated </w:t>
            </w:r>
            <w:r w:rsidR="00E67847">
              <w:rPr>
                <w:rFonts w:cs="Arial"/>
                <w:bCs/>
                <w:sz w:val="22"/>
                <w:szCs w:val="22"/>
              </w:rPr>
              <w:t xml:space="preserve">EKHUFT </w:t>
            </w:r>
            <w:r w:rsidRPr="00393976">
              <w:rPr>
                <w:rFonts w:cs="Arial"/>
                <w:bCs/>
                <w:sz w:val="22"/>
                <w:szCs w:val="22"/>
              </w:rPr>
              <w:t>Group Tax Strategy</w:t>
            </w:r>
            <w:r w:rsidR="00E67847">
              <w:rPr>
                <w:rFonts w:cs="Arial"/>
                <w:bCs/>
                <w:sz w:val="22"/>
                <w:szCs w:val="22"/>
              </w:rPr>
              <w:t xml:space="preserve"> 2025/26</w:t>
            </w:r>
          </w:p>
          <w:p w:rsidR="004A78BE" w:rsidRPr="00393976" w:rsidRDefault="004A78BE" w:rsidP="004A78BE">
            <w:pPr>
              <w:pStyle w:val="ListParagraph"/>
              <w:numPr>
                <w:ilvl w:val="1"/>
                <w:numId w:val="20"/>
              </w:numPr>
              <w:rPr>
                <w:rFonts w:cs="Arial"/>
                <w:bCs/>
                <w:sz w:val="22"/>
                <w:szCs w:val="22"/>
              </w:rPr>
            </w:pPr>
            <w:r w:rsidRPr="00393976">
              <w:rPr>
                <w:rFonts w:cs="Arial"/>
                <w:bCs/>
                <w:sz w:val="22"/>
                <w:szCs w:val="22"/>
              </w:rPr>
              <w:t xml:space="preserve">recommend approval by the Trust Board </w:t>
            </w:r>
            <w:r>
              <w:rPr>
                <w:rFonts w:cs="Arial"/>
                <w:bCs/>
                <w:sz w:val="22"/>
                <w:szCs w:val="22"/>
              </w:rPr>
              <w:t xml:space="preserve">and </w:t>
            </w:r>
            <w:r w:rsidRPr="00393976">
              <w:rPr>
                <w:rFonts w:cs="Arial"/>
                <w:bCs/>
                <w:sz w:val="22"/>
                <w:szCs w:val="22"/>
              </w:rPr>
              <w:t xml:space="preserve">publication </w:t>
            </w:r>
            <w:r>
              <w:rPr>
                <w:rFonts w:cs="Arial"/>
                <w:bCs/>
                <w:sz w:val="22"/>
                <w:szCs w:val="22"/>
              </w:rPr>
              <w:t xml:space="preserve">of the strategy </w:t>
            </w:r>
            <w:r w:rsidRPr="00393976">
              <w:rPr>
                <w:rFonts w:cs="Arial"/>
                <w:bCs/>
                <w:sz w:val="22"/>
                <w:szCs w:val="22"/>
              </w:rPr>
              <w:t>on the Trust’s websit</w:t>
            </w:r>
            <w:r>
              <w:rPr>
                <w:rFonts w:cs="Arial"/>
                <w:bCs/>
                <w:sz w:val="22"/>
                <w:szCs w:val="22"/>
              </w:rPr>
              <w:t>e for the 2025/26 financial year</w:t>
            </w:r>
          </w:p>
          <w:p w:rsidR="0075639A" w:rsidRPr="004A78BE" w:rsidRDefault="0075639A" w:rsidP="004A78BE">
            <w:pPr>
              <w:contextualSpacing/>
              <w:jc w:val="both"/>
              <w:rPr>
                <w:rFonts w:cs="Arial"/>
                <w:sz w:val="22"/>
                <w:szCs w:val="22"/>
              </w:rPr>
            </w:pPr>
          </w:p>
        </w:tc>
      </w:tr>
    </w:tbl>
    <w:p w:rsidR="00A44E6A" w:rsidRPr="00A44E6A" w:rsidRDefault="00A44E6A" w:rsidP="00A44E6A"/>
    <w:p w:rsidR="008E1830" w:rsidRDefault="0075639A" w:rsidP="00ED3E3A">
      <w:pPr>
        <w:pStyle w:val="Heading2"/>
        <w:shd w:val="clear" w:color="auto" w:fill="DEEAF6" w:themeFill="accent5" w:themeFillTint="33"/>
        <w:spacing w:after="0"/>
        <w:rPr>
          <w:szCs w:val="22"/>
        </w:rPr>
      </w:pPr>
      <w:r>
        <w:rPr>
          <w:szCs w:val="22"/>
        </w:rPr>
        <w:t>Implications:</w:t>
      </w:r>
    </w:p>
    <w:p w:rsidR="00A44E6A" w:rsidRPr="00A44E6A" w:rsidRDefault="00A44E6A" w:rsidP="00A44E6A"/>
    <w:tbl>
      <w:tblPr>
        <w:tblStyle w:val="TableGrid"/>
        <w:tblW w:w="0" w:type="auto"/>
        <w:tblLook w:val="0620" w:firstRow="1" w:lastRow="0" w:firstColumn="0" w:lastColumn="0" w:noHBand="1" w:noVBand="1"/>
      </w:tblPr>
      <w:tblGrid>
        <w:gridCol w:w="2263"/>
        <w:gridCol w:w="7786"/>
      </w:tblGrid>
      <w:tr w:rsidR="0075639A" w:rsidRPr="009334DB" w:rsidTr="009421C8">
        <w:tc>
          <w:tcPr>
            <w:tcW w:w="2263" w:type="dxa"/>
          </w:tcPr>
          <w:p w:rsidR="0075639A" w:rsidRDefault="0075639A" w:rsidP="00ED3E3A">
            <w:pPr>
              <w:rPr>
                <w:b/>
                <w:sz w:val="22"/>
                <w:szCs w:val="22"/>
              </w:rPr>
            </w:pPr>
            <w:r w:rsidRPr="0075639A">
              <w:rPr>
                <w:b/>
                <w:sz w:val="22"/>
                <w:szCs w:val="22"/>
              </w:rPr>
              <w:t xml:space="preserve">Links to Strategic </w:t>
            </w:r>
            <w:r w:rsidR="002153AA">
              <w:rPr>
                <w:b/>
                <w:sz w:val="22"/>
                <w:szCs w:val="22"/>
              </w:rPr>
              <w:t>Theme</w:t>
            </w:r>
            <w:r w:rsidRPr="0075639A">
              <w:rPr>
                <w:b/>
                <w:sz w:val="22"/>
                <w:szCs w:val="22"/>
              </w:rPr>
              <w:t>:</w:t>
            </w:r>
          </w:p>
        </w:tc>
        <w:tc>
          <w:tcPr>
            <w:tcW w:w="7786" w:type="dxa"/>
          </w:tcPr>
          <w:p w:rsidR="000E3668" w:rsidRPr="00396D98" w:rsidRDefault="000E3668" w:rsidP="000E3668">
            <w:pPr>
              <w:rPr>
                <w:i/>
                <w:color w:val="FF0000"/>
                <w:sz w:val="22"/>
                <w:szCs w:val="22"/>
              </w:rPr>
            </w:pPr>
            <w:r w:rsidRPr="00F80405">
              <w:rPr>
                <w:sz w:val="22"/>
                <w:szCs w:val="22"/>
              </w:rPr>
              <w:t>Sustainability</w:t>
            </w:r>
            <w:r>
              <w:rPr>
                <w:i/>
                <w:color w:val="FF0000"/>
                <w:sz w:val="22"/>
                <w:szCs w:val="22"/>
              </w:rPr>
              <w:t xml:space="preserve"> </w:t>
            </w:r>
          </w:p>
          <w:p w:rsidR="00A44E6A" w:rsidRPr="00396D98" w:rsidRDefault="00A44E6A" w:rsidP="000E3668">
            <w:pPr>
              <w:pStyle w:val="ListParagraph"/>
              <w:ind w:left="714"/>
              <w:rPr>
                <w:i/>
                <w:color w:val="FF0000"/>
                <w:sz w:val="22"/>
                <w:szCs w:val="22"/>
              </w:rPr>
            </w:pPr>
          </w:p>
        </w:tc>
      </w:tr>
      <w:tr w:rsidR="0075639A" w:rsidRPr="009334DB" w:rsidTr="009421C8">
        <w:tc>
          <w:tcPr>
            <w:tcW w:w="2263" w:type="dxa"/>
          </w:tcPr>
          <w:p w:rsidR="00A44E6A" w:rsidRPr="00396D98" w:rsidRDefault="0024778F" w:rsidP="00ED3E3A">
            <w:pPr>
              <w:rPr>
                <w:b/>
                <w:sz w:val="22"/>
                <w:szCs w:val="22"/>
              </w:rPr>
            </w:pPr>
            <w:r w:rsidRPr="0024778F">
              <w:rPr>
                <w:b/>
                <w:sz w:val="22"/>
                <w:szCs w:val="22"/>
              </w:rPr>
              <w:t xml:space="preserve">Link </w:t>
            </w:r>
            <w:r w:rsidRPr="0024778F">
              <w:rPr>
                <w:rFonts w:cs="Arial"/>
                <w:b/>
                <w:sz w:val="22"/>
                <w:szCs w:val="22"/>
              </w:rPr>
              <w:t xml:space="preserve">to the </w:t>
            </w:r>
            <w:r w:rsidR="00CD4393">
              <w:rPr>
                <w:rFonts w:cs="Arial"/>
                <w:b/>
                <w:sz w:val="22"/>
                <w:szCs w:val="22"/>
              </w:rPr>
              <w:t>Trust Risk Register</w:t>
            </w:r>
            <w:r w:rsidR="0075639A" w:rsidRPr="0024778F">
              <w:rPr>
                <w:b/>
                <w:sz w:val="22"/>
                <w:szCs w:val="22"/>
              </w:rPr>
              <w:t>:</w:t>
            </w:r>
          </w:p>
        </w:tc>
        <w:tc>
          <w:tcPr>
            <w:tcW w:w="7786" w:type="dxa"/>
          </w:tcPr>
          <w:p w:rsidR="0075639A" w:rsidRPr="00A44E6A" w:rsidRDefault="0075639A" w:rsidP="00ED3E3A">
            <w:pPr>
              <w:rPr>
                <w:sz w:val="22"/>
                <w:szCs w:val="22"/>
              </w:rPr>
            </w:pPr>
          </w:p>
        </w:tc>
      </w:tr>
      <w:tr w:rsidR="000E3668" w:rsidTr="009421C8">
        <w:tc>
          <w:tcPr>
            <w:tcW w:w="2263" w:type="dxa"/>
          </w:tcPr>
          <w:p w:rsidR="000E3668" w:rsidRDefault="000E3668" w:rsidP="000E3668">
            <w:pPr>
              <w:rPr>
                <w:b/>
                <w:sz w:val="22"/>
                <w:szCs w:val="22"/>
              </w:rPr>
            </w:pPr>
            <w:r>
              <w:rPr>
                <w:b/>
                <w:sz w:val="22"/>
                <w:szCs w:val="22"/>
              </w:rPr>
              <w:t>Resource</w:t>
            </w:r>
            <w:r w:rsidRPr="0075639A">
              <w:rPr>
                <w:b/>
                <w:sz w:val="22"/>
                <w:szCs w:val="22"/>
              </w:rPr>
              <w:t>:</w:t>
            </w:r>
          </w:p>
          <w:p w:rsidR="000E3668" w:rsidRPr="0075639A" w:rsidRDefault="000E3668" w:rsidP="000E3668">
            <w:pPr>
              <w:rPr>
                <w:b/>
                <w:color w:val="FF0000"/>
              </w:rPr>
            </w:pPr>
          </w:p>
        </w:tc>
        <w:tc>
          <w:tcPr>
            <w:tcW w:w="7786" w:type="dxa"/>
          </w:tcPr>
          <w:p w:rsidR="000E3668" w:rsidRDefault="000E3668" w:rsidP="000E3668">
            <w:pPr>
              <w:rPr>
                <w:sz w:val="22"/>
                <w:szCs w:val="22"/>
              </w:rPr>
            </w:pPr>
            <w:r w:rsidRPr="00F80405">
              <w:rPr>
                <w:sz w:val="22"/>
                <w:szCs w:val="22"/>
              </w:rPr>
              <w:t xml:space="preserve">Yes </w:t>
            </w:r>
          </w:p>
          <w:p w:rsidR="000E3668" w:rsidRPr="00E67847" w:rsidRDefault="000E3668" w:rsidP="00E67847">
            <w:pPr>
              <w:pStyle w:val="ListParagraph"/>
              <w:numPr>
                <w:ilvl w:val="0"/>
                <w:numId w:val="24"/>
              </w:numPr>
              <w:rPr>
                <w:sz w:val="22"/>
                <w:szCs w:val="22"/>
              </w:rPr>
            </w:pPr>
            <w:r w:rsidRPr="00E67847">
              <w:rPr>
                <w:rFonts w:cs="Arial"/>
              </w:rPr>
              <w:t>Efficient use of available Tax reliefs</w:t>
            </w:r>
          </w:p>
        </w:tc>
      </w:tr>
      <w:tr w:rsidR="000E3668" w:rsidTr="009421C8">
        <w:tc>
          <w:tcPr>
            <w:tcW w:w="2263" w:type="dxa"/>
          </w:tcPr>
          <w:p w:rsidR="000E3668" w:rsidRDefault="000E3668" w:rsidP="000E3668">
            <w:pPr>
              <w:rPr>
                <w:b/>
                <w:sz w:val="22"/>
                <w:szCs w:val="22"/>
              </w:rPr>
            </w:pPr>
            <w:r>
              <w:rPr>
                <w:b/>
                <w:sz w:val="22"/>
                <w:szCs w:val="22"/>
              </w:rPr>
              <w:t>Legal and regulatory:</w:t>
            </w:r>
          </w:p>
        </w:tc>
        <w:tc>
          <w:tcPr>
            <w:tcW w:w="7786" w:type="dxa"/>
          </w:tcPr>
          <w:p w:rsidR="000E3668" w:rsidRDefault="000E3668" w:rsidP="000E3668">
            <w:pPr>
              <w:rPr>
                <w:sz w:val="22"/>
                <w:szCs w:val="22"/>
              </w:rPr>
            </w:pPr>
            <w:r w:rsidRPr="000D1A12">
              <w:rPr>
                <w:sz w:val="22"/>
                <w:szCs w:val="22"/>
              </w:rPr>
              <w:t>Y</w:t>
            </w:r>
            <w:r>
              <w:rPr>
                <w:sz w:val="22"/>
                <w:szCs w:val="22"/>
              </w:rPr>
              <w:t>es</w:t>
            </w:r>
          </w:p>
          <w:p w:rsidR="000E3668" w:rsidRPr="00E67847" w:rsidRDefault="004F2833" w:rsidP="00E67847">
            <w:pPr>
              <w:pStyle w:val="ListParagraph"/>
              <w:numPr>
                <w:ilvl w:val="0"/>
                <w:numId w:val="23"/>
              </w:numPr>
              <w:rPr>
                <w:sz w:val="22"/>
                <w:szCs w:val="22"/>
              </w:rPr>
            </w:pPr>
            <w:r w:rsidRPr="00E67847">
              <w:rPr>
                <w:rFonts w:cs="Arial"/>
                <w:color w:val="000000"/>
                <w:lang w:val="en"/>
              </w:rPr>
              <w:t xml:space="preserve">The Group seeks to comply fully with its regulatory tax obligations and manage its </w:t>
            </w:r>
            <w:r w:rsidR="000E3668" w:rsidRPr="00E67847">
              <w:rPr>
                <w:rFonts w:cs="Arial"/>
                <w:color w:val="000000"/>
                <w:lang w:val="en"/>
              </w:rPr>
              <w:t xml:space="preserve">tax affairs in a way which </w:t>
            </w:r>
            <w:r w:rsidRPr="00E67847">
              <w:rPr>
                <w:rFonts w:cs="Arial"/>
                <w:color w:val="000000"/>
                <w:lang w:val="en"/>
              </w:rPr>
              <w:t>upholds</w:t>
            </w:r>
            <w:r w:rsidR="000E3668" w:rsidRPr="00E67847">
              <w:rPr>
                <w:rFonts w:cs="Arial"/>
                <w:color w:val="000000"/>
                <w:lang w:val="en"/>
              </w:rPr>
              <w:t xml:space="preserve"> the Group’s wider corporate reputation</w:t>
            </w:r>
            <w:r w:rsidRPr="00E67847">
              <w:rPr>
                <w:rFonts w:cs="Arial"/>
                <w:color w:val="000000"/>
                <w:lang w:val="en"/>
              </w:rPr>
              <w:t>.</w:t>
            </w:r>
            <w:r w:rsidR="000E3668" w:rsidRPr="00E67847">
              <w:rPr>
                <w:rFonts w:cs="Arial"/>
                <w:color w:val="000000"/>
                <w:lang w:val="en"/>
              </w:rPr>
              <w:t xml:space="preserve"> </w:t>
            </w:r>
          </w:p>
        </w:tc>
      </w:tr>
      <w:tr w:rsidR="000E3668" w:rsidTr="009421C8">
        <w:tc>
          <w:tcPr>
            <w:tcW w:w="2263" w:type="dxa"/>
          </w:tcPr>
          <w:p w:rsidR="000E3668" w:rsidRDefault="000E3668" w:rsidP="000E3668">
            <w:pPr>
              <w:rPr>
                <w:b/>
                <w:sz w:val="22"/>
                <w:szCs w:val="22"/>
              </w:rPr>
            </w:pPr>
            <w:r>
              <w:rPr>
                <w:b/>
                <w:sz w:val="22"/>
                <w:szCs w:val="22"/>
              </w:rPr>
              <w:t>Subsidiary:</w:t>
            </w:r>
          </w:p>
          <w:p w:rsidR="000E3668" w:rsidRDefault="000E3668" w:rsidP="000E3668">
            <w:pPr>
              <w:rPr>
                <w:b/>
                <w:sz w:val="22"/>
                <w:szCs w:val="22"/>
              </w:rPr>
            </w:pPr>
          </w:p>
        </w:tc>
        <w:tc>
          <w:tcPr>
            <w:tcW w:w="7786" w:type="dxa"/>
          </w:tcPr>
          <w:p w:rsidR="004F2833" w:rsidRDefault="000E3668" w:rsidP="000E3668">
            <w:pPr>
              <w:rPr>
                <w:sz w:val="22"/>
                <w:szCs w:val="22"/>
              </w:rPr>
            </w:pPr>
            <w:r w:rsidRPr="000D1A12">
              <w:rPr>
                <w:sz w:val="22"/>
                <w:szCs w:val="22"/>
              </w:rPr>
              <w:t>Y</w:t>
            </w:r>
            <w:r w:rsidR="004F2833">
              <w:rPr>
                <w:sz w:val="22"/>
                <w:szCs w:val="22"/>
              </w:rPr>
              <w:t>es</w:t>
            </w:r>
          </w:p>
          <w:p w:rsidR="004F2833" w:rsidRDefault="004F2833" w:rsidP="004F2833">
            <w:pPr>
              <w:pStyle w:val="ListParagraph"/>
              <w:numPr>
                <w:ilvl w:val="0"/>
                <w:numId w:val="20"/>
              </w:numPr>
              <w:contextualSpacing/>
              <w:rPr>
                <w:rFonts w:cs="Arial"/>
              </w:rPr>
            </w:pPr>
            <w:r>
              <w:rPr>
                <w:rFonts w:cs="Arial"/>
              </w:rPr>
              <w:t xml:space="preserve">Adherence to </w:t>
            </w:r>
            <w:r w:rsidR="004A78BE">
              <w:rPr>
                <w:rFonts w:cs="Arial"/>
              </w:rPr>
              <w:t xml:space="preserve">a </w:t>
            </w:r>
            <w:r>
              <w:rPr>
                <w:rFonts w:cs="Arial"/>
              </w:rPr>
              <w:t>Group wide approach to tax planning and regulatory tax obligations.</w:t>
            </w:r>
          </w:p>
          <w:p w:rsidR="000E3668" w:rsidRPr="000D1A12" w:rsidRDefault="000E3668" w:rsidP="000E3668">
            <w:pPr>
              <w:rPr>
                <w:sz w:val="22"/>
                <w:szCs w:val="22"/>
              </w:rPr>
            </w:pPr>
            <w:r w:rsidRPr="000D1A12">
              <w:rPr>
                <w:sz w:val="22"/>
                <w:szCs w:val="22"/>
              </w:rPr>
              <w:t xml:space="preserve"> </w:t>
            </w:r>
          </w:p>
        </w:tc>
      </w:tr>
    </w:tbl>
    <w:p w:rsidR="0075639A" w:rsidRDefault="0075639A" w:rsidP="00ED3E3A">
      <w:pPr>
        <w:rPr>
          <w:b/>
          <w:sz w:val="22"/>
          <w:szCs w:val="22"/>
        </w:rPr>
      </w:pPr>
    </w:p>
    <w:p w:rsidR="009334DB" w:rsidRPr="001F20AE" w:rsidRDefault="009334DB" w:rsidP="00ED3E3A">
      <w:pPr>
        <w:pStyle w:val="Heading2"/>
        <w:shd w:val="clear" w:color="auto" w:fill="DEEAF6" w:themeFill="accent5" w:themeFillTint="33"/>
        <w:spacing w:after="0"/>
        <w:rPr>
          <w:szCs w:val="22"/>
        </w:rPr>
      </w:pPr>
      <w:r w:rsidRPr="001F20AE">
        <w:rPr>
          <w:szCs w:val="22"/>
        </w:rPr>
        <w:t>A</w:t>
      </w:r>
      <w:r w:rsidR="00A8661C">
        <w:rPr>
          <w:szCs w:val="22"/>
        </w:rPr>
        <w:t>ssurance route</w:t>
      </w:r>
      <w:r w:rsidRPr="001F20AE">
        <w:rPr>
          <w:szCs w:val="22"/>
        </w:rPr>
        <w:t>:</w:t>
      </w:r>
    </w:p>
    <w:p w:rsidR="00A44E6A" w:rsidRDefault="00A44E6A" w:rsidP="00ED3E3A">
      <w:pPr>
        <w:ind w:left="3"/>
        <w:rPr>
          <w:sz w:val="22"/>
          <w:szCs w:val="22"/>
        </w:rPr>
      </w:pPr>
    </w:p>
    <w:p w:rsidR="006A0F44" w:rsidRPr="000D1A12" w:rsidRDefault="00D3287C" w:rsidP="00ED3E3A">
      <w:pPr>
        <w:ind w:left="3"/>
        <w:rPr>
          <w:i/>
          <w:color w:val="FF0000"/>
          <w:sz w:val="22"/>
          <w:szCs w:val="22"/>
        </w:rPr>
      </w:pPr>
      <w:r w:rsidRPr="00D3287C">
        <w:rPr>
          <w:sz w:val="22"/>
          <w:szCs w:val="22"/>
        </w:rPr>
        <w:t>Previously considere</w:t>
      </w:r>
      <w:r w:rsidRPr="000D1A12">
        <w:rPr>
          <w:sz w:val="22"/>
          <w:szCs w:val="22"/>
        </w:rPr>
        <w:t>d by:</w:t>
      </w:r>
      <w:r w:rsidRPr="000D1A12">
        <w:rPr>
          <w:i/>
          <w:sz w:val="22"/>
          <w:szCs w:val="22"/>
        </w:rPr>
        <w:t xml:space="preserve"> </w:t>
      </w:r>
      <w:r w:rsidR="00E67847" w:rsidRPr="00E67847">
        <w:rPr>
          <w:sz w:val="22"/>
          <w:szCs w:val="22"/>
        </w:rPr>
        <w:t xml:space="preserve">EKHUFT </w:t>
      </w:r>
      <w:r w:rsidR="004F2833" w:rsidRPr="00E67847">
        <w:rPr>
          <w:sz w:val="22"/>
          <w:szCs w:val="22"/>
        </w:rPr>
        <w:t>Grou</w:t>
      </w:r>
      <w:r w:rsidR="004F2833" w:rsidRPr="004F2833">
        <w:rPr>
          <w:sz w:val="22"/>
          <w:szCs w:val="22"/>
        </w:rPr>
        <w:t>p Tax Strategy originally approved by FPC in September 2021</w:t>
      </w:r>
    </w:p>
    <w:p w:rsidR="006A0F44" w:rsidRPr="000D1A12" w:rsidRDefault="006A0F44" w:rsidP="00ED3E3A">
      <w:pPr>
        <w:rPr>
          <w:sz w:val="22"/>
          <w:szCs w:val="22"/>
        </w:rPr>
      </w:pPr>
      <w:r w:rsidRPr="000D1A12">
        <w:rPr>
          <w:sz w:val="22"/>
          <w:szCs w:val="22"/>
        </w:rPr>
        <w:br w:type="page"/>
      </w:r>
    </w:p>
    <w:p w:rsidR="006A0F44" w:rsidRPr="009A1634" w:rsidRDefault="006A0F44" w:rsidP="009A1634">
      <w:pPr>
        <w:pStyle w:val="Heading1"/>
        <w:spacing w:before="0" w:after="0"/>
        <w:rPr>
          <w:sz w:val="22"/>
          <w:szCs w:val="22"/>
        </w:rPr>
      </w:pPr>
      <w:bookmarkStart w:id="0" w:name="_GoBack"/>
      <w:bookmarkEnd w:id="0"/>
      <w:r w:rsidRPr="000D1A12">
        <w:rPr>
          <w:sz w:val="22"/>
          <w:szCs w:val="22"/>
        </w:rPr>
        <w:lastRenderedPageBreak/>
        <w:t xml:space="preserve">REPORT TITLE: </w:t>
      </w:r>
      <w:r w:rsidR="00E67847">
        <w:rPr>
          <w:sz w:val="22"/>
          <w:szCs w:val="22"/>
        </w:rPr>
        <w:t xml:space="preserve">EKHUFT </w:t>
      </w:r>
      <w:r w:rsidR="00080BB3">
        <w:t>Group Tax Strategy</w:t>
      </w:r>
      <w:r w:rsidR="004A78BE">
        <w:t xml:space="preserve"> 2025/26</w:t>
      </w:r>
    </w:p>
    <w:p w:rsidR="006A0F44" w:rsidRPr="000D1A12" w:rsidRDefault="006A0F44" w:rsidP="00ED3E3A">
      <w:pPr>
        <w:rPr>
          <w:rFonts w:cs="Arial"/>
          <w:color w:val="FF0000"/>
          <w:sz w:val="22"/>
          <w:szCs w:val="22"/>
        </w:rPr>
      </w:pPr>
    </w:p>
    <w:p w:rsidR="006A0F44" w:rsidRPr="000D1A12" w:rsidRDefault="006A0F44" w:rsidP="00ED3E3A">
      <w:pPr>
        <w:jc w:val="both"/>
        <w:rPr>
          <w:rFonts w:cs="Arial"/>
          <w:sz w:val="22"/>
          <w:szCs w:val="22"/>
        </w:rPr>
      </w:pPr>
      <w:r w:rsidRPr="000D1A12">
        <w:rPr>
          <w:rFonts w:cs="Arial"/>
          <w:noProof/>
          <w:sz w:val="22"/>
          <w:szCs w:val="22"/>
        </w:rPr>
        <mc:AlternateContent>
          <mc:Choice Requires="wps">
            <w:drawing>
              <wp:inline distT="0" distB="0" distL="0" distR="0" wp14:anchorId="756D4007">
                <wp:extent cx="6349365" cy="0"/>
                <wp:effectExtent l="0" t="0" r="0" b="0"/>
                <wp:docPr id="9" name="Straight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93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A3E248B"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9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OmEZAIAAPYEAAAOAAAAZHJzL2Uyb0RvYy54bWysVNFumzAUfZ+0f7D8ToGEEEAlVQPJXrqu&#10;UrsPcGwTrIFt2W5INO3fZ5uQLtsetmmRMNf29ck951xze3fsO3CgSjPBSxjfRBBQjgVhfF/Czy/b&#10;IINAG8QJ6gSnJTxRDe9W79/dDrKgM9GKjlAFLAjXxSBL2BojizDUuKU90jdCUm43G6F6ZOxU7UOi&#10;0GDR+y6cRVEaDkIRqQSmWtvVetyEK4/fNBSbT02jqQFdCW1txo/Kjzs3hqtbVOwVki3D5zLQP1TR&#10;I8btn16gamQQeFXsF6ieYSW0aMwNFn0omoZh6jlYNnH0E5vnFknquVhxtLzIpP8fLH48PCnASAlz&#10;CDjqrUXPRiG2bw2oBOdWQKFA7rnRo3nQxrG00cjuaxVn83q5TYN1kmdBMl/PgzzJ1kG8nGXrxez+&#10;Pt0k39xpQnFhH6GQYQc6SW1X/ozL2XWn0jJ8w4HggKyzsfMx9HVNb19pOEhdeIquIXxY8SflKOAj&#10;f5YPAn/RgIuqRXxPvdwvJ2k1GAGvjriJllas3fBREJuDXo3wuhwb1TtI6yY4+tY6XVrLKYXtYjpP&#10;8nm6gABPe7bc6aBU2nygogcuKGHHuHMdFehgWYzMphS3zMWWdZ3v3I6DwVabR4vIn9CiY8Ttujyt&#10;9ruqU6NEkf+ddbpKU+KVE4/WUkQ259gg1o2xLbTjDu93/udRvsk2WRIks3QTJFFdB/fbKgnSbbxc&#10;1PO6qurY+x8nRcsIodxVN9kfJ3/tfhRe7tpFhxBdoU8tML3fWsH5N3bCTpDTk3LaOl/t5fLJ5w+B&#10;u70/zn3W2+dq9R0AAP//AwBQSwMEFAAGAAgAAAAhAF9Hra/WAAAAAgEAAA8AAABkcnMvZG93bnJl&#10;di54bWxMj0FPwzAMhe9I/IfISNxYCgLUlaYTTOKyG2UCjl7jtdUap2qyrv33eFyYD5aenvX8vXw1&#10;uU6NNITWs4H7RQKKuPK25drA9vP9LgUVIrLFzjMZmCnAqri+yjGz/sQfNJaxVhLCIUMDTYx9pnWo&#10;GnIYFr4nFm/vB4dR5FBrO+BJwl2nH5LkWTtsWT402NO6oepQHp2kPH2nbxtMt/PclT/Lx/XXZmRn&#10;zO3N9PoCKtIU/4/hjC/oUAjTzh/ZBtUZkCLxb4u3lAG1O0td5PoSvfgFAAD//wMAUEsBAi0AFAAG&#10;AAgAAAAhALaDOJL+AAAA4QEAABMAAAAAAAAAAAAAAAAAAAAAAFtDb250ZW50X1R5cGVzXS54bWxQ&#10;SwECLQAUAAYACAAAACEAOP0h/9YAAACUAQAACwAAAAAAAAAAAAAAAAAvAQAAX3JlbHMvLnJlbHNQ&#10;SwECLQAUAAYACAAAACEA2NDphGQCAAD2BAAADgAAAAAAAAAAAAAAAAAuAgAAZHJzL2Uyb0RvYy54&#10;bWxQSwECLQAUAAYACAAAACEAX0etr9YAAAACAQAADwAAAAAAAAAAAAAAAAC+BAAAZHJzL2Rvd25y&#10;ZXYueG1sUEsFBgAAAAAEAAQA8wAAAMEFAAAAAA==&#10;" strokeweight="1.5pt">
                <w10:anchorlock/>
              </v:line>
            </w:pict>
          </mc:Fallback>
        </mc:AlternateContent>
      </w:r>
    </w:p>
    <w:p w:rsidR="00080BB3" w:rsidRDefault="00080BB3" w:rsidP="00080BB3">
      <w:pPr>
        <w:ind w:left="720"/>
        <w:rPr>
          <w:rFonts w:cs="Arial"/>
          <w:b/>
          <w:bCs/>
          <w:sz w:val="22"/>
          <w:szCs w:val="22"/>
        </w:rPr>
      </w:pPr>
    </w:p>
    <w:p w:rsidR="006A0F44" w:rsidRPr="000D1A12" w:rsidRDefault="006A0F44" w:rsidP="00ED3E3A">
      <w:pPr>
        <w:numPr>
          <w:ilvl w:val="0"/>
          <w:numId w:val="13"/>
        </w:numPr>
        <w:rPr>
          <w:rFonts w:cs="Arial"/>
          <w:b/>
          <w:bCs/>
          <w:sz w:val="22"/>
          <w:szCs w:val="22"/>
        </w:rPr>
      </w:pPr>
      <w:r w:rsidRPr="000D1A12">
        <w:rPr>
          <w:rFonts w:cs="Arial"/>
          <w:b/>
          <w:bCs/>
          <w:sz w:val="22"/>
          <w:szCs w:val="22"/>
        </w:rPr>
        <w:t>Purpose of the report</w:t>
      </w:r>
      <w:r w:rsidRPr="000D1A12">
        <w:rPr>
          <w:rFonts w:cs="Arial"/>
          <w:b/>
          <w:bCs/>
          <w:sz w:val="22"/>
          <w:szCs w:val="22"/>
        </w:rPr>
        <w:br/>
      </w:r>
    </w:p>
    <w:p w:rsidR="00867428" w:rsidRPr="00867428" w:rsidRDefault="00867428" w:rsidP="00867428">
      <w:pPr>
        <w:pStyle w:val="ListParagraph"/>
        <w:numPr>
          <w:ilvl w:val="1"/>
          <w:numId w:val="13"/>
        </w:numPr>
        <w:jc w:val="both"/>
        <w:rPr>
          <w:rFonts w:cs="Arial"/>
          <w:sz w:val="22"/>
          <w:szCs w:val="22"/>
        </w:rPr>
      </w:pPr>
      <w:r w:rsidRPr="00867428">
        <w:rPr>
          <w:rFonts w:cs="Arial"/>
          <w:sz w:val="22"/>
          <w:szCs w:val="22"/>
        </w:rPr>
        <w:t>The Group’s Tax Strategy was first approved in September 2021</w:t>
      </w:r>
      <w:r>
        <w:rPr>
          <w:rFonts w:cs="Arial"/>
          <w:sz w:val="22"/>
          <w:szCs w:val="22"/>
        </w:rPr>
        <w:t xml:space="preserve"> by the FPC</w:t>
      </w:r>
      <w:r w:rsidRPr="00867428">
        <w:rPr>
          <w:rFonts w:cs="Arial"/>
          <w:sz w:val="22"/>
          <w:szCs w:val="22"/>
        </w:rPr>
        <w:t xml:space="preserve"> and is now due for review.</w:t>
      </w:r>
    </w:p>
    <w:p w:rsidR="00867428" w:rsidRPr="00867428" w:rsidRDefault="00867428" w:rsidP="00867428">
      <w:pPr>
        <w:pStyle w:val="ListParagraph"/>
        <w:jc w:val="both"/>
        <w:rPr>
          <w:rFonts w:cs="Arial"/>
          <w:sz w:val="22"/>
          <w:szCs w:val="22"/>
        </w:rPr>
      </w:pPr>
    </w:p>
    <w:p w:rsidR="00867428" w:rsidRPr="00867428" w:rsidRDefault="00867428" w:rsidP="00867428">
      <w:pPr>
        <w:pStyle w:val="ListParagraph"/>
        <w:numPr>
          <w:ilvl w:val="1"/>
          <w:numId w:val="13"/>
        </w:numPr>
        <w:jc w:val="both"/>
        <w:rPr>
          <w:rFonts w:cs="Arial"/>
          <w:sz w:val="22"/>
          <w:szCs w:val="22"/>
        </w:rPr>
      </w:pPr>
      <w:r w:rsidRPr="00867428">
        <w:rPr>
          <w:rFonts w:cs="Arial"/>
          <w:sz w:val="22"/>
          <w:szCs w:val="22"/>
        </w:rPr>
        <w:t>The purpose of the report is to propose an updated strategy</w:t>
      </w:r>
      <w:r>
        <w:rPr>
          <w:rFonts w:cs="Arial"/>
          <w:sz w:val="22"/>
          <w:szCs w:val="22"/>
        </w:rPr>
        <w:t xml:space="preserve"> for approval</w:t>
      </w:r>
      <w:r w:rsidRPr="00867428">
        <w:rPr>
          <w:rFonts w:cs="Arial"/>
          <w:sz w:val="22"/>
          <w:szCs w:val="22"/>
        </w:rPr>
        <w:t>, which takes account of the comments made by the Deloitte Accounting firm following a review in 2024</w:t>
      </w:r>
      <w:r w:rsidR="004A78BE">
        <w:rPr>
          <w:rFonts w:cs="Arial"/>
          <w:sz w:val="22"/>
          <w:szCs w:val="22"/>
        </w:rPr>
        <w:t>,</w:t>
      </w:r>
      <w:r w:rsidRPr="00867428">
        <w:rPr>
          <w:rFonts w:cs="Arial"/>
          <w:sz w:val="22"/>
          <w:szCs w:val="22"/>
        </w:rPr>
        <w:t xml:space="preserve"> as part of their Transfer Pricing work. </w:t>
      </w:r>
    </w:p>
    <w:p w:rsidR="006A0F44" w:rsidRPr="000D1A12" w:rsidRDefault="006A0F44" w:rsidP="00ED3E3A">
      <w:pPr>
        <w:jc w:val="both"/>
        <w:rPr>
          <w:rFonts w:cs="Arial"/>
          <w:b/>
          <w:bCs/>
          <w:sz w:val="22"/>
          <w:szCs w:val="22"/>
        </w:rPr>
      </w:pPr>
    </w:p>
    <w:p w:rsidR="006A0F44" w:rsidRPr="00867428" w:rsidRDefault="006A0F44" w:rsidP="00867428">
      <w:pPr>
        <w:numPr>
          <w:ilvl w:val="0"/>
          <w:numId w:val="13"/>
        </w:numPr>
        <w:rPr>
          <w:rFonts w:cs="Arial"/>
          <w:b/>
          <w:bCs/>
          <w:sz w:val="22"/>
          <w:szCs w:val="22"/>
        </w:rPr>
      </w:pPr>
      <w:r w:rsidRPr="000D1A12">
        <w:rPr>
          <w:rFonts w:cs="Arial"/>
          <w:b/>
          <w:bCs/>
          <w:sz w:val="22"/>
          <w:szCs w:val="22"/>
        </w:rPr>
        <w:t>Background</w:t>
      </w:r>
      <w:r w:rsidRPr="00867428">
        <w:rPr>
          <w:rFonts w:cs="Arial"/>
          <w:b/>
          <w:bCs/>
          <w:sz w:val="22"/>
          <w:szCs w:val="22"/>
        </w:rPr>
        <w:br/>
      </w:r>
    </w:p>
    <w:p w:rsidR="008E1AB2" w:rsidRPr="00867428" w:rsidRDefault="008E1AB2" w:rsidP="00867428">
      <w:pPr>
        <w:ind w:left="720" w:hanging="720"/>
        <w:rPr>
          <w:rFonts w:cs="Arial"/>
          <w:bCs/>
          <w:sz w:val="22"/>
          <w:szCs w:val="22"/>
        </w:rPr>
      </w:pPr>
      <w:r w:rsidRPr="00867428">
        <w:rPr>
          <w:rFonts w:cs="Arial"/>
          <w:b/>
          <w:bCs/>
          <w:sz w:val="22"/>
          <w:szCs w:val="22"/>
        </w:rPr>
        <w:t>2.1</w:t>
      </w:r>
      <w:r w:rsidRPr="00867428">
        <w:rPr>
          <w:rFonts w:cs="Arial"/>
          <w:b/>
          <w:bCs/>
          <w:sz w:val="22"/>
          <w:szCs w:val="22"/>
        </w:rPr>
        <w:tab/>
      </w:r>
      <w:r w:rsidRPr="00867428">
        <w:rPr>
          <w:rFonts w:cs="Arial"/>
          <w:bCs/>
          <w:sz w:val="22"/>
          <w:szCs w:val="22"/>
        </w:rPr>
        <w:t xml:space="preserve">The 2016 Finance Bill requires companies to disclose more information in respect of tax and for larger company groups, to publish their tax strategy. Although this is not a requirement for the EKHUFT Group, given the significance of the two wholly owned subsidiary companies and the associated tax liabilities, a tax strategy is considered </w:t>
      </w:r>
      <w:r w:rsidR="00283147">
        <w:rPr>
          <w:rFonts w:cs="Arial"/>
          <w:bCs/>
          <w:sz w:val="22"/>
          <w:szCs w:val="22"/>
        </w:rPr>
        <w:t xml:space="preserve">by the Trust advisors to be </w:t>
      </w:r>
      <w:r w:rsidRPr="00867428">
        <w:rPr>
          <w:rFonts w:cs="Arial"/>
          <w:bCs/>
          <w:sz w:val="22"/>
          <w:szCs w:val="22"/>
        </w:rPr>
        <w:t>good practice.  Therefore, a Group Tax Strategy (GTS) was developed and approved by the FPC in September 2021</w:t>
      </w:r>
      <w:r w:rsidR="00867428" w:rsidRPr="00867428">
        <w:rPr>
          <w:rFonts w:cs="Arial"/>
          <w:bCs/>
          <w:sz w:val="22"/>
          <w:szCs w:val="22"/>
        </w:rPr>
        <w:t>, which outlned the:</w:t>
      </w:r>
      <w:r w:rsidRPr="00867428">
        <w:rPr>
          <w:rFonts w:cs="Arial"/>
          <w:bCs/>
          <w:sz w:val="22"/>
          <w:szCs w:val="22"/>
        </w:rPr>
        <w:t xml:space="preserve"> </w:t>
      </w:r>
    </w:p>
    <w:p w:rsidR="008E1AB2" w:rsidRPr="008E1AB2" w:rsidRDefault="008E1AB2" w:rsidP="008E1AB2">
      <w:pPr>
        <w:rPr>
          <w:rFonts w:cs="Arial"/>
          <w:sz w:val="22"/>
          <w:szCs w:val="22"/>
        </w:rPr>
      </w:pPr>
    </w:p>
    <w:p w:rsidR="008E1AB2" w:rsidRPr="008E1AB2" w:rsidRDefault="008E1AB2" w:rsidP="008E1AB2">
      <w:pPr>
        <w:numPr>
          <w:ilvl w:val="1"/>
          <w:numId w:val="14"/>
        </w:numPr>
        <w:rPr>
          <w:rFonts w:cs="Arial"/>
          <w:sz w:val="22"/>
          <w:szCs w:val="22"/>
        </w:rPr>
      </w:pPr>
      <w:r w:rsidRPr="008E1AB2">
        <w:rPr>
          <w:rFonts w:cs="Arial"/>
          <w:sz w:val="22"/>
          <w:szCs w:val="22"/>
        </w:rPr>
        <w:t>governance arrangements in respect of taxation</w:t>
      </w:r>
    </w:p>
    <w:p w:rsidR="008E1AB2" w:rsidRPr="008E1AB2" w:rsidRDefault="008E1AB2" w:rsidP="008E1AB2">
      <w:pPr>
        <w:numPr>
          <w:ilvl w:val="1"/>
          <w:numId w:val="14"/>
        </w:numPr>
        <w:rPr>
          <w:rFonts w:cs="Arial"/>
          <w:sz w:val="22"/>
          <w:szCs w:val="22"/>
        </w:rPr>
      </w:pPr>
      <w:r w:rsidRPr="008E1AB2">
        <w:rPr>
          <w:rFonts w:cs="Arial"/>
          <w:sz w:val="22"/>
          <w:szCs w:val="22"/>
        </w:rPr>
        <w:t>approach to risk management in respect of taxation</w:t>
      </w:r>
    </w:p>
    <w:p w:rsidR="008E1AB2" w:rsidRPr="008E1AB2" w:rsidRDefault="008E1AB2" w:rsidP="008E1AB2">
      <w:pPr>
        <w:numPr>
          <w:ilvl w:val="1"/>
          <w:numId w:val="14"/>
        </w:numPr>
        <w:rPr>
          <w:rFonts w:cs="Arial"/>
          <w:sz w:val="22"/>
          <w:szCs w:val="22"/>
        </w:rPr>
      </w:pPr>
      <w:r w:rsidRPr="008E1AB2">
        <w:rPr>
          <w:rFonts w:cs="Arial"/>
          <w:sz w:val="22"/>
          <w:szCs w:val="22"/>
        </w:rPr>
        <w:t>attitude towards tax planning and level of risk</w:t>
      </w:r>
    </w:p>
    <w:p w:rsidR="008E1AB2" w:rsidRPr="008E1AB2" w:rsidRDefault="008E1AB2" w:rsidP="008E1AB2">
      <w:pPr>
        <w:numPr>
          <w:ilvl w:val="1"/>
          <w:numId w:val="14"/>
        </w:numPr>
        <w:rPr>
          <w:rFonts w:cs="Arial"/>
          <w:sz w:val="22"/>
          <w:szCs w:val="22"/>
        </w:rPr>
      </w:pPr>
      <w:r w:rsidRPr="008E1AB2">
        <w:rPr>
          <w:rFonts w:cs="Arial"/>
          <w:sz w:val="22"/>
          <w:szCs w:val="22"/>
        </w:rPr>
        <w:t>relationship with HMRC</w:t>
      </w:r>
    </w:p>
    <w:p w:rsidR="006A0F44" w:rsidRPr="00867428" w:rsidRDefault="006A0F44" w:rsidP="00867428">
      <w:pPr>
        <w:rPr>
          <w:rFonts w:cs="Arial"/>
          <w:b/>
          <w:bCs/>
          <w:sz w:val="22"/>
          <w:szCs w:val="22"/>
        </w:rPr>
      </w:pPr>
    </w:p>
    <w:p w:rsidR="008E1AB2" w:rsidRPr="00867428" w:rsidRDefault="008E1AB2" w:rsidP="00867428">
      <w:pPr>
        <w:ind w:left="720" w:hanging="720"/>
        <w:rPr>
          <w:rFonts w:cs="Arial"/>
          <w:bCs/>
          <w:sz w:val="22"/>
          <w:szCs w:val="22"/>
        </w:rPr>
      </w:pPr>
      <w:r w:rsidRPr="00867428">
        <w:rPr>
          <w:rFonts w:cs="Arial"/>
          <w:b/>
          <w:bCs/>
          <w:sz w:val="22"/>
          <w:szCs w:val="22"/>
        </w:rPr>
        <w:t>2.2</w:t>
      </w:r>
      <w:r w:rsidRPr="00867428">
        <w:rPr>
          <w:rFonts w:cs="Arial"/>
          <w:b/>
          <w:bCs/>
          <w:sz w:val="22"/>
          <w:szCs w:val="22"/>
        </w:rPr>
        <w:tab/>
      </w:r>
      <w:r w:rsidR="00867428" w:rsidRPr="00867428">
        <w:rPr>
          <w:rFonts w:cs="Arial"/>
          <w:bCs/>
          <w:sz w:val="22"/>
          <w:szCs w:val="22"/>
        </w:rPr>
        <w:t>As part of their Transfer Pricing work, Deloitte were requested to review the GTS. The results of this review are incorporated in the updated GTS</w:t>
      </w:r>
      <w:r w:rsidR="00E67847">
        <w:rPr>
          <w:rFonts w:cs="Arial"/>
          <w:bCs/>
          <w:sz w:val="22"/>
          <w:szCs w:val="22"/>
        </w:rPr>
        <w:t xml:space="preserve"> 2025/26</w:t>
      </w:r>
      <w:r w:rsidR="00867428" w:rsidRPr="00867428">
        <w:rPr>
          <w:rFonts w:cs="Arial"/>
          <w:bCs/>
          <w:sz w:val="22"/>
          <w:szCs w:val="22"/>
        </w:rPr>
        <w:t>, included at appendix 1.</w:t>
      </w:r>
      <w:r w:rsidRPr="00867428">
        <w:rPr>
          <w:rFonts w:cs="Arial"/>
          <w:bCs/>
          <w:sz w:val="22"/>
          <w:szCs w:val="22"/>
        </w:rPr>
        <w:t xml:space="preserve"> </w:t>
      </w:r>
    </w:p>
    <w:p w:rsidR="006A0F44" w:rsidRDefault="006A0F44" w:rsidP="00ED3E3A">
      <w:pPr>
        <w:rPr>
          <w:sz w:val="22"/>
          <w:szCs w:val="22"/>
        </w:rPr>
      </w:pPr>
    </w:p>
    <w:p w:rsidR="00867428" w:rsidRPr="008F0B86" w:rsidRDefault="0020565E" w:rsidP="0020565E">
      <w:pPr>
        <w:pStyle w:val="ListParagraph"/>
        <w:numPr>
          <w:ilvl w:val="0"/>
          <w:numId w:val="13"/>
        </w:numPr>
        <w:rPr>
          <w:b/>
          <w:sz w:val="22"/>
          <w:szCs w:val="22"/>
        </w:rPr>
      </w:pPr>
      <w:r w:rsidRPr="008F0B86">
        <w:rPr>
          <w:b/>
          <w:sz w:val="22"/>
          <w:szCs w:val="22"/>
        </w:rPr>
        <w:t>Key Changes to the GTS</w:t>
      </w:r>
    </w:p>
    <w:p w:rsidR="00867428" w:rsidRDefault="00867428" w:rsidP="00ED3E3A">
      <w:pPr>
        <w:rPr>
          <w:sz w:val="22"/>
          <w:szCs w:val="22"/>
        </w:rPr>
      </w:pPr>
    </w:p>
    <w:p w:rsidR="0020565E" w:rsidRPr="00867428" w:rsidRDefault="0020565E" w:rsidP="0020565E">
      <w:pPr>
        <w:ind w:left="720" w:hanging="720"/>
        <w:rPr>
          <w:rFonts w:cs="Arial"/>
          <w:bCs/>
          <w:sz w:val="22"/>
          <w:szCs w:val="22"/>
        </w:rPr>
      </w:pPr>
      <w:r w:rsidRPr="0020565E">
        <w:rPr>
          <w:rFonts w:cs="Arial"/>
          <w:b/>
          <w:bCs/>
          <w:sz w:val="22"/>
          <w:szCs w:val="22"/>
        </w:rPr>
        <w:t>3.1</w:t>
      </w:r>
      <w:r>
        <w:rPr>
          <w:rFonts w:cs="Arial"/>
          <w:bCs/>
          <w:sz w:val="22"/>
          <w:szCs w:val="22"/>
        </w:rPr>
        <w:tab/>
      </w:r>
      <w:r w:rsidRPr="00867428">
        <w:rPr>
          <w:rFonts w:cs="Arial"/>
          <w:bCs/>
          <w:sz w:val="22"/>
          <w:szCs w:val="22"/>
        </w:rPr>
        <w:t xml:space="preserve">The </w:t>
      </w:r>
      <w:r>
        <w:rPr>
          <w:rFonts w:cs="Arial"/>
          <w:bCs/>
          <w:sz w:val="22"/>
          <w:szCs w:val="22"/>
        </w:rPr>
        <w:t>main amendments to the GTS</w:t>
      </w:r>
      <w:r w:rsidR="008F0B86">
        <w:rPr>
          <w:rFonts w:cs="Arial"/>
          <w:bCs/>
          <w:sz w:val="22"/>
          <w:szCs w:val="22"/>
        </w:rPr>
        <w:t>,</w:t>
      </w:r>
      <w:r>
        <w:rPr>
          <w:rFonts w:cs="Arial"/>
          <w:bCs/>
          <w:sz w:val="22"/>
          <w:szCs w:val="22"/>
        </w:rPr>
        <w:t xml:space="preserve"> which were </w:t>
      </w:r>
      <w:r w:rsidR="008F0B86">
        <w:rPr>
          <w:rFonts w:cs="Arial"/>
          <w:bCs/>
          <w:sz w:val="22"/>
          <w:szCs w:val="22"/>
        </w:rPr>
        <w:t>suggested</w:t>
      </w:r>
      <w:r>
        <w:rPr>
          <w:rFonts w:cs="Arial"/>
          <w:bCs/>
          <w:sz w:val="22"/>
          <w:szCs w:val="22"/>
        </w:rPr>
        <w:t xml:space="preserve"> by Deloitte</w:t>
      </w:r>
      <w:r w:rsidR="00842297">
        <w:rPr>
          <w:rFonts w:cs="Arial"/>
          <w:bCs/>
          <w:sz w:val="22"/>
          <w:szCs w:val="22"/>
        </w:rPr>
        <w:t xml:space="preserve"> and based on HMRC guidance</w:t>
      </w:r>
      <w:r>
        <w:rPr>
          <w:rFonts w:cs="Arial"/>
          <w:bCs/>
          <w:sz w:val="22"/>
          <w:szCs w:val="22"/>
        </w:rPr>
        <w:t>, are highlighted</w:t>
      </w:r>
      <w:r w:rsidR="00080BB3">
        <w:rPr>
          <w:rFonts w:cs="Arial"/>
          <w:bCs/>
          <w:sz w:val="22"/>
          <w:szCs w:val="22"/>
        </w:rPr>
        <w:t xml:space="preserve"> </w:t>
      </w:r>
      <w:r>
        <w:rPr>
          <w:rFonts w:cs="Arial"/>
          <w:bCs/>
          <w:sz w:val="22"/>
          <w:szCs w:val="22"/>
        </w:rPr>
        <w:t xml:space="preserve">in yellow </w:t>
      </w:r>
      <w:r w:rsidR="00080BB3">
        <w:rPr>
          <w:rFonts w:cs="Arial"/>
          <w:bCs/>
          <w:sz w:val="22"/>
          <w:szCs w:val="22"/>
        </w:rPr>
        <w:t xml:space="preserve">within the proposed strategy </w:t>
      </w:r>
      <w:r>
        <w:rPr>
          <w:rFonts w:cs="Arial"/>
          <w:bCs/>
          <w:sz w:val="22"/>
          <w:szCs w:val="22"/>
        </w:rPr>
        <w:t>and include:</w:t>
      </w:r>
    </w:p>
    <w:p w:rsidR="00867428" w:rsidRDefault="00867428" w:rsidP="00ED3E3A">
      <w:pPr>
        <w:rPr>
          <w:sz w:val="22"/>
          <w:szCs w:val="22"/>
        </w:rPr>
      </w:pPr>
    </w:p>
    <w:p w:rsidR="0020565E" w:rsidRPr="008F0B86" w:rsidRDefault="00A7229C" w:rsidP="0020565E">
      <w:pPr>
        <w:pStyle w:val="ListParagraph"/>
        <w:numPr>
          <w:ilvl w:val="1"/>
          <w:numId w:val="20"/>
        </w:numPr>
        <w:rPr>
          <w:sz w:val="22"/>
          <w:szCs w:val="22"/>
        </w:rPr>
      </w:pPr>
      <w:r>
        <w:rPr>
          <w:rFonts w:cs="Arial"/>
          <w:color w:val="000000"/>
          <w:sz w:val="22"/>
          <w:szCs w:val="22"/>
        </w:rPr>
        <w:t xml:space="preserve">Section 1 - </w:t>
      </w:r>
      <w:r w:rsidR="0020565E">
        <w:rPr>
          <w:rFonts w:cs="Arial"/>
          <w:color w:val="000000"/>
          <w:sz w:val="22"/>
          <w:szCs w:val="22"/>
        </w:rPr>
        <w:t>Introduction &amp; Background</w:t>
      </w:r>
    </w:p>
    <w:p w:rsidR="008F0B86" w:rsidRPr="0020565E" w:rsidRDefault="008F0B86" w:rsidP="008F0B86">
      <w:pPr>
        <w:pStyle w:val="ListParagraph"/>
        <w:ind w:left="1080"/>
        <w:rPr>
          <w:sz w:val="22"/>
          <w:szCs w:val="22"/>
        </w:rPr>
      </w:pPr>
    </w:p>
    <w:p w:rsidR="0020565E" w:rsidRPr="0020565E" w:rsidRDefault="0020565E" w:rsidP="0020565E">
      <w:pPr>
        <w:pStyle w:val="ListParagraph"/>
        <w:numPr>
          <w:ilvl w:val="2"/>
          <w:numId w:val="20"/>
        </w:numPr>
        <w:rPr>
          <w:sz w:val="22"/>
          <w:szCs w:val="22"/>
        </w:rPr>
      </w:pPr>
      <w:r>
        <w:rPr>
          <w:rFonts w:cs="Arial"/>
          <w:color w:val="000000"/>
          <w:sz w:val="22"/>
          <w:szCs w:val="22"/>
        </w:rPr>
        <w:t>Based on HMRC guidance and best practice</w:t>
      </w:r>
      <w:r w:rsidR="00E67847">
        <w:rPr>
          <w:rFonts w:cs="Arial"/>
          <w:color w:val="000000"/>
          <w:sz w:val="22"/>
          <w:szCs w:val="22"/>
        </w:rPr>
        <w:t>,</w:t>
      </w:r>
      <w:r>
        <w:rPr>
          <w:rFonts w:cs="Arial"/>
          <w:color w:val="000000"/>
          <w:sz w:val="22"/>
          <w:szCs w:val="22"/>
        </w:rPr>
        <w:t xml:space="preserve"> to insert the requirement to comply with </w:t>
      </w:r>
      <w:r w:rsidRPr="0020565E">
        <w:rPr>
          <w:rFonts w:cs="Arial"/>
          <w:color w:val="000000"/>
          <w:sz w:val="22"/>
          <w:szCs w:val="22"/>
        </w:rPr>
        <w:t>paragraph 16(2) of Schedule 19 of UK Finance Act 2016.</w:t>
      </w:r>
    </w:p>
    <w:p w:rsidR="0020565E" w:rsidRDefault="0020565E" w:rsidP="0020565E">
      <w:pPr>
        <w:pStyle w:val="ListParagraph"/>
        <w:numPr>
          <w:ilvl w:val="2"/>
          <w:numId w:val="20"/>
        </w:numPr>
        <w:rPr>
          <w:sz w:val="22"/>
          <w:szCs w:val="22"/>
        </w:rPr>
      </w:pPr>
      <w:r>
        <w:rPr>
          <w:sz w:val="22"/>
          <w:szCs w:val="22"/>
        </w:rPr>
        <w:t>The legislation requires that the tax strategy is reviewed and published annually. The previous GTS had a 2</w:t>
      </w:r>
      <w:r w:rsidR="00A7229C">
        <w:rPr>
          <w:sz w:val="22"/>
          <w:szCs w:val="22"/>
        </w:rPr>
        <w:t>-</w:t>
      </w:r>
      <w:r>
        <w:rPr>
          <w:sz w:val="22"/>
          <w:szCs w:val="22"/>
        </w:rPr>
        <w:t xml:space="preserve">year review period. </w:t>
      </w:r>
      <w:r w:rsidR="00A7229C">
        <w:rPr>
          <w:sz w:val="22"/>
          <w:szCs w:val="22"/>
        </w:rPr>
        <w:t xml:space="preserve">The period the strategy covers </w:t>
      </w:r>
      <w:r w:rsidR="00E67847">
        <w:rPr>
          <w:sz w:val="22"/>
          <w:szCs w:val="22"/>
        </w:rPr>
        <w:t xml:space="preserve">to </w:t>
      </w:r>
      <w:r w:rsidR="00A7229C">
        <w:rPr>
          <w:sz w:val="22"/>
          <w:szCs w:val="22"/>
        </w:rPr>
        <w:t>has been added e.g. 31</w:t>
      </w:r>
      <w:r w:rsidR="00A7229C" w:rsidRPr="00A7229C">
        <w:rPr>
          <w:sz w:val="22"/>
          <w:szCs w:val="22"/>
          <w:vertAlign w:val="superscript"/>
        </w:rPr>
        <w:t>st</w:t>
      </w:r>
      <w:r w:rsidR="00A7229C">
        <w:rPr>
          <w:sz w:val="22"/>
          <w:szCs w:val="22"/>
        </w:rPr>
        <w:t xml:space="preserve"> March 2026.</w:t>
      </w:r>
    </w:p>
    <w:p w:rsidR="00842297" w:rsidRDefault="00842297">
      <w:pPr>
        <w:rPr>
          <w:sz w:val="22"/>
          <w:szCs w:val="22"/>
        </w:rPr>
      </w:pPr>
      <w:r>
        <w:rPr>
          <w:sz w:val="22"/>
          <w:szCs w:val="22"/>
        </w:rPr>
        <w:br w:type="page"/>
      </w:r>
    </w:p>
    <w:p w:rsidR="008F0B86" w:rsidRPr="0020565E" w:rsidRDefault="008F0B86" w:rsidP="008F0B86">
      <w:pPr>
        <w:pStyle w:val="ListParagraph"/>
        <w:ind w:left="1800"/>
        <w:rPr>
          <w:sz w:val="22"/>
          <w:szCs w:val="22"/>
        </w:rPr>
      </w:pPr>
    </w:p>
    <w:p w:rsidR="00A7229C" w:rsidRDefault="00A7229C" w:rsidP="00A7229C">
      <w:pPr>
        <w:pStyle w:val="ListParagraph"/>
        <w:numPr>
          <w:ilvl w:val="1"/>
          <w:numId w:val="20"/>
        </w:numPr>
        <w:suppressAutoHyphens/>
        <w:autoSpaceDN w:val="0"/>
        <w:jc w:val="both"/>
        <w:textAlignment w:val="baseline"/>
        <w:rPr>
          <w:rFonts w:cs="Arial"/>
          <w:sz w:val="22"/>
          <w:szCs w:val="22"/>
        </w:rPr>
      </w:pPr>
      <w:r>
        <w:rPr>
          <w:rFonts w:cs="Arial"/>
          <w:sz w:val="22"/>
          <w:szCs w:val="22"/>
        </w:rPr>
        <w:t xml:space="preserve">Section 3 - </w:t>
      </w:r>
      <w:r w:rsidRPr="00A7229C">
        <w:rPr>
          <w:rFonts w:cs="Arial"/>
          <w:sz w:val="22"/>
          <w:szCs w:val="22"/>
        </w:rPr>
        <w:t>Governance in Relation to Taxation</w:t>
      </w:r>
    </w:p>
    <w:p w:rsidR="00080BB3" w:rsidRDefault="00080BB3" w:rsidP="00080BB3">
      <w:pPr>
        <w:pStyle w:val="ListParagraph"/>
        <w:suppressAutoHyphens/>
        <w:autoSpaceDN w:val="0"/>
        <w:ind w:left="1080"/>
        <w:jc w:val="both"/>
        <w:textAlignment w:val="baseline"/>
        <w:rPr>
          <w:rFonts w:cs="Arial"/>
          <w:sz w:val="22"/>
          <w:szCs w:val="22"/>
        </w:rPr>
      </w:pPr>
    </w:p>
    <w:p w:rsidR="00A7229C" w:rsidRDefault="00A7229C" w:rsidP="00A7229C">
      <w:pPr>
        <w:pStyle w:val="ListParagraph"/>
        <w:numPr>
          <w:ilvl w:val="2"/>
          <w:numId w:val="20"/>
        </w:numPr>
        <w:suppressAutoHyphens/>
        <w:autoSpaceDN w:val="0"/>
        <w:jc w:val="both"/>
        <w:textAlignment w:val="baseline"/>
        <w:rPr>
          <w:rFonts w:cs="Arial"/>
          <w:sz w:val="22"/>
          <w:szCs w:val="22"/>
        </w:rPr>
      </w:pPr>
      <w:r>
        <w:rPr>
          <w:rFonts w:cs="Arial"/>
          <w:sz w:val="22"/>
          <w:szCs w:val="22"/>
        </w:rPr>
        <w:t>Deloitte suggestion to insert the officer</w:t>
      </w:r>
      <w:r w:rsidR="00842297">
        <w:rPr>
          <w:rFonts w:cs="Arial"/>
          <w:sz w:val="22"/>
          <w:szCs w:val="22"/>
        </w:rPr>
        <w:t>,</w:t>
      </w:r>
      <w:r>
        <w:rPr>
          <w:rFonts w:cs="Arial"/>
          <w:sz w:val="22"/>
          <w:szCs w:val="22"/>
        </w:rPr>
        <w:t xml:space="preserve"> within the Group</w:t>
      </w:r>
      <w:r w:rsidR="00842297">
        <w:rPr>
          <w:rFonts w:cs="Arial"/>
          <w:sz w:val="22"/>
          <w:szCs w:val="22"/>
        </w:rPr>
        <w:t>,</w:t>
      </w:r>
      <w:r>
        <w:rPr>
          <w:rFonts w:cs="Arial"/>
          <w:sz w:val="22"/>
          <w:szCs w:val="22"/>
        </w:rPr>
        <w:t xml:space="preserve"> responsible for ensuring the appropriate tax arrangements are in place (EKHUFT </w:t>
      </w:r>
      <w:r w:rsidR="008C3293">
        <w:rPr>
          <w:rFonts w:cs="Arial"/>
          <w:sz w:val="22"/>
          <w:szCs w:val="22"/>
        </w:rPr>
        <w:t>Chief Finance Officer</w:t>
      </w:r>
      <w:r>
        <w:rPr>
          <w:rFonts w:cs="Arial"/>
          <w:sz w:val="22"/>
          <w:szCs w:val="22"/>
        </w:rPr>
        <w:t>)</w:t>
      </w:r>
      <w:r w:rsidR="00842297">
        <w:rPr>
          <w:rFonts w:cs="Arial"/>
          <w:sz w:val="22"/>
          <w:szCs w:val="22"/>
        </w:rPr>
        <w:t>.</w:t>
      </w:r>
    </w:p>
    <w:p w:rsidR="00080BB3" w:rsidRPr="00080BB3" w:rsidRDefault="00080BB3" w:rsidP="00080BB3">
      <w:pPr>
        <w:suppressAutoHyphens/>
        <w:autoSpaceDN w:val="0"/>
        <w:ind w:left="1440"/>
        <w:jc w:val="both"/>
        <w:textAlignment w:val="baseline"/>
        <w:rPr>
          <w:rFonts w:cs="Arial"/>
          <w:sz w:val="22"/>
          <w:szCs w:val="22"/>
        </w:rPr>
      </w:pPr>
    </w:p>
    <w:p w:rsidR="008F0B86" w:rsidRDefault="008F0B86" w:rsidP="008F0B86">
      <w:pPr>
        <w:pStyle w:val="ListParagraph"/>
        <w:suppressAutoHyphens/>
        <w:autoSpaceDN w:val="0"/>
        <w:ind w:left="1800"/>
        <w:jc w:val="both"/>
        <w:textAlignment w:val="baseline"/>
        <w:rPr>
          <w:rFonts w:cs="Arial"/>
          <w:sz w:val="22"/>
          <w:szCs w:val="22"/>
        </w:rPr>
      </w:pPr>
    </w:p>
    <w:p w:rsidR="00A7229C" w:rsidRDefault="00A7229C" w:rsidP="00A7229C">
      <w:pPr>
        <w:pStyle w:val="ListParagraph"/>
        <w:numPr>
          <w:ilvl w:val="1"/>
          <w:numId w:val="20"/>
        </w:numPr>
        <w:suppressAutoHyphens/>
        <w:autoSpaceDN w:val="0"/>
        <w:jc w:val="both"/>
        <w:textAlignment w:val="baseline"/>
        <w:rPr>
          <w:rFonts w:cs="Arial"/>
          <w:sz w:val="22"/>
          <w:szCs w:val="22"/>
        </w:rPr>
      </w:pPr>
      <w:r>
        <w:rPr>
          <w:rFonts w:cs="Arial"/>
          <w:sz w:val="22"/>
          <w:szCs w:val="22"/>
        </w:rPr>
        <w:t xml:space="preserve">Section 5 - </w:t>
      </w:r>
      <w:r w:rsidRPr="00A7229C">
        <w:rPr>
          <w:rFonts w:cs="Arial"/>
          <w:sz w:val="22"/>
          <w:szCs w:val="22"/>
        </w:rPr>
        <w:t>Attitude towards tax planning and level of risk</w:t>
      </w:r>
    </w:p>
    <w:p w:rsidR="00080BB3" w:rsidRDefault="00080BB3" w:rsidP="00080BB3">
      <w:pPr>
        <w:pStyle w:val="ListParagraph"/>
        <w:suppressAutoHyphens/>
        <w:autoSpaceDN w:val="0"/>
        <w:ind w:left="1080"/>
        <w:jc w:val="both"/>
        <w:textAlignment w:val="baseline"/>
        <w:rPr>
          <w:rFonts w:cs="Arial"/>
          <w:sz w:val="22"/>
          <w:szCs w:val="22"/>
        </w:rPr>
      </w:pPr>
    </w:p>
    <w:p w:rsidR="00A7229C" w:rsidRDefault="00A7229C" w:rsidP="00A7229C">
      <w:pPr>
        <w:pStyle w:val="ListParagraph"/>
        <w:numPr>
          <w:ilvl w:val="2"/>
          <w:numId w:val="20"/>
        </w:numPr>
        <w:suppressAutoHyphens/>
        <w:autoSpaceDN w:val="0"/>
        <w:jc w:val="both"/>
        <w:textAlignment w:val="baseline"/>
        <w:rPr>
          <w:rFonts w:cs="Arial"/>
          <w:sz w:val="22"/>
          <w:szCs w:val="22"/>
        </w:rPr>
      </w:pPr>
      <w:r w:rsidRPr="00A7229C">
        <w:rPr>
          <w:rFonts w:cs="Arial"/>
          <w:sz w:val="22"/>
          <w:szCs w:val="22"/>
        </w:rPr>
        <w:t xml:space="preserve">Deloitte suggestion to </w:t>
      </w:r>
      <w:r>
        <w:rPr>
          <w:rFonts w:cs="Arial"/>
          <w:sz w:val="22"/>
          <w:szCs w:val="22"/>
        </w:rPr>
        <w:t xml:space="preserve">reference </w:t>
      </w:r>
      <w:r w:rsidRPr="00A7229C">
        <w:rPr>
          <w:rFonts w:cs="Arial"/>
          <w:sz w:val="22"/>
          <w:szCs w:val="22"/>
        </w:rPr>
        <w:t>the Criminal Finances Act 2017</w:t>
      </w:r>
      <w:r w:rsidR="008F0B86">
        <w:rPr>
          <w:rFonts w:cs="Arial"/>
          <w:sz w:val="22"/>
          <w:szCs w:val="22"/>
        </w:rPr>
        <w:t>, given that compliance to the act is compulsory. The act</w:t>
      </w:r>
      <w:r w:rsidRPr="00A7229C">
        <w:rPr>
          <w:rFonts w:cs="Arial"/>
          <w:sz w:val="22"/>
          <w:szCs w:val="22"/>
        </w:rPr>
        <w:t xml:space="preserve"> introduced the corporate criminal offence </w:t>
      </w:r>
      <w:r w:rsidR="00E67847" w:rsidRPr="00A7229C">
        <w:rPr>
          <w:rFonts w:cs="Arial"/>
          <w:sz w:val="22"/>
          <w:szCs w:val="22"/>
        </w:rPr>
        <w:t>(CCO)</w:t>
      </w:r>
      <w:r w:rsidR="00E67847">
        <w:rPr>
          <w:rFonts w:cs="Arial"/>
          <w:sz w:val="22"/>
          <w:szCs w:val="22"/>
        </w:rPr>
        <w:t xml:space="preserve"> </w:t>
      </w:r>
      <w:r w:rsidRPr="00A7229C">
        <w:rPr>
          <w:rFonts w:cs="Arial"/>
          <w:sz w:val="22"/>
          <w:szCs w:val="22"/>
        </w:rPr>
        <w:t>of failing to prevent the facilitation of tax evasion</w:t>
      </w:r>
      <w:r w:rsidR="00E67847">
        <w:rPr>
          <w:rFonts w:cs="Arial"/>
          <w:sz w:val="22"/>
          <w:szCs w:val="22"/>
        </w:rPr>
        <w:t>.</w:t>
      </w:r>
      <w:r w:rsidRPr="00A7229C">
        <w:rPr>
          <w:rFonts w:cs="Arial"/>
          <w:sz w:val="22"/>
          <w:szCs w:val="22"/>
        </w:rPr>
        <w:t xml:space="preserve"> </w:t>
      </w:r>
      <w:r w:rsidR="008F0B86">
        <w:rPr>
          <w:rFonts w:cs="Arial"/>
          <w:sz w:val="22"/>
          <w:szCs w:val="22"/>
        </w:rPr>
        <w:t>T</w:t>
      </w:r>
      <w:r w:rsidRPr="00A7229C">
        <w:rPr>
          <w:rFonts w:cs="Arial"/>
          <w:sz w:val="22"/>
          <w:szCs w:val="22"/>
        </w:rPr>
        <w:t>he Group has a zero-tolerance approach to evasion and the facilitation of evasion by anyone acting for or on behalf of the Group.</w:t>
      </w:r>
      <w:r w:rsidR="008F0B86">
        <w:rPr>
          <w:rFonts w:cs="Arial"/>
          <w:sz w:val="22"/>
          <w:szCs w:val="22"/>
        </w:rPr>
        <w:t xml:space="preserve"> </w:t>
      </w:r>
    </w:p>
    <w:p w:rsidR="00503EC6" w:rsidRPr="00A7229C" w:rsidRDefault="00503EC6" w:rsidP="00503EC6">
      <w:pPr>
        <w:pStyle w:val="ListParagraph"/>
        <w:suppressAutoHyphens/>
        <w:autoSpaceDN w:val="0"/>
        <w:ind w:left="1800"/>
        <w:jc w:val="both"/>
        <w:textAlignment w:val="baseline"/>
        <w:rPr>
          <w:rFonts w:cs="Arial"/>
          <w:sz w:val="22"/>
          <w:szCs w:val="22"/>
        </w:rPr>
      </w:pPr>
    </w:p>
    <w:p w:rsidR="00867428" w:rsidRDefault="00503EC6" w:rsidP="00503EC6">
      <w:pPr>
        <w:ind w:left="720" w:hanging="720"/>
        <w:rPr>
          <w:sz w:val="22"/>
          <w:szCs w:val="22"/>
        </w:rPr>
      </w:pPr>
      <w:r w:rsidRPr="00503EC6">
        <w:rPr>
          <w:b/>
          <w:sz w:val="22"/>
          <w:szCs w:val="22"/>
        </w:rPr>
        <w:t>3.2</w:t>
      </w:r>
      <w:r>
        <w:rPr>
          <w:sz w:val="22"/>
          <w:szCs w:val="22"/>
        </w:rPr>
        <w:t xml:space="preserve"> </w:t>
      </w:r>
      <w:r>
        <w:rPr>
          <w:sz w:val="22"/>
          <w:szCs w:val="22"/>
        </w:rPr>
        <w:tab/>
        <w:t xml:space="preserve">Deloitte also commented that the HMRC guidance suggests that the tax strategy is Board approved, reviewed and published </w:t>
      </w:r>
      <w:r w:rsidR="00393976">
        <w:rPr>
          <w:sz w:val="22"/>
          <w:szCs w:val="22"/>
        </w:rPr>
        <w:t xml:space="preserve">on the Trust’s website </w:t>
      </w:r>
      <w:r>
        <w:rPr>
          <w:sz w:val="22"/>
          <w:szCs w:val="22"/>
        </w:rPr>
        <w:t>annually</w:t>
      </w:r>
      <w:r w:rsidR="00842297">
        <w:rPr>
          <w:sz w:val="22"/>
          <w:szCs w:val="22"/>
        </w:rPr>
        <w:t xml:space="preserve"> for each financial year</w:t>
      </w:r>
      <w:r>
        <w:rPr>
          <w:sz w:val="22"/>
          <w:szCs w:val="22"/>
        </w:rPr>
        <w:t>.</w:t>
      </w:r>
    </w:p>
    <w:p w:rsidR="00867428" w:rsidRPr="000D1A12" w:rsidRDefault="00867428" w:rsidP="00ED3E3A">
      <w:pPr>
        <w:rPr>
          <w:sz w:val="22"/>
          <w:szCs w:val="22"/>
        </w:rPr>
      </w:pPr>
    </w:p>
    <w:p w:rsidR="006A0F44" w:rsidRPr="00B57942" w:rsidRDefault="00080BB3" w:rsidP="00B57942">
      <w:pPr>
        <w:ind w:left="720" w:hanging="720"/>
        <w:rPr>
          <w:rFonts w:cs="Arial"/>
          <w:b/>
          <w:bCs/>
          <w:sz w:val="22"/>
          <w:szCs w:val="22"/>
        </w:rPr>
      </w:pPr>
      <w:r>
        <w:rPr>
          <w:rFonts w:cs="Arial"/>
          <w:b/>
          <w:bCs/>
          <w:sz w:val="22"/>
          <w:szCs w:val="22"/>
        </w:rPr>
        <w:t>4</w:t>
      </w:r>
      <w:r w:rsidR="00B57942">
        <w:rPr>
          <w:rFonts w:cs="Arial"/>
          <w:b/>
          <w:bCs/>
          <w:sz w:val="22"/>
          <w:szCs w:val="22"/>
        </w:rPr>
        <w:t>.</w:t>
      </w:r>
      <w:r w:rsidR="00B57942">
        <w:rPr>
          <w:rFonts w:cs="Arial"/>
          <w:b/>
          <w:bCs/>
          <w:sz w:val="22"/>
          <w:szCs w:val="22"/>
        </w:rPr>
        <w:tab/>
        <w:t>Conclusion &amp; Recommendations</w:t>
      </w:r>
      <w:r w:rsidR="006A0F44" w:rsidRPr="000D1A12">
        <w:rPr>
          <w:rFonts w:cs="Arial"/>
          <w:b/>
          <w:bCs/>
          <w:sz w:val="22"/>
          <w:szCs w:val="22"/>
        </w:rPr>
        <w:br/>
      </w:r>
    </w:p>
    <w:p w:rsidR="00283147" w:rsidRPr="00283147" w:rsidRDefault="00080BB3" w:rsidP="00B57942">
      <w:pPr>
        <w:ind w:left="720" w:hanging="720"/>
        <w:rPr>
          <w:rFonts w:cs="Arial"/>
          <w:b/>
          <w:bCs/>
          <w:sz w:val="22"/>
          <w:szCs w:val="22"/>
        </w:rPr>
      </w:pPr>
      <w:r>
        <w:rPr>
          <w:rFonts w:cs="Arial"/>
          <w:b/>
          <w:bCs/>
          <w:sz w:val="22"/>
          <w:szCs w:val="22"/>
        </w:rPr>
        <w:t>4</w:t>
      </w:r>
      <w:r w:rsidR="00B57942" w:rsidRPr="00B57942">
        <w:rPr>
          <w:rFonts w:cs="Arial"/>
          <w:b/>
          <w:bCs/>
          <w:sz w:val="22"/>
          <w:szCs w:val="22"/>
        </w:rPr>
        <w:t>.1</w:t>
      </w:r>
      <w:r w:rsidR="00B57942" w:rsidRPr="00B57942">
        <w:rPr>
          <w:rFonts w:cs="Arial"/>
          <w:b/>
          <w:bCs/>
          <w:sz w:val="22"/>
          <w:szCs w:val="22"/>
        </w:rPr>
        <w:tab/>
      </w:r>
      <w:r w:rsidR="00283147" w:rsidRPr="00867428">
        <w:rPr>
          <w:rFonts w:cs="Arial"/>
          <w:bCs/>
          <w:sz w:val="22"/>
          <w:szCs w:val="22"/>
        </w:rPr>
        <w:t>A</w:t>
      </w:r>
      <w:r w:rsidR="00283147">
        <w:rPr>
          <w:rFonts w:cs="Arial"/>
          <w:bCs/>
          <w:sz w:val="22"/>
          <w:szCs w:val="22"/>
        </w:rPr>
        <w:t>lthough GTS</w:t>
      </w:r>
      <w:r w:rsidR="00283147" w:rsidRPr="00867428">
        <w:rPr>
          <w:rFonts w:cs="Arial"/>
          <w:bCs/>
          <w:sz w:val="22"/>
          <w:szCs w:val="22"/>
        </w:rPr>
        <w:t xml:space="preserve"> is not a </w:t>
      </w:r>
      <w:r w:rsidR="00283147">
        <w:rPr>
          <w:rFonts w:cs="Arial"/>
          <w:bCs/>
          <w:sz w:val="22"/>
          <w:szCs w:val="22"/>
        </w:rPr>
        <w:t xml:space="preserve">legislative </w:t>
      </w:r>
      <w:r w:rsidR="00283147" w:rsidRPr="00867428">
        <w:rPr>
          <w:rFonts w:cs="Arial"/>
          <w:bCs/>
          <w:sz w:val="22"/>
          <w:szCs w:val="22"/>
        </w:rPr>
        <w:t>requirement for the EKHUFT Group</w:t>
      </w:r>
      <w:r w:rsidR="00283147">
        <w:rPr>
          <w:rFonts w:cs="Arial"/>
          <w:bCs/>
          <w:sz w:val="22"/>
          <w:szCs w:val="22"/>
        </w:rPr>
        <w:t>,</w:t>
      </w:r>
      <w:r w:rsidR="00283147" w:rsidRPr="00867428">
        <w:rPr>
          <w:rFonts w:cs="Arial"/>
          <w:bCs/>
          <w:sz w:val="22"/>
          <w:szCs w:val="22"/>
        </w:rPr>
        <w:t xml:space="preserve"> given the significance of the two wholly owned subsidiary companies and the associated tax liabilities, a tax strategy is considered </w:t>
      </w:r>
      <w:r w:rsidR="00283147">
        <w:rPr>
          <w:rFonts w:cs="Arial"/>
          <w:bCs/>
          <w:sz w:val="22"/>
          <w:szCs w:val="22"/>
        </w:rPr>
        <w:t>by the Trust advisors</w:t>
      </w:r>
      <w:r>
        <w:rPr>
          <w:rFonts w:cs="Arial"/>
          <w:bCs/>
          <w:sz w:val="22"/>
          <w:szCs w:val="22"/>
        </w:rPr>
        <w:t>,</w:t>
      </w:r>
      <w:r w:rsidR="00283147">
        <w:rPr>
          <w:rFonts w:cs="Arial"/>
          <w:bCs/>
          <w:sz w:val="22"/>
          <w:szCs w:val="22"/>
        </w:rPr>
        <w:t xml:space="preserve"> to be </w:t>
      </w:r>
      <w:r w:rsidR="00283147" w:rsidRPr="00867428">
        <w:rPr>
          <w:rFonts w:cs="Arial"/>
          <w:bCs/>
          <w:sz w:val="22"/>
          <w:szCs w:val="22"/>
        </w:rPr>
        <w:t>good practice.</w:t>
      </w:r>
    </w:p>
    <w:p w:rsidR="00283147" w:rsidRPr="00283147" w:rsidRDefault="00283147" w:rsidP="00B57942">
      <w:pPr>
        <w:ind w:left="720" w:hanging="720"/>
        <w:rPr>
          <w:rFonts w:cs="Arial"/>
          <w:b/>
          <w:bCs/>
          <w:sz w:val="22"/>
          <w:szCs w:val="22"/>
        </w:rPr>
      </w:pPr>
    </w:p>
    <w:p w:rsidR="00393976" w:rsidRDefault="00080BB3" w:rsidP="00393976">
      <w:pPr>
        <w:ind w:left="720" w:hanging="720"/>
        <w:rPr>
          <w:rFonts w:cs="Arial"/>
          <w:bCs/>
          <w:sz w:val="22"/>
          <w:szCs w:val="22"/>
        </w:rPr>
      </w:pPr>
      <w:r>
        <w:rPr>
          <w:rFonts w:cs="Arial"/>
          <w:b/>
          <w:bCs/>
          <w:sz w:val="22"/>
          <w:szCs w:val="22"/>
        </w:rPr>
        <w:t>4</w:t>
      </w:r>
      <w:r w:rsidR="00283147" w:rsidRPr="00283147">
        <w:rPr>
          <w:rFonts w:cs="Arial"/>
          <w:b/>
          <w:bCs/>
          <w:sz w:val="22"/>
          <w:szCs w:val="22"/>
        </w:rPr>
        <w:t>.2</w:t>
      </w:r>
      <w:r w:rsidR="00283147" w:rsidRPr="00283147">
        <w:rPr>
          <w:rFonts w:cs="Arial"/>
          <w:b/>
          <w:bCs/>
          <w:sz w:val="22"/>
          <w:szCs w:val="22"/>
        </w:rPr>
        <w:tab/>
      </w:r>
      <w:r w:rsidR="00B57942" w:rsidRPr="00283147">
        <w:rPr>
          <w:rFonts w:cs="Arial"/>
          <w:bCs/>
          <w:sz w:val="22"/>
          <w:szCs w:val="22"/>
        </w:rPr>
        <w:t>The Finance &amp; Performance Committee is requested to</w:t>
      </w:r>
      <w:r w:rsidR="00393976">
        <w:rPr>
          <w:rFonts w:cs="Arial"/>
          <w:bCs/>
          <w:sz w:val="22"/>
          <w:szCs w:val="22"/>
        </w:rPr>
        <w:t>:</w:t>
      </w:r>
    </w:p>
    <w:p w:rsidR="00393976" w:rsidRDefault="00393976" w:rsidP="00393976">
      <w:pPr>
        <w:ind w:left="720" w:hanging="720"/>
        <w:rPr>
          <w:rFonts w:cs="Arial"/>
          <w:bCs/>
          <w:sz w:val="22"/>
          <w:szCs w:val="22"/>
        </w:rPr>
      </w:pPr>
    </w:p>
    <w:p w:rsidR="00393976" w:rsidRDefault="00B57942" w:rsidP="00393976">
      <w:pPr>
        <w:pStyle w:val="ListParagraph"/>
        <w:numPr>
          <w:ilvl w:val="1"/>
          <w:numId w:val="20"/>
        </w:numPr>
        <w:rPr>
          <w:rFonts w:cs="Arial"/>
          <w:bCs/>
          <w:sz w:val="22"/>
          <w:szCs w:val="22"/>
        </w:rPr>
      </w:pPr>
      <w:r w:rsidRPr="00393976">
        <w:rPr>
          <w:rFonts w:cs="Arial"/>
          <w:bCs/>
          <w:sz w:val="22"/>
          <w:szCs w:val="22"/>
        </w:rPr>
        <w:t xml:space="preserve">review and approve the updated </w:t>
      </w:r>
      <w:r w:rsidR="00EF52AF">
        <w:rPr>
          <w:rFonts w:cs="Arial"/>
          <w:bCs/>
          <w:sz w:val="22"/>
          <w:szCs w:val="22"/>
        </w:rPr>
        <w:t xml:space="preserve">EKHUFT </w:t>
      </w:r>
      <w:r w:rsidRPr="00393976">
        <w:rPr>
          <w:rFonts w:cs="Arial"/>
          <w:bCs/>
          <w:sz w:val="22"/>
          <w:szCs w:val="22"/>
        </w:rPr>
        <w:t>Group Tax Strategy</w:t>
      </w:r>
      <w:r w:rsidR="00EF52AF">
        <w:rPr>
          <w:rFonts w:cs="Arial"/>
          <w:bCs/>
          <w:sz w:val="22"/>
          <w:szCs w:val="22"/>
        </w:rPr>
        <w:t xml:space="preserve"> 2025/26</w:t>
      </w:r>
    </w:p>
    <w:p w:rsidR="00393976" w:rsidRPr="00393976" w:rsidRDefault="00393976" w:rsidP="00393976">
      <w:pPr>
        <w:pStyle w:val="ListParagraph"/>
        <w:numPr>
          <w:ilvl w:val="1"/>
          <w:numId w:val="20"/>
        </w:numPr>
        <w:rPr>
          <w:rFonts w:cs="Arial"/>
          <w:bCs/>
          <w:sz w:val="22"/>
          <w:szCs w:val="22"/>
        </w:rPr>
      </w:pPr>
      <w:r w:rsidRPr="00393976">
        <w:rPr>
          <w:rFonts w:cs="Arial"/>
          <w:bCs/>
          <w:sz w:val="22"/>
          <w:szCs w:val="22"/>
        </w:rPr>
        <w:t xml:space="preserve">recommend approval by the Trust Board </w:t>
      </w:r>
      <w:r>
        <w:rPr>
          <w:rFonts w:cs="Arial"/>
          <w:bCs/>
          <w:sz w:val="22"/>
          <w:szCs w:val="22"/>
        </w:rPr>
        <w:t xml:space="preserve">and </w:t>
      </w:r>
      <w:r w:rsidRPr="00393976">
        <w:rPr>
          <w:rFonts w:cs="Arial"/>
          <w:bCs/>
          <w:sz w:val="22"/>
          <w:szCs w:val="22"/>
        </w:rPr>
        <w:t>publication on the Trust’s websit</w:t>
      </w:r>
      <w:r>
        <w:rPr>
          <w:rFonts w:cs="Arial"/>
          <w:bCs/>
          <w:sz w:val="22"/>
          <w:szCs w:val="22"/>
        </w:rPr>
        <w:t>e for the 2025/26 financial year</w:t>
      </w:r>
    </w:p>
    <w:p w:rsidR="00393976" w:rsidRPr="00B57942" w:rsidRDefault="00393976" w:rsidP="00B57942">
      <w:pPr>
        <w:ind w:left="720" w:hanging="720"/>
        <w:rPr>
          <w:rFonts w:cs="Arial"/>
          <w:bCs/>
          <w:sz w:val="22"/>
          <w:szCs w:val="22"/>
        </w:rPr>
      </w:pPr>
    </w:p>
    <w:sectPr w:rsidR="00393976" w:rsidRPr="00B57942" w:rsidSect="00CD6F78">
      <w:headerReference w:type="even" r:id="rId8"/>
      <w:headerReference w:type="default" r:id="rId9"/>
      <w:footerReference w:type="even" r:id="rId10"/>
      <w:footerReference w:type="default" r:id="rId11"/>
      <w:headerReference w:type="first" r:id="rId12"/>
      <w:pgSz w:w="11906" w:h="16838" w:code="9"/>
      <w:pgMar w:top="2109" w:right="707" w:bottom="426" w:left="1140" w:header="426" w:footer="3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22A" w:rsidRDefault="0062622A">
      <w:r>
        <w:separator/>
      </w:r>
    </w:p>
  </w:endnote>
  <w:endnote w:type="continuationSeparator" w:id="0">
    <w:p w:rsidR="0062622A" w:rsidRDefault="0062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146" w:rsidRDefault="00F731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73146" w:rsidRDefault="00F731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146" w:rsidRPr="00A009DB" w:rsidRDefault="00F73146">
    <w:pPr>
      <w:pStyle w:val="Footer"/>
      <w:framePr w:wrap="around" w:vAnchor="text" w:hAnchor="margin" w:xAlign="center" w:y="1"/>
      <w:rPr>
        <w:rStyle w:val="PageNumber"/>
        <w:sz w:val="20"/>
      </w:rPr>
    </w:pPr>
  </w:p>
  <w:p w:rsidR="00F73146" w:rsidRDefault="00016732" w:rsidP="00016732">
    <w:pPr>
      <w:pStyle w:val="Footer"/>
      <w:ind w:left="2880" w:right="360"/>
      <w:jc w:val="right"/>
    </w:pPr>
    <w:r>
      <w:tab/>
    </w:r>
    <w:r>
      <w:rPr>
        <w:noProof/>
      </w:rPr>
      <w:drawing>
        <wp:inline distT="0" distB="0" distL="0" distR="0">
          <wp:extent cx="1073150" cy="812800"/>
          <wp:effectExtent l="0" t="0" r="0" b="6350"/>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7" t="-134" r="-117" b="-134"/>
                  <a:stretch>
                    <a:fillRect/>
                  </a:stretch>
                </pic:blipFill>
                <pic:spPr bwMode="auto">
                  <a:xfrm>
                    <a:off x="0" y="0"/>
                    <a:ext cx="1073150" cy="812800"/>
                  </a:xfrm>
                  <a:prstGeom prst="rect">
                    <a:avLst/>
                  </a:prstGeom>
                  <a:solidFill>
                    <a:srgbClr val="FFFFFF"/>
                  </a:solidFill>
                  <a:ln>
                    <a:noFill/>
                  </a:ln>
                </pic:spPr>
              </pic:pic>
            </a:graphicData>
          </a:graphic>
        </wp:inline>
      </w:drawing>
    </w:r>
  </w:p>
  <w:p w:rsidR="002458FB" w:rsidRPr="00C02A8F" w:rsidRDefault="002458FB" w:rsidP="009A77E0">
    <w:pPr>
      <w:pStyle w:val="Footer"/>
      <w:jc w:val="right"/>
      <w:rPr>
        <w:sz w:val="22"/>
        <w:szCs w:val="22"/>
      </w:rPr>
    </w:pPr>
    <w:r>
      <w:rPr>
        <w:sz w:val="22"/>
        <w:szCs w:val="22"/>
      </w:rPr>
      <w:tab/>
    </w:r>
    <w:r w:rsidRPr="00C02A8F">
      <w:rPr>
        <w:sz w:val="22"/>
        <w:szCs w:val="22"/>
      </w:rPr>
      <w:t xml:space="preserve">Page </w:t>
    </w:r>
    <w:r w:rsidRPr="00C02A8F">
      <w:rPr>
        <w:bCs/>
        <w:sz w:val="22"/>
        <w:szCs w:val="22"/>
      </w:rPr>
      <w:fldChar w:fldCharType="begin"/>
    </w:r>
    <w:r w:rsidRPr="00C02A8F">
      <w:rPr>
        <w:bCs/>
        <w:sz w:val="22"/>
        <w:szCs w:val="22"/>
      </w:rPr>
      <w:instrText xml:space="preserve"> PAGE </w:instrText>
    </w:r>
    <w:r w:rsidRPr="00C02A8F">
      <w:rPr>
        <w:bCs/>
        <w:sz w:val="22"/>
        <w:szCs w:val="22"/>
      </w:rPr>
      <w:fldChar w:fldCharType="separate"/>
    </w:r>
    <w:r w:rsidR="001E2562">
      <w:rPr>
        <w:bCs/>
        <w:noProof/>
        <w:sz w:val="22"/>
        <w:szCs w:val="22"/>
      </w:rPr>
      <w:t>1</w:t>
    </w:r>
    <w:r w:rsidRPr="00C02A8F">
      <w:rPr>
        <w:bCs/>
        <w:sz w:val="22"/>
        <w:szCs w:val="22"/>
      </w:rPr>
      <w:fldChar w:fldCharType="end"/>
    </w:r>
    <w:r w:rsidRPr="00C02A8F">
      <w:rPr>
        <w:sz w:val="22"/>
        <w:szCs w:val="22"/>
      </w:rPr>
      <w:t xml:space="preserve"> of </w:t>
    </w:r>
    <w:r w:rsidRPr="00C02A8F">
      <w:rPr>
        <w:bCs/>
        <w:sz w:val="22"/>
        <w:szCs w:val="22"/>
      </w:rPr>
      <w:fldChar w:fldCharType="begin"/>
    </w:r>
    <w:r w:rsidRPr="00C02A8F">
      <w:rPr>
        <w:bCs/>
        <w:sz w:val="22"/>
        <w:szCs w:val="22"/>
      </w:rPr>
      <w:instrText xml:space="preserve"> NUMPAGES  </w:instrText>
    </w:r>
    <w:r w:rsidRPr="00C02A8F">
      <w:rPr>
        <w:bCs/>
        <w:sz w:val="22"/>
        <w:szCs w:val="22"/>
      </w:rPr>
      <w:fldChar w:fldCharType="separate"/>
    </w:r>
    <w:r w:rsidR="001E2562">
      <w:rPr>
        <w:bCs/>
        <w:noProof/>
        <w:sz w:val="22"/>
        <w:szCs w:val="22"/>
      </w:rPr>
      <w:t>1</w:t>
    </w:r>
    <w:r w:rsidRPr="00C02A8F">
      <w:rPr>
        <w:bCs/>
        <w:sz w:val="22"/>
        <w:szCs w:val="22"/>
      </w:rPr>
      <w:fldChar w:fldCharType="end"/>
    </w:r>
  </w:p>
  <w:p w:rsidR="00977380" w:rsidRDefault="00977380" w:rsidP="00337A7E">
    <w:pPr>
      <w:pStyle w:val="Footer"/>
      <w:ind w:right="360"/>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22A" w:rsidRDefault="0062622A">
      <w:r>
        <w:separator/>
      </w:r>
    </w:p>
  </w:footnote>
  <w:footnote w:type="continuationSeparator" w:id="0">
    <w:p w:rsidR="0062622A" w:rsidRDefault="00626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146" w:rsidRDefault="006262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456.65pt;height:182.65pt;rotation:315;z-index:-251656704;mso-position-horizontal:center;mso-position-horizontal-relative:margin;mso-position-vertical:center;mso-position-vertical-relative:margin" wrapcoords="21352 1328 17769 1328 17734 2302 17308 1328 16705 885 16528 1328 11066 1328 10499 6285 8264 1948 7838 1239 7732 1416 6100 1328 5178 1328 5107 1948 5107 4780 4221 3452 3086 1770 2767 1505 2128 1239 461 1328 426 16731 532 16997 2767 16997 3299 16289 3689 15315 4008 14075 5143 16820 5639 17528 5817 16643 5817 10623 7803 15580 8902 17705 9186 16997 10002 16997 10534 12305 10889 13279 13123 17174 13194 16997 13584 17085 13726 16731 13584 15934 13833 16554 14684 17351 14826 17085 14861 11154 15216 10003 15996 9915 16705 11774 19507 17174 19614 16997 19933 16908 19968 11862 20607 3452 21423 3452 21494 2744 21494 1593 21352 1328" fillcolor="silver" stroked="f">
          <v:fill opacity=".5"/>
          <v:textpath style="font-family:&quot;Arial&quot;;font-size:1pt" string="DRAFT"/>
          <w10:wrap anchorx="margin" anchory="margin"/>
        </v:shape>
      </w:pict>
    </w:r>
    <w:r>
      <w:rPr>
        <w:noProof/>
      </w:rPr>
      <w:pict>
        <v:shape id="_x0000_s2053" type="#_x0000_t136" style="position:absolute;margin-left:0;margin-top:0;width:523.05pt;height:116.2pt;rotation:315;z-index:-251658752;mso-position-horizontal:center;mso-position-horizontal-relative:margin;mso-position-vertical:center;mso-position-vertical-relative:margin" wrapcoords="21414 1254 17230 1254 17199 7386 15526 557 15278 2090 15185 4738 15154 4877 15030 6550 13822 2369 13202 418 13016 1254 11900 1394 11838 5435 10939 2648 10289 836 10196 1254 9080 1394 6911 1951 6632 1533 6043 975 5237 1394 5175 3345 4525 975 4277 1394 4215 5853 3037 1951 2572 836 2417 1394 2386 3345 2417 4041 1519 1812 1147 975 837 1394 558 2090 434 2369 341 3066 310 4041 124 4459 248 5853 992 10312 930 10452 496 12542 186 14772 93 16583 124 16583 217 17001 2510 17001 2634 17559 2727 16862 2758 11845 3192 13796 4525 17559 4618 17141 6012 17141 6632 16723 7035 15747 7097 15468 7283 14214 7500 11148 8181 14214 9390 17837 9576 17280 10754 16305 11032 15050 11404 16165 12117 17280 12210 16583 12210 10312 13357 15468 14224 18116 14410 17001 14627 17141 14751 16583 14968 13099 15464 12263 16549 16862 16890 16862 16797 15050 17230 16862 17540 16862 17571 12263 17757 10034 18439 9894 20298 16862 20608 17001 20639 16583 20639 10312 21166 3205 21383 3623 21507 3066 21507 1672 21414 1254" fillcolor="silver" stroked="f">
          <v:fill opacity=".5"/>
          <v:textpath style="font-family:&quot;Arial&quot;;font-size:1pt" string="2ND DRAFT"/>
          <w10:wrap anchorx="margin" anchory="margin"/>
        </v:shape>
      </w:pict>
    </w:r>
    <w:r>
      <w:rPr>
        <w:noProof/>
      </w:rPr>
      <w:pict>
        <v:shape id="PowerPlusWaterMarkObject2" o:spid="_x0000_s2050" type="#_x0000_t136" style="position:absolute;margin-left:0;margin-top:0;width:523.05pt;height:116.2pt;rotation:315;z-index:-251660800;mso-position-horizontal:center;mso-position-horizontal-relative:margin;mso-position-vertical:center;mso-position-vertical-relative:margin" wrapcoords="21414 1254 17230 1254 17199 7386 15526 557 15278 2090 15185 4738 15154 4877 15030 6550 13822 2369 13202 418 13016 1254 11900 1394 11838 5435 10939 2648 10289 836 10196 1254 9080 1394 6911 1951 6632 1533 6043 975 5237 1394 5175 3345 4525 975 4277 1394 4215 5853 3037 1951 2572 836 2417 1394 2386 3345 2417 4041 1519 1812 1147 975 837 1394 558 2090 434 2369 341 3066 310 4041 124 4459 248 5853 992 10312 930 10452 496 12542 186 14772 93 16583 124 16583 217 17001 2510 17001 2634 17559 2727 16862 2758 11845 3192 13796 4525 17559 4618 17141 6012 17141 6632 16723 7035 15747 7097 15468 7283 14214 7500 11148 8181 14214 9390 17837 9576 17280 10754 16305 11032 15050 11404 16165 12117 17280 12210 16583 12210 10312 13357 15468 14224 18116 14410 17001 14627 17141 14751 16583 14968 13099 15464 12263 16549 16862 16890 16862 16797 15050 17230 16862 17540 16862 17571 12263 17757 10034 18439 9894 20298 16862 20608 17001 20639 16583 20639 10312 21166 3205 21383 3623 21507 3066 21507 1672 21414 1254" fillcolor="silver" stroked="f">
          <v:fill opacity=".5"/>
          <v:textpath style="font-family:&quot;Arial&quot;;font-size:1pt" string="2N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79D" w:rsidRPr="000D1A12" w:rsidRDefault="0043677B" w:rsidP="0043677B">
    <w:pPr>
      <w:pStyle w:val="Header"/>
      <w:jc w:val="right"/>
      <w:rPr>
        <w:b/>
        <w:sz w:val="22"/>
        <w:szCs w:val="22"/>
      </w:rPr>
    </w:pPr>
    <w:r w:rsidRPr="0043677B">
      <w:rPr>
        <w:b/>
        <w:sz w:val="22"/>
        <w:szCs w:val="22"/>
      </w:rPr>
      <w:t>24/274</w:t>
    </w:r>
    <w:r>
      <w:rPr>
        <w:b/>
        <w:sz w:val="22"/>
        <w:szCs w:val="22"/>
      </w:rPr>
      <w:t xml:space="preserve"> </w:t>
    </w:r>
    <w:r w:rsidRPr="0043677B">
      <w:rPr>
        <w:b/>
        <w:sz w:val="22"/>
        <w:szCs w:val="22"/>
      </w:rPr>
      <w:ptab w:relativeTo="margin" w:alignment="center" w:leader="none"/>
    </w:r>
    <w:r w:rsidRPr="0043677B">
      <w:rPr>
        <w:b/>
        <w:sz w:val="22"/>
        <w:szCs w:val="22"/>
      </w:rPr>
      <w:ptab w:relativeTo="margin" w:alignment="right" w:leader="none"/>
    </w:r>
    <w:r>
      <w:rPr>
        <w:noProof/>
      </w:rPr>
      <w:drawing>
        <wp:inline distT="0" distB="0" distL="0" distR="0">
          <wp:extent cx="1868253" cy="881917"/>
          <wp:effectExtent l="0" t="0" r="0" b="0"/>
          <wp:docPr id="1" name="Picture 1" descr="East Kent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9538" t="16878" r="6788" b="16241"/>
                  <a:stretch/>
                </pic:blipFill>
                <pic:spPr bwMode="auto">
                  <a:xfrm>
                    <a:off x="0" y="0"/>
                    <a:ext cx="1872871" cy="88409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146" w:rsidRDefault="006262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56.65pt;height:182.65pt;rotation:315;z-index:-251657728;mso-position-horizontal:center;mso-position-horizontal-relative:margin;mso-position-vertical:center;mso-position-vertical-relative:margin" wrapcoords="21352 1328 17769 1328 17734 2302 17308 1328 16705 885 16528 1328 11066 1328 10499 6285 8264 1948 7838 1239 7732 1416 6100 1328 5178 1328 5107 1948 5107 4780 4221 3452 3086 1770 2767 1505 2128 1239 461 1328 426 16731 532 16997 2767 16997 3299 16289 3689 15315 4008 14075 5143 16820 5639 17528 5817 16643 5817 10623 7803 15580 8902 17705 9186 16997 10002 16997 10534 12305 10889 13279 13123 17174 13194 16997 13584 17085 13726 16731 13584 15934 13833 16554 14684 17351 14826 17085 14861 11154 15216 10003 15996 9915 16705 11774 19507 17174 19614 16997 19933 16908 19968 11862 20607 3452 21423 3452 21494 2744 21494 1593 21352 1328" fillcolor="silver" stroked="f">
          <v:fill opacity=".5"/>
          <v:textpath style="font-family:&quot;Arial&quot;;font-size:1pt" string="DRAFT"/>
          <w10:wrap anchorx="margin" anchory="margin"/>
        </v:shape>
      </w:pict>
    </w:r>
    <w:r>
      <w:rPr>
        <w:noProof/>
      </w:rPr>
      <w:pict>
        <v:shape id="_x0000_s2052" type="#_x0000_t136" style="position:absolute;margin-left:0;margin-top:0;width:523.05pt;height:116.2pt;rotation:315;z-index:-251659776;mso-position-horizontal:center;mso-position-horizontal-relative:margin;mso-position-vertical:center;mso-position-vertical-relative:margin" wrapcoords="21414 1254 17230 1254 17199 7386 15526 557 15278 2090 15185 4738 15154 4877 15030 6550 13822 2369 13202 418 13016 1254 11900 1394 11838 5435 10939 2648 10289 836 10196 1254 9080 1394 6911 1951 6632 1533 6043 975 5237 1394 5175 3345 4525 975 4277 1394 4215 5853 3037 1951 2572 836 2417 1394 2386 3345 2417 4041 1519 1812 1147 975 837 1394 558 2090 434 2369 341 3066 310 4041 124 4459 248 5853 992 10312 930 10452 496 12542 186 14772 93 16583 124 16583 217 17001 2510 17001 2634 17559 2727 16862 2758 11845 3192 13796 4525 17559 4618 17141 6012 17141 6632 16723 7035 15747 7097 15468 7283 14214 7500 11148 8181 14214 9390 17837 9576 17280 10754 16305 11032 15050 11404 16165 12117 17280 12210 16583 12210 10312 13357 15468 14224 18116 14410 17001 14627 17141 14751 16583 14968 13099 15464 12263 16549 16862 16890 16862 16797 15050 17230 16862 17540 16862 17571 12263 17757 10034 18439 9894 20298 16862 20608 17001 20639 16583 20639 10312 21166 3205 21383 3623 21507 3066 21507 1672 21414 1254" fillcolor="silver" stroked="f">
          <v:fill opacity=".5"/>
          <v:textpath style="font-family:&quot;Arial&quot;;font-size:1pt" string="2ND DRAFT"/>
          <w10:wrap anchorx="margin" anchory="margin"/>
        </v:shape>
      </w:pict>
    </w:r>
    <w:r>
      <w:rPr>
        <w:noProof/>
      </w:rPr>
      <w:pict>
        <v:shape id="PowerPlusWaterMarkObject1" o:spid="_x0000_s2049" type="#_x0000_t136" style="position:absolute;margin-left:0;margin-top:0;width:523.05pt;height:116.2pt;rotation:315;z-index:-251661824;mso-position-horizontal:center;mso-position-horizontal-relative:margin;mso-position-vertical:center;mso-position-vertical-relative:margin" wrapcoords="21414 1254 17230 1254 17199 7386 15526 557 15278 2090 15185 4738 15154 4877 15030 6550 13822 2369 13202 418 13016 1254 11900 1394 11838 5435 10939 2648 10289 836 10196 1254 9080 1394 6911 1951 6632 1533 6043 975 5237 1394 5175 3345 4525 975 4277 1394 4215 5853 3037 1951 2572 836 2417 1394 2386 3345 2417 4041 1519 1812 1147 975 837 1394 558 2090 434 2369 341 3066 310 4041 124 4459 248 5853 992 10312 930 10452 496 12542 186 14772 93 16583 124 16583 217 17001 2510 17001 2634 17559 2727 16862 2758 11845 3192 13796 4525 17559 4618 17141 6012 17141 6632 16723 7035 15747 7097 15468 7283 14214 7500 11148 8181 14214 9390 17837 9576 17280 10754 16305 11032 15050 11404 16165 12117 17280 12210 16583 12210 10312 13357 15468 14224 18116 14410 17001 14627 17141 14751 16583 14968 13099 15464 12263 16549 16862 16890 16862 16797 15050 17230 16862 17540 16862 17571 12263 17757 10034 18439 9894 20298 16862 20608 17001 20639 16583 20639 10312 21166 3205 21383 3623 21507 3066 21507 1672 21414 1254" fillcolor="silver" stroked="f">
          <v:fill opacity=".5"/>
          <v:textpath style="font-family:&quot;Arial&quot;;font-size:1pt" string="2N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5A32"/>
    <w:multiLevelType w:val="hybridMultilevel"/>
    <w:tmpl w:val="F1CE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C6CC7"/>
    <w:multiLevelType w:val="hybridMultilevel"/>
    <w:tmpl w:val="DD7A4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CF0939"/>
    <w:multiLevelType w:val="hybridMultilevel"/>
    <w:tmpl w:val="26285A82"/>
    <w:lvl w:ilvl="0" w:tplc="7DB858F4">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35646E"/>
    <w:multiLevelType w:val="multilevel"/>
    <w:tmpl w:val="92A8B368"/>
    <w:lvl w:ilvl="0">
      <w:start w:val="1"/>
      <w:numFmt w:val="decimal"/>
      <w:lvlText w:val="%1."/>
      <w:lvlJc w:val="left"/>
      <w:pPr>
        <w:tabs>
          <w:tab w:val="num" w:pos="720"/>
        </w:tabs>
        <w:ind w:left="720" w:hanging="720"/>
      </w:pPr>
      <w:rPr>
        <w:rFonts w:hint="default"/>
        <w:b/>
        <w:sz w:val="24"/>
        <w:szCs w:val="24"/>
      </w:rPr>
    </w:lvl>
    <w:lvl w:ilvl="1">
      <w:start w:val="1"/>
      <w:numFmt w:val="decimal"/>
      <w:isLgl/>
      <w:lvlText w:val="%1.%2"/>
      <w:lvlJc w:val="left"/>
      <w:pPr>
        <w:tabs>
          <w:tab w:val="num" w:pos="720"/>
        </w:tabs>
        <w:ind w:left="720" w:hanging="720"/>
      </w:pPr>
      <w:rPr>
        <w:rFonts w:ascii="Arial" w:hAnsi="Arial" w:cs="Arial" w:hint="default"/>
        <w:b/>
        <w:i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27FE7BB4"/>
    <w:multiLevelType w:val="hybridMultilevel"/>
    <w:tmpl w:val="1506F29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A6D482E"/>
    <w:multiLevelType w:val="hybridMultilevel"/>
    <w:tmpl w:val="8DB02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AC6D3C"/>
    <w:multiLevelType w:val="hybridMultilevel"/>
    <w:tmpl w:val="C4904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A1BA5"/>
    <w:multiLevelType w:val="multilevel"/>
    <w:tmpl w:val="A14EAB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50B2DA9"/>
    <w:multiLevelType w:val="hybridMultilevel"/>
    <w:tmpl w:val="BA4A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5752E"/>
    <w:multiLevelType w:val="hybridMultilevel"/>
    <w:tmpl w:val="36221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594E47"/>
    <w:multiLevelType w:val="hybridMultilevel"/>
    <w:tmpl w:val="79C4F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2429A"/>
    <w:multiLevelType w:val="hybridMultilevel"/>
    <w:tmpl w:val="9094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B00B5"/>
    <w:multiLevelType w:val="hybridMultilevel"/>
    <w:tmpl w:val="D8FE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305D3"/>
    <w:multiLevelType w:val="hybridMultilevel"/>
    <w:tmpl w:val="576E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5F5957"/>
    <w:multiLevelType w:val="hybridMultilevel"/>
    <w:tmpl w:val="469AF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A15139E"/>
    <w:multiLevelType w:val="hybridMultilevel"/>
    <w:tmpl w:val="79063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156BB3"/>
    <w:multiLevelType w:val="multilevel"/>
    <w:tmpl w:val="F37C84E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5E1929EE"/>
    <w:multiLevelType w:val="hybridMultilevel"/>
    <w:tmpl w:val="976C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15EE3"/>
    <w:multiLevelType w:val="hybridMultilevel"/>
    <w:tmpl w:val="D3FC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E01C72"/>
    <w:multiLevelType w:val="hybridMultilevel"/>
    <w:tmpl w:val="CA2C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1F5A19"/>
    <w:multiLevelType w:val="hybridMultilevel"/>
    <w:tmpl w:val="C1F42F9A"/>
    <w:lvl w:ilvl="0" w:tplc="7DB858F4">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2527595"/>
    <w:multiLevelType w:val="hybridMultilevel"/>
    <w:tmpl w:val="552E6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945E7A"/>
    <w:multiLevelType w:val="hybridMultilevel"/>
    <w:tmpl w:val="69AC741A"/>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3" w15:restartNumberingAfterBreak="0">
    <w:nsid w:val="7A2F208C"/>
    <w:multiLevelType w:val="hybridMultilevel"/>
    <w:tmpl w:val="3AE27F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18"/>
  </w:num>
  <w:num w:numId="4">
    <w:abstractNumId w:val="13"/>
  </w:num>
  <w:num w:numId="5">
    <w:abstractNumId w:val="20"/>
  </w:num>
  <w:num w:numId="6">
    <w:abstractNumId w:val="2"/>
  </w:num>
  <w:num w:numId="7">
    <w:abstractNumId w:val="14"/>
  </w:num>
  <w:num w:numId="8">
    <w:abstractNumId w:val="21"/>
  </w:num>
  <w:num w:numId="9">
    <w:abstractNumId w:val="22"/>
  </w:num>
  <w:num w:numId="10">
    <w:abstractNumId w:val="15"/>
  </w:num>
  <w:num w:numId="11">
    <w:abstractNumId w:val="17"/>
  </w:num>
  <w:num w:numId="12">
    <w:abstractNumId w:val="0"/>
  </w:num>
  <w:num w:numId="13">
    <w:abstractNumId w:val="3"/>
  </w:num>
  <w:num w:numId="14">
    <w:abstractNumId w:val="4"/>
  </w:num>
  <w:num w:numId="15">
    <w:abstractNumId w:val="8"/>
  </w:num>
  <w:num w:numId="16">
    <w:abstractNumId w:val="6"/>
  </w:num>
  <w:num w:numId="17">
    <w:abstractNumId w:val="10"/>
  </w:num>
  <w:num w:numId="18">
    <w:abstractNumId w:val="23"/>
  </w:num>
  <w:num w:numId="19">
    <w:abstractNumId w:val="12"/>
  </w:num>
  <w:num w:numId="20">
    <w:abstractNumId w:val="9"/>
  </w:num>
  <w:num w:numId="21">
    <w:abstractNumId w:val="7"/>
  </w:num>
  <w:num w:numId="22">
    <w:abstractNumId w:val="16"/>
  </w:num>
  <w:num w:numId="23">
    <w:abstractNumId w:val="1"/>
  </w:num>
  <w:num w:numId="2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oNotHyphenateCaps/>
  <w:displayHorizontalDrawingGridEvery w:val="0"/>
  <w:displayVerticalDrawingGridEvery w:val="0"/>
  <w:doNotUseMarginsForDrawingGridOrigin/>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91"/>
    <w:rsid w:val="0000177D"/>
    <w:rsid w:val="00001958"/>
    <w:rsid w:val="000021C8"/>
    <w:rsid w:val="000029C7"/>
    <w:rsid w:val="00002F0F"/>
    <w:rsid w:val="00003939"/>
    <w:rsid w:val="00003B08"/>
    <w:rsid w:val="00003D78"/>
    <w:rsid w:val="000053E5"/>
    <w:rsid w:val="00005427"/>
    <w:rsid w:val="00006A65"/>
    <w:rsid w:val="00006D59"/>
    <w:rsid w:val="0000765A"/>
    <w:rsid w:val="00011248"/>
    <w:rsid w:val="00011287"/>
    <w:rsid w:val="0001170F"/>
    <w:rsid w:val="00011746"/>
    <w:rsid w:val="000120D7"/>
    <w:rsid w:val="000126F0"/>
    <w:rsid w:val="00012B0B"/>
    <w:rsid w:val="00012F00"/>
    <w:rsid w:val="00013826"/>
    <w:rsid w:val="00015804"/>
    <w:rsid w:val="00015CDD"/>
    <w:rsid w:val="0001624F"/>
    <w:rsid w:val="00016732"/>
    <w:rsid w:val="00017FD9"/>
    <w:rsid w:val="00020179"/>
    <w:rsid w:val="0002101D"/>
    <w:rsid w:val="00021023"/>
    <w:rsid w:val="000212ED"/>
    <w:rsid w:val="000216C4"/>
    <w:rsid w:val="000228C0"/>
    <w:rsid w:val="000240F3"/>
    <w:rsid w:val="000242D4"/>
    <w:rsid w:val="000254AA"/>
    <w:rsid w:val="00026303"/>
    <w:rsid w:val="000264F2"/>
    <w:rsid w:val="00027D57"/>
    <w:rsid w:val="000306C5"/>
    <w:rsid w:val="00030D3B"/>
    <w:rsid w:val="00030F1E"/>
    <w:rsid w:val="00032D74"/>
    <w:rsid w:val="00033E3C"/>
    <w:rsid w:val="00034F65"/>
    <w:rsid w:val="00035828"/>
    <w:rsid w:val="00035AED"/>
    <w:rsid w:val="00035BA0"/>
    <w:rsid w:val="000362DE"/>
    <w:rsid w:val="00036904"/>
    <w:rsid w:val="00040C98"/>
    <w:rsid w:val="00041888"/>
    <w:rsid w:val="0004242B"/>
    <w:rsid w:val="0004275D"/>
    <w:rsid w:val="00043D1C"/>
    <w:rsid w:val="000447BD"/>
    <w:rsid w:val="00044E55"/>
    <w:rsid w:val="00044F9D"/>
    <w:rsid w:val="00045210"/>
    <w:rsid w:val="0004579A"/>
    <w:rsid w:val="0004674F"/>
    <w:rsid w:val="00046C28"/>
    <w:rsid w:val="000476E8"/>
    <w:rsid w:val="00047899"/>
    <w:rsid w:val="00050738"/>
    <w:rsid w:val="0005082C"/>
    <w:rsid w:val="00052D97"/>
    <w:rsid w:val="00052DB6"/>
    <w:rsid w:val="000534E9"/>
    <w:rsid w:val="00053559"/>
    <w:rsid w:val="0005753E"/>
    <w:rsid w:val="0005769E"/>
    <w:rsid w:val="000619B1"/>
    <w:rsid w:val="00062A40"/>
    <w:rsid w:val="00063BA5"/>
    <w:rsid w:val="00063C3D"/>
    <w:rsid w:val="000651FA"/>
    <w:rsid w:val="00065B17"/>
    <w:rsid w:val="00066C11"/>
    <w:rsid w:val="00066CF3"/>
    <w:rsid w:val="00067824"/>
    <w:rsid w:val="00071023"/>
    <w:rsid w:val="00071213"/>
    <w:rsid w:val="00071524"/>
    <w:rsid w:val="00071B9D"/>
    <w:rsid w:val="000721BE"/>
    <w:rsid w:val="000732B9"/>
    <w:rsid w:val="000736A5"/>
    <w:rsid w:val="00074399"/>
    <w:rsid w:val="0007521E"/>
    <w:rsid w:val="00075863"/>
    <w:rsid w:val="0007684E"/>
    <w:rsid w:val="00076DEC"/>
    <w:rsid w:val="00076E9B"/>
    <w:rsid w:val="000771B3"/>
    <w:rsid w:val="000775A1"/>
    <w:rsid w:val="000809E9"/>
    <w:rsid w:val="00080BB3"/>
    <w:rsid w:val="00080C29"/>
    <w:rsid w:val="00080C32"/>
    <w:rsid w:val="00081B4B"/>
    <w:rsid w:val="00081E55"/>
    <w:rsid w:val="000822CE"/>
    <w:rsid w:val="00083F59"/>
    <w:rsid w:val="00084660"/>
    <w:rsid w:val="0008533A"/>
    <w:rsid w:val="0008647A"/>
    <w:rsid w:val="00086B26"/>
    <w:rsid w:val="00086C0C"/>
    <w:rsid w:val="0008759A"/>
    <w:rsid w:val="000877CB"/>
    <w:rsid w:val="00090055"/>
    <w:rsid w:val="00091CA7"/>
    <w:rsid w:val="0009291A"/>
    <w:rsid w:val="00093E22"/>
    <w:rsid w:val="00096DD3"/>
    <w:rsid w:val="0009714E"/>
    <w:rsid w:val="000A15E9"/>
    <w:rsid w:val="000A189C"/>
    <w:rsid w:val="000A24F1"/>
    <w:rsid w:val="000A2627"/>
    <w:rsid w:val="000A2920"/>
    <w:rsid w:val="000A2D4C"/>
    <w:rsid w:val="000A3932"/>
    <w:rsid w:val="000A3982"/>
    <w:rsid w:val="000A4DF3"/>
    <w:rsid w:val="000A597D"/>
    <w:rsid w:val="000A602F"/>
    <w:rsid w:val="000A60BA"/>
    <w:rsid w:val="000A6A1A"/>
    <w:rsid w:val="000A7A3E"/>
    <w:rsid w:val="000A7A9E"/>
    <w:rsid w:val="000B026D"/>
    <w:rsid w:val="000B2053"/>
    <w:rsid w:val="000B2CBE"/>
    <w:rsid w:val="000B345B"/>
    <w:rsid w:val="000B39A8"/>
    <w:rsid w:val="000B3B41"/>
    <w:rsid w:val="000B3D4E"/>
    <w:rsid w:val="000B3F52"/>
    <w:rsid w:val="000B4837"/>
    <w:rsid w:val="000B4C79"/>
    <w:rsid w:val="000B5DF3"/>
    <w:rsid w:val="000B631F"/>
    <w:rsid w:val="000B6374"/>
    <w:rsid w:val="000B67C0"/>
    <w:rsid w:val="000B7A97"/>
    <w:rsid w:val="000B7F09"/>
    <w:rsid w:val="000C0740"/>
    <w:rsid w:val="000C1F03"/>
    <w:rsid w:val="000C2B5E"/>
    <w:rsid w:val="000C3E1C"/>
    <w:rsid w:val="000C44D7"/>
    <w:rsid w:val="000C4903"/>
    <w:rsid w:val="000C4FE6"/>
    <w:rsid w:val="000C5FAE"/>
    <w:rsid w:val="000C61A1"/>
    <w:rsid w:val="000C6502"/>
    <w:rsid w:val="000C7E84"/>
    <w:rsid w:val="000C7F2A"/>
    <w:rsid w:val="000D06EF"/>
    <w:rsid w:val="000D1036"/>
    <w:rsid w:val="000D1A12"/>
    <w:rsid w:val="000D22FB"/>
    <w:rsid w:val="000D34D1"/>
    <w:rsid w:val="000D3C64"/>
    <w:rsid w:val="000D40C7"/>
    <w:rsid w:val="000D4541"/>
    <w:rsid w:val="000D5A0B"/>
    <w:rsid w:val="000D5C21"/>
    <w:rsid w:val="000E03D8"/>
    <w:rsid w:val="000E07FE"/>
    <w:rsid w:val="000E1FFE"/>
    <w:rsid w:val="000E3566"/>
    <w:rsid w:val="000E3668"/>
    <w:rsid w:val="000E3A19"/>
    <w:rsid w:val="000E3BA8"/>
    <w:rsid w:val="000E4408"/>
    <w:rsid w:val="000E4F1D"/>
    <w:rsid w:val="000E5499"/>
    <w:rsid w:val="000E5DEE"/>
    <w:rsid w:val="000E77A3"/>
    <w:rsid w:val="000F041B"/>
    <w:rsid w:val="000F24CA"/>
    <w:rsid w:val="000F28F1"/>
    <w:rsid w:val="000F2A4E"/>
    <w:rsid w:val="000F3407"/>
    <w:rsid w:val="000F3F4C"/>
    <w:rsid w:val="000F440D"/>
    <w:rsid w:val="000F51EC"/>
    <w:rsid w:val="000F52CC"/>
    <w:rsid w:val="000F54FD"/>
    <w:rsid w:val="000F6BA7"/>
    <w:rsid w:val="000F6CF0"/>
    <w:rsid w:val="000F7BFF"/>
    <w:rsid w:val="000F7FDE"/>
    <w:rsid w:val="001015EC"/>
    <w:rsid w:val="00101691"/>
    <w:rsid w:val="00101A0D"/>
    <w:rsid w:val="00101A7E"/>
    <w:rsid w:val="00101A84"/>
    <w:rsid w:val="0010233D"/>
    <w:rsid w:val="001026B3"/>
    <w:rsid w:val="00103090"/>
    <w:rsid w:val="00103926"/>
    <w:rsid w:val="00106CA5"/>
    <w:rsid w:val="00106D31"/>
    <w:rsid w:val="00106E77"/>
    <w:rsid w:val="00106FB4"/>
    <w:rsid w:val="0010778C"/>
    <w:rsid w:val="00107FC7"/>
    <w:rsid w:val="00110239"/>
    <w:rsid w:val="001114D5"/>
    <w:rsid w:val="00111917"/>
    <w:rsid w:val="00111FCD"/>
    <w:rsid w:val="00112AC9"/>
    <w:rsid w:val="0011307C"/>
    <w:rsid w:val="00113558"/>
    <w:rsid w:val="00113D00"/>
    <w:rsid w:val="00113DCB"/>
    <w:rsid w:val="00114065"/>
    <w:rsid w:val="001141AC"/>
    <w:rsid w:val="0011499E"/>
    <w:rsid w:val="001149EE"/>
    <w:rsid w:val="00117D18"/>
    <w:rsid w:val="0012006F"/>
    <w:rsid w:val="00120376"/>
    <w:rsid w:val="001216C5"/>
    <w:rsid w:val="001228BB"/>
    <w:rsid w:val="00122D6D"/>
    <w:rsid w:val="00122E98"/>
    <w:rsid w:val="00123765"/>
    <w:rsid w:val="00123CEF"/>
    <w:rsid w:val="001254E0"/>
    <w:rsid w:val="001261AE"/>
    <w:rsid w:val="00127279"/>
    <w:rsid w:val="001300CB"/>
    <w:rsid w:val="001301F4"/>
    <w:rsid w:val="0013046A"/>
    <w:rsid w:val="00131D26"/>
    <w:rsid w:val="001323B3"/>
    <w:rsid w:val="00132669"/>
    <w:rsid w:val="0013360B"/>
    <w:rsid w:val="001354D6"/>
    <w:rsid w:val="001362A4"/>
    <w:rsid w:val="00137D8D"/>
    <w:rsid w:val="00137E35"/>
    <w:rsid w:val="00140D8D"/>
    <w:rsid w:val="00140FE3"/>
    <w:rsid w:val="001413B8"/>
    <w:rsid w:val="00141A35"/>
    <w:rsid w:val="001422A0"/>
    <w:rsid w:val="001423D0"/>
    <w:rsid w:val="00142F14"/>
    <w:rsid w:val="00143CBC"/>
    <w:rsid w:val="0014446B"/>
    <w:rsid w:val="00144AD2"/>
    <w:rsid w:val="00144FD1"/>
    <w:rsid w:val="001455F4"/>
    <w:rsid w:val="001458B9"/>
    <w:rsid w:val="00146EF8"/>
    <w:rsid w:val="00147094"/>
    <w:rsid w:val="00150234"/>
    <w:rsid w:val="0015037A"/>
    <w:rsid w:val="00150835"/>
    <w:rsid w:val="0015105B"/>
    <w:rsid w:val="00151183"/>
    <w:rsid w:val="00151654"/>
    <w:rsid w:val="00151A0A"/>
    <w:rsid w:val="001526F8"/>
    <w:rsid w:val="00152722"/>
    <w:rsid w:val="00152AD9"/>
    <w:rsid w:val="00153F26"/>
    <w:rsid w:val="001546CF"/>
    <w:rsid w:val="00154913"/>
    <w:rsid w:val="001553CC"/>
    <w:rsid w:val="00155665"/>
    <w:rsid w:val="00155900"/>
    <w:rsid w:val="00155ACA"/>
    <w:rsid w:val="00156484"/>
    <w:rsid w:val="00156E49"/>
    <w:rsid w:val="00157A9D"/>
    <w:rsid w:val="00157E41"/>
    <w:rsid w:val="00160DC7"/>
    <w:rsid w:val="001612B8"/>
    <w:rsid w:val="0016154F"/>
    <w:rsid w:val="0016175F"/>
    <w:rsid w:val="00162CCB"/>
    <w:rsid w:val="00163075"/>
    <w:rsid w:val="00163690"/>
    <w:rsid w:val="00164526"/>
    <w:rsid w:val="0016540F"/>
    <w:rsid w:val="001659FB"/>
    <w:rsid w:val="0016608E"/>
    <w:rsid w:val="001665FF"/>
    <w:rsid w:val="00166F7C"/>
    <w:rsid w:val="00167E35"/>
    <w:rsid w:val="00171FF2"/>
    <w:rsid w:val="001724C7"/>
    <w:rsid w:val="00172ABF"/>
    <w:rsid w:val="00173C76"/>
    <w:rsid w:val="00174845"/>
    <w:rsid w:val="00174E33"/>
    <w:rsid w:val="00175A91"/>
    <w:rsid w:val="00176222"/>
    <w:rsid w:val="00176453"/>
    <w:rsid w:val="001765D2"/>
    <w:rsid w:val="001768F0"/>
    <w:rsid w:val="001771B2"/>
    <w:rsid w:val="0017753C"/>
    <w:rsid w:val="00177973"/>
    <w:rsid w:val="00177B40"/>
    <w:rsid w:val="001800CA"/>
    <w:rsid w:val="00180C98"/>
    <w:rsid w:val="0018101A"/>
    <w:rsid w:val="00181652"/>
    <w:rsid w:val="00182C26"/>
    <w:rsid w:val="0018303F"/>
    <w:rsid w:val="001835C1"/>
    <w:rsid w:val="001836EE"/>
    <w:rsid w:val="001839CA"/>
    <w:rsid w:val="001853A2"/>
    <w:rsid w:val="00185448"/>
    <w:rsid w:val="00185DD5"/>
    <w:rsid w:val="0018666C"/>
    <w:rsid w:val="001869B9"/>
    <w:rsid w:val="00186F44"/>
    <w:rsid w:val="00187282"/>
    <w:rsid w:val="0019018D"/>
    <w:rsid w:val="00191037"/>
    <w:rsid w:val="001912AD"/>
    <w:rsid w:val="00191854"/>
    <w:rsid w:val="00191CDF"/>
    <w:rsid w:val="001920DF"/>
    <w:rsid w:val="00192F1F"/>
    <w:rsid w:val="0019301D"/>
    <w:rsid w:val="00193056"/>
    <w:rsid w:val="0019390B"/>
    <w:rsid w:val="00193B14"/>
    <w:rsid w:val="00193BF1"/>
    <w:rsid w:val="00193DBB"/>
    <w:rsid w:val="001950CF"/>
    <w:rsid w:val="00195FFE"/>
    <w:rsid w:val="001963BA"/>
    <w:rsid w:val="00196620"/>
    <w:rsid w:val="00197A15"/>
    <w:rsid w:val="00197CD3"/>
    <w:rsid w:val="001A1051"/>
    <w:rsid w:val="001A1BAC"/>
    <w:rsid w:val="001A24A8"/>
    <w:rsid w:val="001A2951"/>
    <w:rsid w:val="001A2DB6"/>
    <w:rsid w:val="001A3882"/>
    <w:rsid w:val="001A4E01"/>
    <w:rsid w:val="001A5315"/>
    <w:rsid w:val="001A566A"/>
    <w:rsid w:val="001A5F53"/>
    <w:rsid w:val="001A626A"/>
    <w:rsid w:val="001B0411"/>
    <w:rsid w:val="001B11D4"/>
    <w:rsid w:val="001B14F9"/>
    <w:rsid w:val="001B1630"/>
    <w:rsid w:val="001B195A"/>
    <w:rsid w:val="001B2A46"/>
    <w:rsid w:val="001B2EA9"/>
    <w:rsid w:val="001B309C"/>
    <w:rsid w:val="001B3B1A"/>
    <w:rsid w:val="001B3FF1"/>
    <w:rsid w:val="001B49F3"/>
    <w:rsid w:val="001B50CF"/>
    <w:rsid w:val="001B54B4"/>
    <w:rsid w:val="001B5B28"/>
    <w:rsid w:val="001B6040"/>
    <w:rsid w:val="001B6548"/>
    <w:rsid w:val="001B675A"/>
    <w:rsid w:val="001B7371"/>
    <w:rsid w:val="001C05F8"/>
    <w:rsid w:val="001C0FE8"/>
    <w:rsid w:val="001C14E9"/>
    <w:rsid w:val="001C1703"/>
    <w:rsid w:val="001C291A"/>
    <w:rsid w:val="001C2F35"/>
    <w:rsid w:val="001C4E5B"/>
    <w:rsid w:val="001C54F3"/>
    <w:rsid w:val="001C6A0A"/>
    <w:rsid w:val="001C6CFA"/>
    <w:rsid w:val="001C7391"/>
    <w:rsid w:val="001D0F48"/>
    <w:rsid w:val="001D116D"/>
    <w:rsid w:val="001D221E"/>
    <w:rsid w:val="001D2DDC"/>
    <w:rsid w:val="001D393A"/>
    <w:rsid w:val="001D43F0"/>
    <w:rsid w:val="001D460E"/>
    <w:rsid w:val="001D5A37"/>
    <w:rsid w:val="001D662D"/>
    <w:rsid w:val="001D6898"/>
    <w:rsid w:val="001D736E"/>
    <w:rsid w:val="001D74A8"/>
    <w:rsid w:val="001D7AEC"/>
    <w:rsid w:val="001E00BB"/>
    <w:rsid w:val="001E0E4D"/>
    <w:rsid w:val="001E2562"/>
    <w:rsid w:val="001E26CC"/>
    <w:rsid w:val="001E2834"/>
    <w:rsid w:val="001E2966"/>
    <w:rsid w:val="001E2DFE"/>
    <w:rsid w:val="001E338D"/>
    <w:rsid w:val="001E58B3"/>
    <w:rsid w:val="001E5BAB"/>
    <w:rsid w:val="001E625B"/>
    <w:rsid w:val="001E6768"/>
    <w:rsid w:val="001E6B93"/>
    <w:rsid w:val="001E71B6"/>
    <w:rsid w:val="001F020A"/>
    <w:rsid w:val="001F048B"/>
    <w:rsid w:val="001F0A37"/>
    <w:rsid w:val="001F0EA7"/>
    <w:rsid w:val="001F13B6"/>
    <w:rsid w:val="001F18DE"/>
    <w:rsid w:val="001F20AE"/>
    <w:rsid w:val="001F276D"/>
    <w:rsid w:val="001F2E7F"/>
    <w:rsid w:val="001F2F81"/>
    <w:rsid w:val="001F3AD2"/>
    <w:rsid w:val="001F3DF3"/>
    <w:rsid w:val="001F4A21"/>
    <w:rsid w:val="001F4F34"/>
    <w:rsid w:val="001F5F58"/>
    <w:rsid w:val="001F639F"/>
    <w:rsid w:val="001F6FE9"/>
    <w:rsid w:val="001F72DE"/>
    <w:rsid w:val="001F7343"/>
    <w:rsid w:val="0020136D"/>
    <w:rsid w:val="0020140B"/>
    <w:rsid w:val="00201933"/>
    <w:rsid w:val="00201A49"/>
    <w:rsid w:val="0020382D"/>
    <w:rsid w:val="0020418B"/>
    <w:rsid w:val="0020440B"/>
    <w:rsid w:val="0020463E"/>
    <w:rsid w:val="002048CB"/>
    <w:rsid w:val="0020565E"/>
    <w:rsid w:val="0021018B"/>
    <w:rsid w:val="00212439"/>
    <w:rsid w:val="002136DE"/>
    <w:rsid w:val="00213CD5"/>
    <w:rsid w:val="00214141"/>
    <w:rsid w:val="002153AA"/>
    <w:rsid w:val="00215EF6"/>
    <w:rsid w:val="002176BE"/>
    <w:rsid w:val="00217BFE"/>
    <w:rsid w:val="00217D93"/>
    <w:rsid w:val="00217EC6"/>
    <w:rsid w:val="00221035"/>
    <w:rsid w:val="00221075"/>
    <w:rsid w:val="0022211E"/>
    <w:rsid w:val="002224E0"/>
    <w:rsid w:val="00222554"/>
    <w:rsid w:val="00223C0C"/>
    <w:rsid w:val="00224547"/>
    <w:rsid w:val="002247CD"/>
    <w:rsid w:val="00224EC4"/>
    <w:rsid w:val="0022606C"/>
    <w:rsid w:val="00226F7B"/>
    <w:rsid w:val="00227782"/>
    <w:rsid w:val="00227DF9"/>
    <w:rsid w:val="00230390"/>
    <w:rsid w:val="00230E76"/>
    <w:rsid w:val="00230F76"/>
    <w:rsid w:val="00232781"/>
    <w:rsid w:val="00232907"/>
    <w:rsid w:val="00232F81"/>
    <w:rsid w:val="00233888"/>
    <w:rsid w:val="0023449B"/>
    <w:rsid w:val="00234645"/>
    <w:rsid w:val="00235116"/>
    <w:rsid w:val="002361F7"/>
    <w:rsid w:val="002363DF"/>
    <w:rsid w:val="002379C8"/>
    <w:rsid w:val="00241257"/>
    <w:rsid w:val="00242157"/>
    <w:rsid w:val="002422F4"/>
    <w:rsid w:val="002424FA"/>
    <w:rsid w:val="00243BB4"/>
    <w:rsid w:val="002447E3"/>
    <w:rsid w:val="00244834"/>
    <w:rsid w:val="002457E3"/>
    <w:rsid w:val="002458FB"/>
    <w:rsid w:val="00246C5C"/>
    <w:rsid w:val="0024778F"/>
    <w:rsid w:val="00250886"/>
    <w:rsid w:val="00250D46"/>
    <w:rsid w:val="002516FD"/>
    <w:rsid w:val="00252035"/>
    <w:rsid w:val="0025328D"/>
    <w:rsid w:val="00253F38"/>
    <w:rsid w:val="00254774"/>
    <w:rsid w:val="0025530D"/>
    <w:rsid w:val="00255701"/>
    <w:rsid w:val="00255AE7"/>
    <w:rsid w:val="00256458"/>
    <w:rsid w:val="00257EA5"/>
    <w:rsid w:val="00260046"/>
    <w:rsid w:val="002602F3"/>
    <w:rsid w:val="00264954"/>
    <w:rsid w:val="00266125"/>
    <w:rsid w:val="0026615A"/>
    <w:rsid w:val="00266445"/>
    <w:rsid w:val="0026668C"/>
    <w:rsid w:val="00266DE2"/>
    <w:rsid w:val="002671B2"/>
    <w:rsid w:val="00267DBD"/>
    <w:rsid w:val="0027194D"/>
    <w:rsid w:val="00271BD7"/>
    <w:rsid w:val="00272692"/>
    <w:rsid w:val="00272838"/>
    <w:rsid w:val="002736CB"/>
    <w:rsid w:val="00273FA9"/>
    <w:rsid w:val="00274B83"/>
    <w:rsid w:val="00276685"/>
    <w:rsid w:val="00277912"/>
    <w:rsid w:val="00277ABB"/>
    <w:rsid w:val="00280F42"/>
    <w:rsid w:val="00281C9F"/>
    <w:rsid w:val="00282DBA"/>
    <w:rsid w:val="00283147"/>
    <w:rsid w:val="0028356E"/>
    <w:rsid w:val="0028372B"/>
    <w:rsid w:val="00283B56"/>
    <w:rsid w:val="00284383"/>
    <w:rsid w:val="00284BA4"/>
    <w:rsid w:val="00286A27"/>
    <w:rsid w:val="00287243"/>
    <w:rsid w:val="002872F5"/>
    <w:rsid w:val="0028794F"/>
    <w:rsid w:val="00287F23"/>
    <w:rsid w:val="002901F6"/>
    <w:rsid w:val="00290310"/>
    <w:rsid w:val="00290ACE"/>
    <w:rsid w:val="0029164D"/>
    <w:rsid w:val="00291B7C"/>
    <w:rsid w:val="002922A3"/>
    <w:rsid w:val="002924BE"/>
    <w:rsid w:val="002927DD"/>
    <w:rsid w:val="00292D14"/>
    <w:rsid w:val="00292D56"/>
    <w:rsid w:val="00292E54"/>
    <w:rsid w:val="002940B0"/>
    <w:rsid w:val="00294591"/>
    <w:rsid w:val="00294C9F"/>
    <w:rsid w:val="00294D99"/>
    <w:rsid w:val="002954B6"/>
    <w:rsid w:val="002956A6"/>
    <w:rsid w:val="00295755"/>
    <w:rsid w:val="002957B4"/>
    <w:rsid w:val="00295AD1"/>
    <w:rsid w:val="00295D5C"/>
    <w:rsid w:val="00296146"/>
    <w:rsid w:val="00296A4F"/>
    <w:rsid w:val="00296B3C"/>
    <w:rsid w:val="00296E19"/>
    <w:rsid w:val="00297DB5"/>
    <w:rsid w:val="002A0473"/>
    <w:rsid w:val="002A0DB6"/>
    <w:rsid w:val="002A11EA"/>
    <w:rsid w:val="002A23FF"/>
    <w:rsid w:val="002A4A32"/>
    <w:rsid w:val="002A5D10"/>
    <w:rsid w:val="002A5F9C"/>
    <w:rsid w:val="002A746B"/>
    <w:rsid w:val="002B06C7"/>
    <w:rsid w:val="002B09E1"/>
    <w:rsid w:val="002B119B"/>
    <w:rsid w:val="002B1552"/>
    <w:rsid w:val="002B28DB"/>
    <w:rsid w:val="002B2B39"/>
    <w:rsid w:val="002B3ABE"/>
    <w:rsid w:val="002B3DE3"/>
    <w:rsid w:val="002B48A4"/>
    <w:rsid w:val="002B4A7A"/>
    <w:rsid w:val="002B4CD3"/>
    <w:rsid w:val="002B4CF7"/>
    <w:rsid w:val="002B4F16"/>
    <w:rsid w:val="002B5AE5"/>
    <w:rsid w:val="002B5FC6"/>
    <w:rsid w:val="002B65AC"/>
    <w:rsid w:val="002B76B4"/>
    <w:rsid w:val="002B7A0C"/>
    <w:rsid w:val="002C0D4C"/>
    <w:rsid w:val="002C0F65"/>
    <w:rsid w:val="002C183E"/>
    <w:rsid w:val="002C1C9E"/>
    <w:rsid w:val="002C2142"/>
    <w:rsid w:val="002C21F7"/>
    <w:rsid w:val="002C26B4"/>
    <w:rsid w:val="002C26F8"/>
    <w:rsid w:val="002C329D"/>
    <w:rsid w:val="002C334D"/>
    <w:rsid w:val="002C339C"/>
    <w:rsid w:val="002C49FB"/>
    <w:rsid w:val="002C4E12"/>
    <w:rsid w:val="002C562A"/>
    <w:rsid w:val="002C5F6C"/>
    <w:rsid w:val="002C609D"/>
    <w:rsid w:val="002C616B"/>
    <w:rsid w:val="002C6D3C"/>
    <w:rsid w:val="002C70E5"/>
    <w:rsid w:val="002C71FA"/>
    <w:rsid w:val="002C720C"/>
    <w:rsid w:val="002C7A6C"/>
    <w:rsid w:val="002D110A"/>
    <w:rsid w:val="002D1AEE"/>
    <w:rsid w:val="002D1D55"/>
    <w:rsid w:val="002D387C"/>
    <w:rsid w:val="002D3AB1"/>
    <w:rsid w:val="002D4628"/>
    <w:rsid w:val="002D46F5"/>
    <w:rsid w:val="002D4CF6"/>
    <w:rsid w:val="002D4DD3"/>
    <w:rsid w:val="002D552D"/>
    <w:rsid w:val="002D5C3F"/>
    <w:rsid w:val="002D6C71"/>
    <w:rsid w:val="002E0679"/>
    <w:rsid w:val="002E08BA"/>
    <w:rsid w:val="002E11E7"/>
    <w:rsid w:val="002E18C9"/>
    <w:rsid w:val="002E197E"/>
    <w:rsid w:val="002E1AAC"/>
    <w:rsid w:val="002E348B"/>
    <w:rsid w:val="002E36C0"/>
    <w:rsid w:val="002E4209"/>
    <w:rsid w:val="002E46B6"/>
    <w:rsid w:val="002E4B47"/>
    <w:rsid w:val="002E5107"/>
    <w:rsid w:val="002E55FB"/>
    <w:rsid w:val="002E5E21"/>
    <w:rsid w:val="002E60BA"/>
    <w:rsid w:val="002E69D4"/>
    <w:rsid w:val="002E73F6"/>
    <w:rsid w:val="002E7799"/>
    <w:rsid w:val="002F01AC"/>
    <w:rsid w:val="002F031C"/>
    <w:rsid w:val="002F1E88"/>
    <w:rsid w:val="002F25C9"/>
    <w:rsid w:val="002F327F"/>
    <w:rsid w:val="002F340B"/>
    <w:rsid w:val="002F34D5"/>
    <w:rsid w:val="002F3931"/>
    <w:rsid w:val="002F4117"/>
    <w:rsid w:val="002F4CB0"/>
    <w:rsid w:val="002F4E13"/>
    <w:rsid w:val="002F553F"/>
    <w:rsid w:val="002F66B5"/>
    <w:rsid w:val="002F692B"/>
    <w:rsid w:val="002F7E33"/>
    <w:rsid w:val="00300756"/>
    <w:rsid w:val="0030095C"/>
    <w:rsid w:val="0030122C"/>
    <w:rsid w:val="003013CA"/>
    <w:rsid w:val="00301B34"/>
    <w:rsid w:val="0030264D"/>
    <w:rsid w:val="003039EE"/>
    <w:rsid w:val="00303DDD"/>
    <w:rsid w:val="00303F36"/>
    <w:rsid w:val="00304CC3"/>
    <w:rsid w:val="003054A4"/>
    <w:rsid w:val="00305651"/>
    <w:rsid w:val="00305C03"/>
    <w:rsid w:val="003061B7"/>
    <w:rsid w:val="00306344"/>
    <w:rsid w:val="0030790E"/>
    <w:rsid w:val="003107C2"/>
    <w:rsid w:val="003107C5"/>
    <w:rsid w:val="00311643"/>
    <w:rsid w:val="00311F3D"/>
    <w:rsid w:val="00312246"/>
    <w:rsid w:val="00312821"/>
    <w:rsid w:val="00313085"/>
    <w:rsid w:val="00314E28"/>
    <w:rsid w:val="00314E98"/>
    <w:rsid w:val="00315FE4"/>
    <w:rsid w:val="00316FB9"/>
    <w:rsid w:val="00317956"/>
    <w:rsid w:val="00320292"/>
    <w:rsid w:val="00321280"/>
    <w:rsid w:val="003212CD"/>
    <w:rsid w:val="0032145B"/>
    <w:rsid w:val="0032196E"/>
    <w:rsid w:val="00322087"/>
    <w:rsid w:val="00323CE4"/>
    <w:rsid w:val="00324374"/>
    <w:rsid w:val="0032557C"/>
    <w:rsid w:val="00326237"/>
    <w:rsid w:val="003268A3"/>
    <w:rsid w:val="00326C52"/>
    <w:rsid w:val="00327580"/>
    <w:rsid w:val="00327C49"/>
    <w:rsid w:val="00330172"/>
    <w:rsid w:val="003301C3"/>
    <w:rsid w:val="00331382"/>
    <w:rsid w:val="0033211D"/>
    <w:rsid w:val="00332429"/>
    <w:rsid w:val="00333438"/>
    <w:rsid w:val="00334A62"/>
    <w:rsid w:val="00335FF5"/>
    <w:rsid w:val="00337A7E"/>
    <w:rsid w:val="00337BE9"/>
    <w:rsid w:val="003404D2"/>
    <w:rsid w:val="003404D7"/>
    <w:rsid w:val="003425E4"/>
    <w:rsid w:val="0034324D"/>
    <w:rsid w:val="003447D3"/>
    <w:rsid w:val="00344E44"/>
    <w:rsid w:val="0034572A"/>
    <w:rsid w:val="00345E1E"/>
    <w:rsid w:val="00346156"/>
    <w:rsid w:val="003471DC"/>
    <w:rsid w:val="00347D1B"/>
    <w:rsid w:val="00347F6A"/>
    <w:rsid w:val="00347FB8"/>
    <w:rsid w:val="00352125"/>
    <w:rsid w:val="0035232C"/>
    <w:rsid w:val="0035297F"/>
    <w:rsid w:val="003541DE"/>
    <w:rsid w:val="00354454"/>
    <w:rsid w:val="00354628"/>
    <w:rsid w:val="00354EF9"/>
    <w:rsid w:val="00355000"/>
    <w:rsid w:val="00355033"/>
    <w:rsid w:val="00355178"/>
    <w:rsid w:val="00355DB5"/>
    <w:rsid w:val="003560EA"/>
    <w:rsid w:val="00356846"/>
    <w:rsid w:val="003569EE"/>
    <w:rsid w:val="00356D39"/>
    <w:rsid w:val="00356EA3"/>
    <w:rsid w:val="0035792B"/>
    <w:rsid w:val="003609A5"/>
    <w:rsid w:val="00361866"/>
    <w:rsid w:val="003625BE"/>
    <w:rsid w:val="003640B9"/>
    <w:rsid w:val="00364650"/>
    <w:rsid w:val="00365283"/>
    <w:rsid w:val="00366756"/>
    <w:rsid w:val="00367317"/>
    <w:rsid w:val="003675C5"/>
    <w:rsid w:val="00371A73"/>
    <w:rsid w:val="00371B7A"/>
    <w:rsid w:val="003735B3"/>
    <w:rsid w:val="003737AF"/>
    <w:rsid w:val="00373C9E"/>
    <w:rsid w:val="00374584"/>
    <w:rsid w:val="00376D41"/>
    <w:rsid w:val="003773D1"/>
    <w:rsid w:val="0037768D"/>
    <w:rsid w:val="00380128"/>
    <w:rsid w:val="00381217"/>
    <w:rsid w:val="003823DD"/>
    <w:rsid w:val="00384398"/>
    <w:rsid w:val="00384C06"/>
    <w:rsid w:val="0038538A"/>
    <w:rsid w:val="0038681E"/>
    <w:rsid w:val="003878F6"/>
    <w:rsid w:val="00387FB2"/>
    <w:rsid w:val="00390405"/>
    <w:rsid w:val="0039048F"/>
    <w:rsid w:val="00390870"/>
    <w:rsid w:val="00391244"/>
    <w:rsid w:val="003937ED"/>
    <w:rsid w:val="00393976"/>
    <w:rsid w:val="00393C9B"/>
    <w:rsid w:val="00394CAE"/>
    <w:rsid w:val="00395173"/>
    <w:rsid w:val="003956DA"/>
    <w:rsid w:val="00395E10"/>
    <w:rsid w:val="00396D98"/>
    <w:rsid w:val="00396E82"/>
    <w:rsid w:val="00396EAA"/>
    <w:rsid w:val="0039709F"/>
    <w:rsid w:val="00397ED0"/>
    <w:rsid w:val="00397F7F"/>
    <w:rsid w:val="003A01EC"/>
    <w:rsid w:val="003A06F4"/>
    <w:rsid w:val="003A143C"/>
    <w:rsid w:val="003A1D4E"/>
    <w:rsid w:val="003A1DED"/>
    <w:rsid w:val="003A1F85"/>
    <w:rsid w:val="003A2A78"/>
    <w:rsid w:val="003A2B32"/>
    <w:rsid w:val="003A2CF9"/>
    <w:rsid w:val="003A3E29"/>
    <w:rsid w:val="003A435E"/>
    <w:rsid w:val="003A44B4"/>
    <w:rsid w:val="003A577D"/>
    <w:rsid w:val="003A579D"/>
    <w:rsid w:val="003A62E6"/>
    <w:rsid w:val="003A66D5"/>
    <w:rsid w:val="003B1C58"/>
    <w:rsid w:val="003B22AB"/>
    <w:rsid w:val="003B336D"/>
    <w:rsid w:val="003B3A02"/>
    <w:rsid w:val="003B3B4D"/>
    <w:rsid w:val="003B3D4B"/>
    <w:rsid w:val="003B4BDB"/>
    <w:rsid w:val="003B57E3"/>
    <w:rsid w:val="003B5AEF"/>
    <w:rsid w:val="003B6A3A"/>
    <w:rsid w:val="003B7593"/>
    <w:rsid w:val="003B7999"/>
    <w:rsid w:val="003B7C83"/>
    <w:rsid w:val="003C047B"/>
    <w:rsid w:val="003C158B"/>
    <w:rsid w:val="003C1854"/>
    <w:rsid w:val="003C24D8"/>
    <w:rsid w:val="003C2CE3"/>
    <w:rsid w:val="003C2DEE"/>
    <w:rsid w:val="003C3A96"/>
    <w:rsid w:val="003C3AFB"/>
    <w:rsid w:val="003C4139"/>
    <w:rsid w:val="003C6170"/>
    <w:rsid w:val="003C6EF9"/>
    <w:rsid w:val="003C7B6C"/>
    <w:rsid w:val="003C7EC0"/>
    <w:rsid w:val="003D0ACA"/>
    <w:rsid w:val="003D1071"/>
    <w:rsid w:val="003D23B4"/>
    <w:rsid w:val="003D29C9"/>
    <w:rsid w:val="003D4208"/>
    <w:rsid w:val="003D5945"/>
    <w:rsid w:val="003D67AB"/>
    <w:rsid w:val="003D69FC"/>
    <w:rsid w:val="003D6B9E"/>
    <w:rsid w:val="003D6C02"/>
    <w:rsid w:val="003D7003"/>
    <w:rsid w:val="003D709F"/>
    <w:rsid w:val="003D746E"/>
    <w:rsid w:val="003E02F4"/>
    <w:rsid w:val="003E0D84"/>
    <w:rsid w:val="003E2026"/>
    <w:rsid w:val="003E2E50"/>
    <w:rsid w:val="003E3305"/>
    <w:rsid w:val="003E4401"/>
    <w:rsid w:val="003E4475"/>
    <w:rsid w:val="003E4CA5"/>
    <w:rsid w:val="003E54E3"/>
    <w:rsid w:val="003E5CDE"/>
    <w:rsid w:val="003E5EC5"/>
    <w:rsid w:val="003E6BF2"/>
    <w:rsid w:val="003E7482"/>
    <w:rsid w:val="003E7EB4"/>
    <w:rsid w:val="003F074E"/>
    <w:rsid w:val="003F0C18"/>
    <w:rsid w:val="003F0EF3"/>
    <w:rsid w:val="003F28F2"/>
    <w:rsid w:val="003F2C7F"/>
    <w:rsid w:val="003F4BAF"/>
    <w:rsid w:val="003F634B"/>
    <w:rsid w:val="003F75FC"/>
    <w:rsid w:val="0040142D"/>
    <w:rsid w:val="004019C7"/>
    <w:rsid w:val="00401A1E"/>
    <w:rsid w:val="00401BB4"/>
    <w:rsid w:val="00401C3F"/>
    <w:rsid w:val="00401E45"/>
    <w:rsid w:val="00401E7D"/>
    <w:rsid w:val="0040221C"/>
    <w:rsid w:val="00403B64"/>
    <w:rsid w:val="00403E23"/>
    <w:rsid w:val="004042CB"/>
    <w:rsid w:val="004043CB"/>
    <w:rsid w:val="004044C5"/>
    <w:rsid w:val="00404DBE"/>
    <w:rsid w:val="00405318"/>
    <w:rsid w:val="004058EA"/>
    <w:rsid w:val="00405965"/>
    <w:rsid w:val="004066E1"/>
    <w:rsid w:val="00406D4E"/>
    <w:rsid w:val="00410728"/>
    <w:rsid w:val="00410B28"/>
    <w:rsid w:val="004117FA"/>
    <w:rsid w:val="00411A37"/>
    <w:rsid w:val="00411BB8"/>
    <w:rsid w:val="0041235A"/>
    <w:rsid w:val="00412874"/>
    <w:rsid w:val="00412A34"/>
    <w:rsid w:val="004151C4"/>
    <w:rsid w:val="00415A78"/>
    <w:rsid w:val="00416E12"/>
    <w:rsid w:val="004176D6"/>
    <w:rsid w:val="00417BDB"/>
    <w:rsid w:val="0042037B"/>
    <w:rsid w:val="004204FD"/>
    <w:rsid w:val="0042057F"/>
    <w:rsid w:val="00420753"/>
    <w:rsid w:val="00420779"/>
    <w:rsid w:val="00420C2F"/>
    <w:rsid w:val="00420CF1"/>
    <w:rsid w:val="00422A9B"/>
    <w:rsid w:val="004230E9"/>
    <w:rsid w:val="00423954"/>
    <w:rsid w:val="0042439B"/>
    <w:rsid w:val="004248CB"/>
    <w:rsid w:val="00424976"/>
    <w:rsid w:val="00426787"/>
    <w:rsid w:val="00427157"/>
    <w:rsid w:val="004310E5"/>
    <w:rsid w:val="00431469"/>
    <w:rsid w:val="004324FF"/>
    <w:rsid w:val="00432916"/>
    <w:rsid w:val="00432F13"/>
    <w:rsid w:val="00433954"/>
    <w:rsid w:val="00433E07"/>
    <w:rsid w:val="00434FF7"/>
    <w:rsid w:val="004350C5"/>
    <w:rsid w:val="004352B3"/>
    <w:rsid w:val="0043677B"/>
    <w:rsid w:val="0043678A"/>
    <w:rsid w:val="004374B1"/>
    <w:rsid w:val="0044148E"/>
    <w:rsid w:val="00441F58"/>
    <w:rsid w:val="004422AF"/>
    <w:rsid w:val="0044380E"/>
    <w:rsid w:val="00443D88"/>
    <w:rsid w:val="00443F9B"/>
    <w:rsid w:val="00444905"/>
    <w:rsid w:val="0044572C"/>
    <w:rsid w:val="004461B1"/>
    <w:rsid w:val="00446EC6"/>
    <w:rsid w:val="00447D2F"/>
    <w:rsid w:val="00450497"/>
    <w:rsid w:val="00451D71"/>
    <w:rsid w:val="00452DB3"/>
    <w:rsid w:val="00452FD4"/>
    <w:rsid w:val="0045325A"/>
    <w:rsid w:val="00453D92"/>
    <w:rsid w:val="004543EF"/>
    <w:rsid w:val="00454B82"/>
    <w:rsid w:val="00455330"/>
    <w:rsid w:val="00455442"/>
    <w:rsid w:val="00455A44"/>
    <w:rsid w:val="004563EB"/>
    <w:rsid w:val="004577A9"/>
    <w:rsid w:val="004577DE"/>
    <w:rsid w:val="00457FF5"/>
    <w:rsid w:val="004609EB"/>
    <w:rsid w:val="00461C04"/>
    <w:rsid w:val="004627BF"/>
    <w:rsid w:val="00462A07"/>
    <w:rsid w:val="004635C0"/>
    <w:rsid w:val="00463A43"/>
    <w:rsid w:val="00463D4A"/>
    <w:rsid w:val="0046416A"/>
    <w:rsid w:val="0046457C"/>
    <w:rsid w:val="00464588"/>
    <w:rsid w:val="00464A97"/>
    <w:rsid w:val="00464AA1"/>
    <w:rsid w:val="00464C0C"/>
    <w:rsid w:val="00464C72"/>
    <w:rsid w:val="00465067"/>
    <w:rsid w:val="004651E5"/>
    <w:rsid w:val="00465DE3"/>
    <w:rsid w:val="0046630A"/>
    <w:rsid w:val="00466C23"/>
    <w:rsid w:val="00466E72"/>
    <w:rsid w:val="004673CF"/>
    <w:rsid w:val="00467863"/>
    <w:rsid w:val="00467F88"/>
    <w:rsid w:val="00470590"/>
    <w:rsid w:val="0047121E"/>
    <w:rsid w:val="0047139D"/>
    <w:rsid w:val="00471B30"/>
    <w:rsid w:val="00471C8E"/>
    <w:rsid w:val="004728D1"/>
    <w:rsid w:val="0047378A"/>
    <w:rsid w:val="00473977"/>
    <w:rsid w:val="00473FAE"/>
    <w:rsid w:val="00475B9A"/>
    <w:rsid w:val="004766AC"/>
    <w:rsid w:val="00476E6F"/>
    <w:rsid w:val="0047736C"/>
    <w:rsid w:val="0047741D"/>
    <w:rsid w:val="00477592"/>
    <w:rsid w:val="00477933"/>
    <w:rsid w:val="00477970"/>
    <w:rsid w:val="00477ECA"/>
    <w:rsid w:val="00480F8A"/>
    <w:rsid w:val="00481FA8"/>
    <w:rsid w:val="0048235C"/>
    <w:rsid w:val="0048236A"/>
    <w:rsid w:val="00482F59"/>
    <w:rsid w:val="00482F66"/>
    <w:rsid w:val="004841F5"/>
    <w:rsid w:val="00484369"/>
    <w:rsid w:val="004850BC"/>
    <w:rsid w:val="00485550"/>
    <w:rsid w:val="0048642A"/>
    <w:rsid w:val="00486FA0"/>
    <w:rsid w:val="00490048"/>
    <w:rsid w:val="004909E8"/>
    <w:rsid w:val="00491340"/>
    <w:rsid w:val="00491B72"/>
    <w:rsid w:val="00492EDB"/>
    <w:rsid w:val="00493312"/>
    <w:rsid w:val="00493396"/>
    <w:rsid w:val="004937A9"/>
    <w:rsid w:val="00493AF0"/>
    <w:rsid w:val="00494DB4"/>
    <w:rsid w:val="0049729D"/>
    <w:rsid w:val="004973C1"/>
    <w:rsid w:val="00497B54"/>
    <w:rsid w:val="00497FEA"/>
    <w:rsid w:val="004A00FB"/>
    <w:rsid w:val="004A0D97"/>
    <w:rsid w:val="004A1AAF"/>
    <w:rsid w:val="004A1E52"/>
    <w:rsid w:val="004A3A11"/>
    <w:rsid w:val="004A43AF"/>
    <w:rsid w:val="004A48D7"/>
    <w:rsid w:val="004A4E4D"/>
    <w:rsid w:val="004A53EE"/>
    <w:rsid w:val="004A5848"/>
    <w:rsid w:val="004A6F39"/>
    <w:rsid w:val="004A78BE"/>
    <w:rsid w:val="004A78CE"/>
    <w:rsid w:val="004A7B75"/>
    <w:rsid w:val="004B0E4B"/>
    <w:rsid w:val="004B19C7"/>
    <w:rsid w:val="004B509F"/>
    <w:rsid w:val="004B512F"/>
    <w:rsid w:val="004B65AB"/>
    <w:rsid w:val="004B7BDF"/>
    <w:rsid w:val="004C008F"/>
    <w:rsid w:val="004C0354"/>
    <w:rsid w:val="004C29B9"/>
    <w:rsid w:val="004C2B87"/>
    <w:rsid w:val="004C2C81"/>
    <w:rsid w:val="004C2D40"/>
    <w:rsid w:val="004C2E42"/>
    <w:rsid w:val="004C3B5C"/>
    <w:rsid w:val="004C5519"/>
    <w:rsid w:val="004C55A2"/>
    <w:rsid w:val="004C678C"/>
    <w:rsid w:val="004C6A5D"/>
    <w:rsid w:val="004C6E8F"/>
    <w:rsid w:val="004C744C"/>
    <w:rsid w:val="004D0DA0"/>
    <w:rsid w:val="004D180E"/>
    <w:rsid w:val="004D283B"/>
    <w:rsid w:val="004D32AE"/>
    <w:rsid w:val="004D369E"/>
    <w:rsid w:val="004D3FBF"/>
    <w:rsid w:val="004D44C7"/>
    <w:rsid w:val="004D564F"/>
    <w:rsid w:val="004D56EB"/>
    <w:rsid w:val="004D5ED9"/>
    <w:rsid w:val="004D5F0C"/>
    <w:rsid w:val="004D68FC"/>
    <w:rsid w:val="004D6B78"/>
    <w:rsid w:val="004D6FE8"/>
    <w:rsid w:val="004D71F6"/>
    <w:rsid w:val="004D75E5"/>
    <w:rsid w:val="004D7A65"/>
    <w:rsid w:val="004E12A9"/>
    <w:rsid w:val="004E1D0F"/>
    <w:rsid w:val="004E2B41"/>
    <w:rsid w:val="004E41D8"/>
    <w:rsid w:val="004E4587"/>
    <w:rsid w:val="004E46ED"/>
    <w:rsid w:val="004E4E6A"/>
    <w:rsid w:val="004E4E9C"/>
    <w:rsid w:val="004E587C"/>
    <w:rsid w:val="004E69AC"/>
    <w:rsid w:val="004E6BDC"/>
    <w:rsid w:val="004E7A3B"/>
    <w:rsid w:val="004F1F1F"/>
    <w:rsid w:val="004F2224"/>
    <w:rsid w:val="004F2833"/>
    <w:rsid w:val="004F3830"/>
    <w:rsid w:val="004F44C9"/>
    <w:rsid w:val="004F5078"/>
    <w:rsid w:val="004F559E"/>
    <w:rsid w:val="004F6931"/>
    <w:rsid w:val="004F6A57"/>
    <w:rsid w:val="004F6C84"/>
    <w:rsid w:val="004F741B"/>
    <w:rsid w:val="004F7870"/>
    <w:rsid w:val="005002F9"/>
    <w:rsid w:val="0050040D"/>
    <w:rsid w:val="0050069A"/>
    <w:rsid w:val="00500FF9"/>
    <w:rsid w:val="00501517"/>
    <w:rsid w:val="00501752"/>
    <w:rsid w:val="00501A15"/>
    <w:rsid w:val="00501C1F"/>
    <w:rsid w:val="005020C5"/>
    <w:rsid w:val="005022A3"/>
    <w:rsid w:val="005039D7"/>
    <w:rsid w:val="00503EC6"/>
    <w:rsid w:val="005046E5"/>
    <w:rsid w:val="0050505C"/>
    <w:rsid w:val="00505AE1"/>
    <w:rsid w:val="00505FE8"/>
    <w:rsid w:val="00506824"/>
    <w:rsid w:val="00506CC3"/>
    <w:rsid w:val="00507840"/>
    <w:rsid w:val="0051015F"/>
    <w:rsid w:val="005110DF"/>
    <w:rsid w:val="00511464"/>
    <w:rsid w:val="00511A9A"/>
    <w:rsid w:val="0051275A"/>
    <w:rsid w:val="00512B71"/>
    <w:rsid w:val="00514894"/>
    <w:rsid w:val="00515B52"/>
    <w:rsid w:val="0051744C"/>
    <w:rsid w:val="00517B6E"/>
    <w:rsid w:val="005201B2"/>
    <w:rsid w:val="00520389"/>
    <w:rsid w:val="00520E23"/>
    <w:rsid w:val="005220E8"/>
    <w:rsid w:val="005223C4"/>
    <w:rsid w:val="005229C1"/>
    <w:rsid w:val="00522A82"/>
    <w:rsid w:val="00522D4A"/>
    <w:rsid w:val="0052332A"/>
    <w:rsid w:val="00524352"/>
    <w:rsid w:val="0052481A"/>
    <w:rsid w:val="00524C17"/>
    <w:rsid w:val="00525AB2"/>
    <w:rsid w:val="00526086"/>
    <w:rsid w:val="005264DB"/>
    <w:rsid w:val="00526568"/>
    <w:rsid w:val="00526BD1"/>
    <w:rsid w:val="0052749F"/>
    <w:rsid w:val="005303C3"/>
    <w:rsid w:val="005306A9"/>
    <w:rsid w:val="0053092D"/>
    <w:rsid w:val="00530F39"/>
    <w:rsid w:val="00531633"/>
    <w:rsid w:val="005322A7"/>
    <w:rsid w:val="005324CC"/>
    <w:rsid w:val="00532D5C"/>
    <w:rsid w:val="005333A0"/>
    <w:rsid w:val="0053374D"/>
    <w:rsid w:val="00533C3A"/>
    <w:rsid w:val="0053401C"/>
    <w:rsid w:val="00534EF5"/>
    <w:rsid w:val="005363DA"/>
    <w:rsid w:val="00540318"/>
    <w:rsid w:val="005404DC"/>
    <w:rsid w:val="005410A7"/>
    <w:rsid w:val="0054179B"/>
    <w:rsid w:val="00543199"/>
    <w:rsid w:val="00543FE8"/>
    <w:rsid w:val="00544130"/>
    <w:rsid w:val="005443B5"/>
    <w:rsid w:val="005447BE"/>
    <w:rsid w:val="00544DF5"/>
    <w:rsid w:val="00545823"/>
    <w:rsid w:val="005467DC"/>
    <w:rsid w:val="00546C89"/>
    <w:rsid w:val="00546DA2"/>
    <w:rsid w:val="00550C06"/>
    <w:rsid w:val="00550E45"/>
    <w:rsid w:val="00552237"/>
    <w:rsid w:val="00553677"/>
    <w:rsid w:val="0055373C"/>
    <w:rsid w:val="0055376F"/>
    <w:rsid w:val="00553F4F"/>
    <w:rsid w:val="0055454A"/>
    <w:rsid w:val="00554560"/>
    <w:rsid w:val="00555A0E"/>
    <w:rsid w:val="00560B74"/>
    <w:rsid w:val="005623B1"/>
    <w:rsid w:val="0056255A"/>
    <w:rsid w:val="00563068"/>
    <w:rsid w:val="0056359B"/>
    <w:rsid w:val="00564C1F"/>
    <w:rsid w:val="005656F8"/>
    <w:rsid w:val="00565749"/>
    <w:rsid w:val="00565D1F"/>
    <w:rsid w:val="00565D26"/>
    <w:rsid w:val="00565E5C"/>
    <w:rsid w:val="00567198"/>
    <w:rsid w:val="00570B5E"/>
    <w:rsid w:val="00571059"/>
    <w:rsid w:val="0057121A"/>
    <w:rsid w:val="00571E98"/>
    <w:rsid w:val="00571F1B"/>
    <w:rsid w:val="0057259B"/>
    <w:rsid w:val="00573C6D"/>
    <w:rsid w:val="0057425B"/>
    <w:rsid w:val="005749EC"/>
    <w:rsid w:val="00574E6B"/>
    <w:rsid w:val="00575483"/>
    <w:rsid w:val="00575D08"/>
    <w:rsid w:val="00576312"/>
    <w:rsid w:val="00577773"/>
    <w:rsid w:val="00581D1A"/>
    <w:rsid w:val="00582210"/>
    <w:rsid w:val="00582AAE"/>
    <w:rsid w:val="00582E55"/>
    <w:rsid w:val="005836EA"/>
    <w:rsid w:val="00583717"/>
    <w:rsid w:val="005839A5"/>
    <w:rsid w:val="00583AD3"/>
    <w:rsid w:val="00584277"/>
    <w:rsid w:val="00585252"/>
    <w:rsid w:val="005856E9"/>
    <w:rsid w:val="0058654B"/>
    <w:rsid w:val="00586675"/>
    <w:rsid w:val="005871A1"/>
    <w:rsid w:val="00587BA9"/>
    <w:rsid w:val="00590CE1"/>
    <w:rsid w:val="00591723"/>
    <w:rsid w:val="00591BD5"/>
    <w:rsid w:val="005934EA"/>
    <w:rsid w:val="00593DC3"/>
    <w:rsid w:val="0059522F"/>
    <w:rsid w:val="00596639"/>
    <w:rsid w:val="005967B7"/>
    <w:rsid w:val="005A030B"/>
    <w:rsid w:val="005A2371"/>
    <w:rsid w:val="005A23DB"/>
    <w:rsid w:val="005A2D53"/>
    <w:rsid w:val="005A4105"/>
    <w:rsid w:val="005A44A7"/>
    <w:rsid w:val="005A4F9D"/>
    <w:rsid w:val="005A518C"/>
    <w:rsid w:val="005A55E9"/>
    <w:rsid w:val="005A5942"/>
    <w:rsid w:val="005A6044"/>
    <w:rsid w:val="005A608C"/>
    <w:rsid w:val="005A655D"/>
    <w:rsid w:val="005A66A0"/>
    <w:rsid w:val="005A68AA"/>
    <w:rsid w:val="005A70E6"/>
    <w:rsid w:val="005B10B4"/>
    <w:rsid w:val="005B154D"/>
    <w:rsid w:val="005B3234"/>
    <w:rsid w:val="005B46EF"/>
    <w:rsid w:val="005B481B"/>
    <w:rsid w:val="005B63E2"/>
    <w:rsid w:val="005B7046"/>
    <w:rsid w:val="005B70EB"/>
    <w:rsid w:val="005B778A"/>
    <w:rsid w:val="005C051B"/>
    <w:rsid w:val="005C075B"/>
    <w:rsid w:val="005C0B65"/>
    <w:rsid w:val="005C1287"/>
    <w:rsid w:val="005C1A59"/>
    <w:rsid w:val="005C1B47"/>
    <w:rsid w:val="005C1F73"/>
    <w:rsid w:val="005C3781"/>
    <w:rsid w:val="005C5AEA"/>
    <w:rsid w:val="005C5D0F"/>
    <w:rsid w:val="005C612D"/>
    <w:rsid w:val="005C61FF"/>
    <w:rsid w:val="005C6999"/>
    <w:rsid w:val="005C7D1E"/>
    <w:rsid w:val="005C7DB6"/>
    <w:rsid w:val="005D0EE2"/>
    <w:rsid w:val="005D1B79"/>
    <w:rsid w:val="005D26D0"/>
    <w:rsid w:val="005D2A31"/>
    <w:rsid w:val="005D2FB0"/>
    <w:rsid w:val="005D3032"/>
    <w:rsid w:val="005D4413"/>
    <w:rsid w:val="005D50F2"/>
    <w:rsid w:val="005D6648"/>
    <w:rsid w:val="005D7223"/>
    <w:rsid w:val="005E005A"/>
    <w:rsid w:val="005E0FEA"/>
    <w:rsid w:val="005E1090"/>
    <w:rsid w:val="005E1438"/>
    <w:rsid w:val="005E1649"/>
    <w:rsid w:val="005E1C85"/>
    <w:rsid w:val="005E266E"/>
    <w:rsid w:val="005E2BBE"/>
    <w:rsid w:val="005E305E"/>
    <w:rsid w:val="005E3FBC"/>
    <w:rsid w:val="005E555B"/>
    <w:rsid w:val="005E578B"/>
    <w:rsid w:val="005E621D"/>
    <w:rsid w:val="005E6488"/>
    <w:rsid w:val="005F03D8"/>
    <w:rsid w:val="005F0D0E"/>
    <w:rsid w:val="005F141A"/>
    <w:rsid w:val="005F17BA"/>
    <w:rsid w:val="005F2ABD"/>
    <w:rsid w:val="005F2B52"/>
    <w:rsid w:val="005F32C0"/>
    <w:rsid w:val="005F3E97"/>
    <w:rsid w:val="005F5783"/>
    <w:rsid w:val="005F5CB0"/>
    <w:rsid w:val="005F612B"/>
    <w:rsid w:val="005F65FC"/>
    <w:rsid w:val="005F6FFE"/>
    <w:rsid w:val="005F7704"/>
    <w:rsid w:val="005F7AD4"/>
    <w:rsid w:val="0060071B"/>
    <w:rsid w:val="00600F42"/>
    <w:rsid w:val="006018D4"/>
    <w:rsid w:val="00601971"/>
    <w:rsid w:val="0060240D"/>
    <w:rsid w:val="00603633"/>
    <w:rsid w:val="00603C6D"/>
    <w:rsid w:val="006046D2"/>
    <w:rsid w:val="00605715"/>
    <w:rsid w:val="0060596C"/>
    <w:rsid w:val="00606229"/>
    <w:rsid w:val="00606B51"/>
    <w:rsid w:val="00606F9E"/>
    <w:rsid w:val="00607125"/>
    <w:rsid w:val="00610374"/>
    <w:rsid w:val="00610906"/>
    <w:rsid w:val="00610AAC"/>
    <w:rsid w:val="00610B51"/>
    <w:rsid w:val="0061127E"/>
    <w:rsid w:val="00611496"/>
    <w:rsid w:val="00611774"/>
    <w:rsid w:val="00611802"/>
    <w:rsid w:val="00612BC7"/>
    <w:rsid w:val="00614AE3"/>
    <w:rsid w:val="00614D4C"/>
    <w:rsid w:val="006152AE"/>
    <w:rsid w:val="006153A1"/>
    <w:rsid w:val="00615D91"/>
    <w:rsid w:val="0061638A"/>
    <w:rsid w:val="00616478"/>
    <w:rsid w:val="00616B1A"/>
    <w:rsid w:val="00617E91"/>
    <w:rsid w:val="0062023B"/>
    <w:rsid w:val="00621416"/>
    <w:rsid w:val="00621738"/>
    <w:rsid w:val="006228CB"/>
    <w:rsid w:val="006234FE"/>
    <w:rsid w:val="006236BF"/>
    <w:rsid w:val="006253E2"/>
    <w:rsid w:val="00625431"/>
    <w:rsid w:val="00625A21"/>
    <w:rsid w:val="00625FCA"/>
    <w:rsid w:val="0062622A"/>
    <w:rsid w:val="0062627E"/>
    <w:rsid w:val="006263C3"/>
    <w:rsid w:val="00627458"/>
    <w:rsid w:val="00627B0D"/>
    <w:rsid w:val="00627C34"/>
    <w:rsid w:val="006300D8"/>
    <w:rsid w:val="00631E64"/>
    <w:rsid w:val="00631F33"/>
    <w:rsid w:val="00632100"/>
    <w:rsid w:val="006322EE"/>
    <w:rsid w:val="00632C5A"/>
    <w:rsid w:val="00632E90"/>
    <w:rsid w:val="00633E3A"/>
    <w:rsid w:val="006342CA"/>
    <w:rsid w:val="0063482B"/>
    <w:rsid w:val="0063531C"/>
    <w:rsid w:val="00635CDF"/>
    <w:rsid w:val="00635ED6"/>
    <w:rsid w:val="006360C4"/>
    <w:rsid w:val="006361D0"/>
    <w:rsid w:val="0063752A"/>
    <w:rsid w:val="00637D30"/>
    <w:rsid w:val="00640451"/>
    <w:rsid w:val="006405CD"/>
    <w:rsid w:val="00641D4D"/>
    <w:rsid w:val="006433B9"/>
    <w:rsid w:val="00643681"/>
    <w:rsid w:val="00645084"/>
    <w:rsid w:val="006452A7"/>
    <w:rsid w:val="006460A1"/>
    <w:rsid w:val="006463CB"/>
    <w:rsid w:val="00647DFB"/>
    <w:rsid w:val="006504D8"/>
    <w:rsid w:val="00650B48"/>
    <w:rsid w:val="0065266D"/>
    <w:rsid w:val="00653CD8"/>
    <w:rsid w:val="00654725"/>
    <w:rsid w:val="00654834"/>
    <w:rsid w:val="0065499C"/>
    <w:rsid w:val="00656035"/>
    <w:rsid w:val="00656BDD"/>
    <w:rsid w:val="00660C36"/>
    <w:rsid w:val="00661154"/>
    <w:rsid w:val="0066214D"/>
    <w:rsid w:val="00662173"/>
    <w:rsid w:val="00663B43"/>
    <w:rsid w:val="00664B79"/>
    <w:rsid w:val="00666287"/>
    <w:rsid w:val="0066633F"/>
    <w:rsid w:val="00666E46"/>
    <w:rsid w:val="00666FEA"/>
    <w:rsid w:val="00667226"/>
    <w:rsid w:val="00667659"/>
    <w:rsid w:val="0067050A"/>
    <w:rsid w:val="00670AD7"/>
    <w:rsid w:val="00670C01"/>
    <w:rsid w:val="00672A79"/>
    <w:rsid w:val="00672B47"/>
    <w:rsid w:val="006730DE"/>
    <w:rsid w:val="0067351E"/>
    <w:rsid w:val="006740C9"/>
    <w:rsid w:val="00674695"/>
    <w:rsid w:val="00674937"/>
    <w:rsid w:val="00676469"/>
    <w:rsid w:val="00682F78"/>
    <w:rsid w:val="00682FC1"/>
    <w:rsid w:val="006834C4"/>
    <w:rsid w:val="006849A6"/>
    <w:rsid w:val="00685EE5"/>
    <w:rsid w:val="00690500"/>
    <w:rsid w:val="00691C5D"/>
    <w:rsid w:val="006936AF"/>
    <w:rsid w:val="00694494"/>
    <w:rsid w:val="00695D57"/>
    <w:rsid w:val="00695E00"/>
    <w:rsid w:val="0069607D"/>
    <w:rsid w:val="00696D0C"/>
    <w:rsid w:val="00697BF5"/>
    <w:rsid w:val="006A027D"/>
    <w:rsid w:val="006A0737"/>
    <w:rsid w:val="006A0F44"/>
    <w:rsid w:val="006A3117"/>
    <w:rsid w:val="006A3A72"/>
    <w:rsid w:val="006A3B81"/>
    <w:rsid w:val="006A7DB5"/>
    <w:rsid w:val="006B0DE9"/>
    <w:rsid w:val="006B1526"/>
    <w:rsid w:val="006B21CE"/>
    <w:rsid w:val="006B2A5A"/>
    <w:rsid w:val="006B53FF"/>
    <w:rsid w:val="006B602E"/>
    <w:rsid w:val="006B6A0B"/>
    <w:rsid w:val="006B7524"/>
    <w:rsid w:val="006B76C1"/>
    <w:rsid w:val="006B7831"/>
    <w:rsid w:val="006C01D1"/>
    <w:rsid w:val="006C035D"/>
    <w:rsid w:val="006C249E"/>
    <w:rsid w:val="006C25BF"/>
    <w:rsid w:val="006C2DC8"/>
    <w:rsid w:val="006C40FE"/>
    <w:rsid w:val="006C4FCB"/>
    <w:rsid w:val="006C5280"/>
    <w:rsid w:val="006C57D4"/>
    <w:rsid w:val="006C586B"/>
    <w:rsid w:val="006C5A70"/>
    <w:rsid w:val="006C60FB"/>
    <w:rsid w:val="006C6456"/>
    <w:rsid w:val="006C6F4A"/>
    <w:rsid w:val="006C7635"/>
    <w:rsid w:val="006D0D2F"/>
    <w:rsid w:val="006D2030"/>
    <w:rsid w:val="006D2392"/>
    <w:rsid w:val="006D387B"/>
    <w:rsid w:val="006D4289"/>
    <w:rsid w:val="006D4866"/>
    <w:rsid w:val="006D49AA"/>
    <w:rsid w:val="006D61D8"/>
    <w:rsid w:val="006D6B10"/>
    <w:rsid w:val="006D71CE"/>
    <w:rsid w:val="006D72D0"/>
    <w:rsid w:val="006D7A02"/>
    <w:rsid w:val="006D7AE3"/>
    <w:rsid w:val="006D7C8F"/>
    <w:rsid w:val="006E0059"/>
    <w:rsid w:val="006E042A"/>
    <w:rsid w:val="006E0736"/>
    <w:rsid w:val="006E1478"/>
    <w:rsid w:val="006E161E"/>
    <w:rsid w:val="006E2C29"/>
    <w:rsid w:val="006E2F39"/>
    <w:rsid w:val="006E3184"/>
    <w:rsid w:val="006E363D"/>
    <w:rsid w:val="006E5901"/>
    <w:rsid w:val="006E68BC"/>
    <w:rsid w:val="006E6A2C"/>
    <w:rsid w:val="006E6EE6"/>
    <w:rsid w:val="006F13FD"/>
    <w:rsid w:val="006F1E6B"/>
    <w:rsid w:val="006F2A77"/>
    <w:rsid w:val="006F417D"/>
    <w:rsid w:val="006F5223"/>
    <w:rsid w:val="006F5BB4"/>
    <w:rsid w:val="006F5DB1"/>
    <w:rsid w:val="006F6808"/>
    <w:rsid w:val="006F7AA6"/>
    <w:rsid w:val="00700C34"/>
    <w:rsid w:val="00700EC6"/>
    <w:rsid w:val="00701884"/>
    <w:rsid w:val="00701F2D"/>
    <w:rsid w:val="00702B01"/>
    <w:rsid w:val="00703DBE"/>
    <w:rsid w:val="00705A58"/>
    <w:rsid w:val="00705A7E"/>
    <w:rsid w:val="00710102"/>
    <w:rsid w:val="00710272"/>
    <w:rsid w:val="0071062F"/>
    <w:rsid w:val="00711788"/>
    <w:rsid w:val="00711AFC"/>
    <w:rsid w:val="0071231A"/>
    <w:rsid w:val="0071231C"/>
    <w:rsid w:val="0071239D"/>
    <w:rsid w:val="00713594"/>
    <w:rsid w:val="00713F51"/>
    <w:rsid w:val="00714D36"/>
    <w:rsid w:val="007156E2"/>
    <w:rsid w:val="0071578F"/>
    <w:rsid w:val="007157CF"/>
    <w:rsid w:val="00715805"/>
    <w:rsid w:val="007162C3"/>
    <w:rsid w:val="00716A53"/>
    <w:rsid w:val="00716F91"/>
    <w:rsid w:val="00716FA6"/>
    <w:rsid w:val="0071763D"/>
    <w:rsid w:val="00720C4D"/>
    <w:rsid w:val="00721C1E"/>
    <w:rsid w:val="00721DDA"/>
    <w:rsid w:val="00722CF7"/>
    <w:rsid w:val="0072444F"/>
    <w:rsid w:val="0072454B"/>
    <w:rsid w:val="00725DC9"/>
    <w:rsid w:val="00725FE2"/>
    <w:rsid w:val="00726945"/>
    <w:rsid w:val="00726EAE"/>
    <w:rsid w:val="007276F7"/>
    <w:rsid w:val="00730899"/>
    <w:rsid w:val="00730D87"/>
    <w:rsid w:val="00732754"/>
    <w:rsid w:val="00733F76"/>
    <w:rsid w:val="00733FB8"/>
    <w:rsid w:val="00734170"/>
    <w:rsid w:val="00734443"/>
    <w:rsid w:val="00734BDB"/>
    <w:rsid w:val="007357EC"/>
    <w:rsid w:val="00735B4A"/>
    <w:rsid w:val="00736DE6"/>
    <w:rsid w:val="00737DB3"/>
    <w:rsid w:val="00740D07"/>
    <w:rsid w:val="007419CC"/>
    <w:rsid w:val="00742255"/>
    <w:rsid w:val="007424A0"/>
    <w:rsid w:val="00742CE9"/>
    <w:rsid w:val="0074324E"/>
    <w:rsid w:val="007435BB"/>
    <w:rsid w:val="0074453A"/>
    <w:rsid w:val="00744DD8"/>
    <w:rsid w:val="00745686"/>
    <w:rsid w:val="00745915"/>
    <w:rsid w:val="0074620F"/>
    <w:rsid w:val="00747AE8"/>
    <w:rsid w:val="0075000A"/>
    <w:rsid w:val="00750117"/>
    <w:rsid w:val="007520B8"/>
    <w:rsid w:val="007520BA"/>
    <w:rsid w:val="0075216A"/>
    <w:rsid w:val="00753374"/>
    <w:rsid w:val="00754606"/>
    <w:rsid w:val="00754FC9"/>
    <w:rsid w:val="007553E7"/>
    <w:rsid w:val="00755B0C"/>
    <w:rsid w:val="00756167"/>
    <w:rsid w:val="007561D4"/>
    <w:rsid w:val="0075639A"/>
    <w:rsid w:val="0075706A"/>
    <w:rsid w:val="007570DE"/>
    <w:rsid w:val="00757731"/>
    <w:rsid w:val="00760B3A"/>
    <w:rsid w:val="00762CEF"/>
    <w:rsid w:val="00763190"/>
    <w:rsid w:val="00763F73"/>
    <w:rsid w:val="0076558F"/>
    <w:rsid w:val="00766743"/>
    <w:rsid w:val="00766F0B"/>
    <w:rsid w:val="007678FB"/>
    <w:rsid w:val="00767FA4"/>
    <w:rsid w:val="00770C7F"/>
    <w:rsid w:val="007718F1"/>
    <w:rsid w:val="00771D0F"/>
    <w:rsid w:val="007720B6"/>
    <w:rsid w:val="007726F3"/>
    <w:rsid w:val="007733B0"/>
    <w:rsid w:val="007733D3"/>
    <w:rsid w:val="00776247"/>
    <w:rsid w:val="0077677D"/>
    <w:rsid w:val="007769D7"/>
    <w:rsid w:val="00776CFB"/>
    <w:rsid w:val="007773D8"/>
    <w:rsid w:val="00777C43"/>
    <w:rsid w:val="00780415"/>
    <w:rsid w:val="00781EAB"/>
    <w:rsid w:val="00783B5A"/>
    <w:rsid w:val="007856D6"/>
    <w:rsid w:val="00785827"/>
    <w:rsid w:val="00785DC8"/>
    <w:rsid w:val="00786401"/>
    <w:rsid w:val="00786BE8"/>
    <w:rsid w:val="00786F96"/>
    <w:rsid w:val="007875CC"/>
    <w:rsid w:val="00787632"/>
    <w:rsid w:val="007919B8"/>
    <w:rsid w:val="00791C2C"/>
    <w:rsid w:val="00791C6D"/>
    <w:rsid w:val="007920A5"/>
    <w:rsid w:val="007921DA"/>
    <w:rsid w:val="007932E8"/>
    <w:rsid w:val="00793C6F"/>
    <w:rsid w:val="00794BA5"/>
    <w:rsid w:val="00795217"/>
    <w:rsid w:val="00795538"/>
    <w:rsid w:val="007964F5"/>
    <w:rsid w:val="00796CD9"/>
    <w:rsid w:val="007971D6"/>
    <w:rsid w:val="007978DA"/>
    <w:rsid w:val="007A05C4"/>
    <w:rsid w:val="007A075A"/>
    <w:rsid w:val="007A1352"/>
    <w:rsid w:val="007A1368"/>
    <w:rsid w:val="007A1C82"/>
    <w:rsid w:val="007A3B8A"/>
    <w:rsid w:val="007A4038"/>
    <w:rsid w:val="007A4215"/>
    <w:rsid w:val="007A4851"/>
    <w:rsid w:val="007A6511"/>
    <w:rsid w:val="007A6A2A"/>
    <w:rsid w:val="007A6F87"/>
    <w:rsid w:val="007A72F2"/>
    <w:rsid w:val="007A7515"/>
    <w:rsid w:val="007A75B1"/>
    <w:rsid w:val="007A796B"/>
    <w:rsid w:val="007B1555"/>
    <w:rsid w:val="007B2795"/>
    <w:rsid w:val="007B292A"/>
    <w:rsid w:val="007B2B9A"/>
    <w:rsid w:val="007B3267"/>
    <w:rsid w:val="007B3597"/>
    <w:rsid w:val="007B465E"/>
    <w:rsid w:val="007B5671"/>
    <w:rsid w:val="007B56A9"/>
    <w:rsid w:val="007B6D9F"/>
    <w:rsid w:val="007B6E56"/>
    <w:rsid w:val="007B7276"/>
    <w:rsid w:val="007B7659"/>
    <w:rsid w:val="007C0F0C"/>
    <w:rsid w:val="007C1581"/>
    <w:rsid w:val="007C204A"/>
    <w:rsid w:val="007C20BD"/>
    <w:rsid w:val="007C2641"/>
    <w:rsid w:val="007C2F0A"/>
    <w:rsid w:val="007C3072"/>
    <w:rsid w:val="007C3B00"/>
    <w:rsid w:val="007C45A2"/>
    <w:rsid w:val="007C4C27"/>
    <w:rsid w:val="007C4C83"/>
    <w:rsid w:val="007C5006"/>
    <w:rsid w:val="007C6722"/>
    <w:rsid w:val="007C6877"/>
    <w:rsid w:val="007C69F3"/>
    <w:rsid w:val="007C6EBF"/>
    <w:rsid w:val="007C70DE"/>
    <w:rsid w:val="007C77FE"/>
    <w:rsid w:val="007D27A8"/>
    <w:rsid w:val="007D2827"/>
    <w:rsid w:val="007D2976"/>
    <w:rsid w:val="007D3AA8"/>
    <w:rsid w:val="007D3D72"/>
    <w:rsid w:val="007D3F0A"/>
    <w:rsid w:val="007D4277"/>
    <w:rsid w:val="007D4AF4"/>
    <w:rsid w:val="007D5BB0"/>
    <w:rsid w:val="007D600E"/>
    <w:rsid w:val="007D676A"/>
    <w:rsid w:val="007D6CA2"/>
    <w:rsid w:val="007E0692"/>
    <w:rsid w:val="007E119B"/>
    <w:rsid w:val="007E1680"/>
    <w:rsid w:val="007E1AFD"/>
    <w:rsid w:val="007E2B9A"/>
    <w:rsid w:val="007E5778"/>
    <w:rsid w:val="007E5D07"/>
    <w:rsid w:val="007F0BF2"/>
    <w:rsid w:val="007F1118"/>
    <w:rsid w:val="007F1EDB"/>
    <w:rsid w:val="007F24CC"/>
    <w:rsid w:val="007F2AAC"/>
    <w:rsid w:val="007F3CB5"/>
    <w:rsid w:val="007F3DB0"/>
    <w:rsid w:val="007F4542"/>
    <w:rsid w:val="007F4A94"/>
    <w:rsid w:val="007F5D59"/>
    <w:rsid w:val="007F5D65"/>
    <w:rsid w:val="007F70DF"/>
    <w:rsid w:val="007F7747"/>
    <w:rsid w:val="007F7C92"/>
    <w:rsid w:val="00800FF6"/>
    <w:rsid w:val="0080101D"/>
    <w:rsid w:val="00802C54"/>
    <w:rsid w:val="008036D7"/>
    <w:rsid w:val="00803C50"/>
    <w:rsid w:val="0080489F"/>
    <w:rsid w:val="00804B33"/>
    <w:rsid w:val="00805297"/>
    <w:rsid w:val="008100C5"/>
    <w:rsid w:val="0081010E"/>
    <w:rsid w:val="00810873"/>
    <w:rsid w:val="00810E6A"/>
    <w:rsid w:val="008112BB"/>
    <w:rsid w:val="00811D96"/>
    <w:rsid w:val="008125F7"/>
    <w:rsid w:val="008128E6"/>
    <w:rsid w:val="008140BF"/>
    <w:rsid w:val="0081526A"/>
    <w:rsid w:val="00821032"/>
    <w:rsid w:val="00822C53"/>
    <w:rsid w:val="00824132"/>
    <w:rsid w:val="00824D29"/>
    <w:rsid w:val="0082552C"/>
    <w:rsid w:val="00826234"/>
    <w:rsid w:val="00826409"/>
    <w:rsid w:val="0082675B"/>
    <w:rsid w:val="0082724E"/>
    <w:rsid w:val="008275A4"/>
    <w:rsid w:val="00827D97"/>
    <w:rsid w:val="008310F6"/>
    <w:rsid w:val="008313CB"/>
    <w:rsid w:val="00831C90"/>
    <w:rsid w:val="00831E04"/>
    <w:rsid w:val="00834591"/>
    <w:rsid w:val="0083552A"/>
    <w:rsid w:val="00835DD7"/>
    <w:rsid w:val="008365EF"/>
    <w:rsid w:val="00837C5D"/>
    <w:rsid w:val="00837C6F"/>
    <w:rsid w:val="00840855"/>
    <w:rsid w:val="00840C53"/>
    <w:rsid w:val="00842297"/>
    <w:rsid w:val="00842A8B"/>
    <w:rsid w:val="00842B30"/>
    <w:rsid w:val="0084415B"/>
    <w:rsid w:val="008443C8"/>
    <w:rsid w:val="008446AC"/>
    <w:rsid w:val="00844CC8"/>
    <w:rsid w:val="0085007B"/>
    <w:rsid w:val="0085008A"/>
    <w:rsid w:val="00850102"/>
    <w:rsid w:val="008508CA"/>
    <w:rsid w:val="008510ED"/>
    <w:rsid w:val="008518BA"/>
    <w:rsid w:val="0085239A"/>
    <w:rsid w:val="00852531"/>
    <w:rsid w:val="0085364B"/>
    <w:rsid w:val="0085371B"/>
    <w:rsid w:val="00855151"/>
    <w:rsid w:val="0085562C"/>
    <w:rsid w:val="008558EF"/>
    <w:rsid w:val="00855D39"/>
    <w:rsid w:val="008561DB"/>
    <w:rsid w:val="00856930"/>
    <w:rsid w:val="00856BF8"/>
    <w:rsid w:val="008574FF"/>
    <w:rsid w:val="008575EB"/>
    <w:rsid w:val="00860E04"/>
    <w:rsid w:val="00861ED4"/>
    <w:rsid w:val="00862343"/>
    <w:rsid w:val="00863EFD"/>
    <w:rsid w:val="00864F0C"/>
    <w:rsid w:val="008650D4"/>
    <w:rsid w:val="008657C5"/>
    <w:rsid w:val="00867176"/>
    <w:rsid w:val="00867428"/>
    <w:rsid w:val="00870D8C"/>
    <w:rsid w:val="0087106B"/>
    <w:rsid w:val="00871720"/>
    <w:rsid w:val="00872019"/>
    <w:rsid w:val="008737F9"/>
    <w:rsid w:val="008744E7"/>
    <w:rsid w:val="0087483E"/>
    <w:rsid w:val="00875641"/>
    <w:rsid w:val="008758A5"/>
    <w:rsid w:val="00875A5B"/>
    <w:rsid w:val="008763C1"/>
    <w:rsid w:val="0087669F"/>
    <w:rsid w:val="008767F2"/>
    <w:rsid w:val="008772AF"/>
    <w:rsid w:val="00880660"/>
    <w:rsid w:val="00881D99"/>
    <w:rsid w:val="00881E96"/>
    <w:rsid w:val="00882664"/>
    <w:rsid w:val="00882B47"/>
    <w:rsid w:val="008856F1"/>
    <w:rsid w:val="00885A25"/>
    <w:rsid w:val="00886E27"/>
    <w:rsid w:val="008875C4"/>
    <w:rsid w:val="008879BC"/>
    <w:rsid w:val="00887D1F"/>
    <w:rsid w:val="00887FE6"/>
    <w:rsid w:val="00890332"/>
    <w:rsid w:val="00890A4F"/>
    <w:rsid w:val="00890EE1"/>
    <w:rsid w:val="00891297"/>
    <w:rsid w:val="00891B4E"/>
    <w:rsid w:val="00891D05"/>
    <w:rsid w:val="00893072"/>
    <w:rsid w:val="0089365A"/>
    <w:rsid w:val="008939B1"/>
    <w:rsid w:val="008940F4"/>
    <w:rsid w:val="00894728"/>
    <w:rsid w:val="0089515E"/>
    <w:rsid w:val="00895C51"/>
    <w:rsid w:val="008970F3"/>
    <w:rsid w:val="00897E72"/>
    <w:rsid w:val="008A088A"/>
    <w:rsid w:val="008A22D6"/>
    <w:rsid w:val="008A349A"/>
    <w:rsid w:val="008A3B89"/>
    <w:rsid w:val="008A3DB0"/>
    <w:rsid w:val="008A4FA4"/>
    <w:rsid w:val="008A5015"/>
    <w:rsid w:val="008A51B6"/>
    <w:rsid w:val="008A55F4"/>
    <w:rsid w:val="008A57BB"/>
    <w:rsid w:val="008A6707"/>
    <w:rsid w:val="008A7816"/>
    <w:rsid w:val="008A781C"/>
    <w:rsid w:val="008A79A2"/>
    <w:rsid w:val="008A7EB5"/>
    <w:rsid w:val="008B0701"/>
    <w:rsid w:val="008B1111"/>
    <w:rsid w:val="008B13BC"/>
    <w:rsid w:val="008B315F"/>
    <w:rsid w:val="008B3DE6"/>
    <w:rsid w:val="008B6D1C"/>
    <w:rsid w:val="008B6FF8"/>
    <w:rsid w:val="008B73A0"/>
    <w:rsid w:val="008B753F"/>
    <w:rsid w:val="008B77F6"/>
    <w:rsid w:val="008B7BAA"/>
    <w:rsid w:val="008B7E5A"/>
    <w:rsid w:val="008C0AFC"/>
    <w:rsid w:val="008C0CF8"/>
    <w:rsid w:val="008C0EA3"/>
    <w:rsid w:val="008C150E"/>
    <w:rsid w:val="008C16CF"/>
    <w:rsid w:val="008C1758"/>
    <w:rsid w:val="008C1773"/>
    <w:rsid w:val="008C3293"/>
    <w:rsid w:val="008C41C5"/>
    <w:rsid w:val="008C45CE"/>
    <w:rsid w:val="008C4B7F"/>
    <w:rsid w:val="008C4D74"/>
    <w:rsid w:val="008C59F6"/>
    <w:rsid w:val="008C5D22"/>
    <w:rsid w:val="008C637B"/>
    <w:rsid w:val="008C6917"/>
    <w:rsid w:val="008C6A5F"/>
    <w:rsid w:val="008C7376"/>
    <w:rsid w:val="008C75CC"/>
    <w:rsid w:val="008D06FA"/>
    <w:rsid w:val="008D0803"/>
    <w:rsid w:val="008D0C49"/>
    <w:rsid w:val="008D1044"/>
    <w:rsid w:val="008D17A7"/>
    <w:rsid w:val="008D1C8F"/>
    <w:rsid w:val="008D1E5B"/>
    <w:rsid w:val="008D21FB"/>
    <w:rsid w:val="008D2408"/>
    <w:rsid w:val="008D3787"/>
    <w:rsid w:val="008D41F3"/>
    <w:rsid w:val="008D4360"/>
    <w:rsid w:val="008D4426"/>
    <w:rsid w:val="008D505C"/>
    <w:rsid w:val="008D5612"/>
    <w:rsid w:val="008D59E4"/>
    <w:rsid w:val="008D59F6"/>
    <w:rsid w:val="008D5F6D"/>
    <w:rsid w:val="008D6796"/>
    <w:rsid w:val="008D681E"/>
    <w:rsid w:val="008D6DF5"/>
    <w:rsid w:val="008D71C2"/>
    <w:rsid w:val="008E097D"/>
    <w:rsid w:val="008E0C3A"/>
    <w:rsid w:val="008E1830"/>
    <w:rsid w:val="008E1AB2"/>
    <w:rsid w:val="008E2C6A"/>
    <w:rsid w:val="008E31F5"/>
    <w:rsid w:val="008E4887"/>
    <w:rsid w:val="008E5BD1"/>
    <w:rsid w:val="008E6531"/>
    <w:rsid w:val="008E6620"/>
    <w:rsid w:val="008E6673"/>
    <w:rsid w:val="008E7268"/>
    <w:rsid w:val="008E745B"/>
    <w:rsid w:val="008E7831"/>
    <w:rsid w:val="008E7893"/>
    <w:rsid w:val="008F0686"/>
    <w:rsid w:val="008F07EF"/>
    <w:rsid w:val="008F0811"/>
    <w:rsid w:val="008F0B86"/>
    <w:rsid w:val="008F1059"/>
    <w:rsid w:val="008F109E"/>
    <w:rsid w:val="008F19AD"/>
    <w:rsid w:val="008F1E9B"/>
    <w:rsid w:val="008F2248"/>
    <w:rsid w:val="008F2CD2"/>
    <w:rsid w:val="008F3CA9"/>
    <w:rsid w:val="008F4B93"/>
    <w:rsid w:val="008F503F"/>
    <w:rsid w:val="008F534F"/>
    <w:rsid w:val="008F6276"/>
    <w:rsid w:val="008F6CCF"/>
    <w:rsid w:val="008F7795"/>
    <w:rsid w:val="008F7F12"/>
    <w:rsid w:val="009012B4"/>
    <w:rsid w:val="009014F5"/>
    <w:rsid w:val="009027F4"/>
    <w:rsid w:val="0090468F"/>
    <w:rsid w:val="00904E97"/>
    <w:rsid w:val="00904F84"/>
    <w:rsid w:val="009055E8"/>
    <w:rsid w:val="009057AA"/>
    <w:rsid w:val="00905FF6"/>
    <w:rsid w:val="00906139"/>
    <w:rsid w:val="00907A21"/>
    <w:rsid w:val="00907B4E"/>
    <w:rsid w:val="00910BE6"/>
    <w:rsid w:val="00910CF3"/>
    <w:rsid w:val="00911442"/>
    <w:rsid w:val="00911944"/>
    <w:rsid w:val="00912909"/>
    <w:rsid w:val="00913517"/>
    <w:rsid w:val="00913E17"/>
    <w:rsid w:val="009143FC"/>
    <w:rsid w:val="00914484"/>
    <w:rsid w:val="0091475C"/>
    <w:rsid w:val="00914994"/>
    <w:rsid w:val="00914AB8"/>
    <w:rsid w:val="00915064"/>
    <w:rsid w:val="0091533C"/>
    <w:rsid w:val="00915CCB"/>
    <w:rsid w:val="00915F98"/>
    <w:rsid w:val="00916019"/>
    <w:rsid w:val="009168A5"/>
    <w:rsid w:val="00920BF9"/>
    <w:rsid w:val="00920FAE"/>
    <w:rsid w:val="00921867"/>
    <w:rsid w:val="00921A09"/>
    <w:rsid w:val="00921BB7"/>
    <w:rsid w:val="00923439"/>
    <w:rsid w:val="009238AA"/>
    <w:rsid w:val="009238F5"/>
    <w:rsid w:val="009248E3"/>
    <w:rsid w:val="00926614"/>
    <w:rsid w:val="00926AE9"/>
    <w:rsid w:val="00926DD7"/>
    <w:rsid w:val="009278F1"/>
    <w:rsid w:val="00931364"/>
    <w:rsid w:val="009316FC"/>
    <w:rsid w:val="009326F1"/>
    <w:rsid w:val="00932E08"/>
    <w:rsid w:val="009331FC"/>
    <w:rsid w:val="009334DB"/>
    <w:rsid w:val="00933A85"/>
    <w:rsid w:val="0093473F"/>
    <w:rsid w:val="009348BF"/>
    <w:rsid w:val="00934E3E"/>
    <w:rsid w:val="00934E54"/>
    <w:rsid w:val="009350F4"/>
    <w:rsid w:val="00935240"/>
    <w:rsid w:val="00935E3E"/>
    <w:rsid w:val="009362F8"/>
    <w:rsid w:val="0093654C"/>
    <w:rsid w:val="00936A1C"/>
    <w:rsid w:val="00936D93"/>
    <w:rsid w:val="009404FC"/>
    <w:rsid w:val="009409E8"/>
    <w:rsid w:val="009415E8"/>
    <w:rsid w:val="0094314D"/>
    <w:rsid w:val="00943289"/>
    <w:rsid w:val="009451DF"/>
    <w:rsid w:val="0094716D"/>
    <w:rsid w:val="009478C7"/>
    <w:rsid w:val="00951068"/>
    <w:rsid w:val="00951FEC"/>
    <w:rsid w:val="009526F8"/>
    <w:rsid w:val="00953018"/>
    <w:rsid w:val="0095348E"/>
    <w:rsid w:val="00953616"/>
    <w:rsid w:val="009551D6"/>
    <w:rsid w:val="009564B2"/>
    <w:rsid w:val="00956609"/>
    <w:rsid w:val="0095665D"/>
    <w:rsid w:val="00957358"/>
    <w:rsid w:val="009573AC"/>
    <w:rsid w:val="00957845"/>
    <w:rsid w:val="00957EDC"/>
    <w:rsid w:val="00960511"/>
    <w:rsid w:val="0096058C"/>
    <w:rsid w:val="0096121C"/>
    <w:rsid w:val="00961899"/>
    <w:rsid w:val="0096257F"/>
    <w:rsid w:val="0096338A"/>
    <w:rsid w:val="00963892"/>
    <w:rsid w:val="00964E88"/>
    <w:rsid w:val="0096553D"/>
    <w:rsid w:val="00966B61"/>
    <w:rsid w:val="009670F5"/>
    <w:rsid w:val="009674DF"/>
    <w:rsid w:val="0096790E"/>
    <w:rsid w:val="00967A01"/>
    <w:rsid w:val="00970437"/>
    <w:rsid w:val="00970C0F"/>
    <w:rsid w:val="00970C96"/>
    <w:rsid w:val="00971879"/>
    <w:rsid w:val="00973806"/>
    <w:rsid w:val="00973FE0"/>
    <w:rsid w:val="0097474B"/>
    <w:rsid w:val="00975D7E"/>
    <w:rsid w:val="00976025"/>
    <w:rsid w:val="00976E0C"/>
    <w:rsid w:val="00976F15"/>
    <w:rsid w:val="00977380"/>
    <w:rsid w:val="00977646"/>
    <w:rsid w:val="00977F49"/>
    <w:rsid w:val="0098013A"/>
    <w:rsid w:val="00980E7A"/>
    <w:rsid w:val="0098204E"/>
    <w:rsid w:val="009822DC"/>
    <w:rsid w:val="00982CCB"/>
    <w:rsid w:val="00984D17"/>
    <w:rsid w:val="0098564D"/>
    <w:rsid w:val="00986ADF"/>
    <w:rsid w:val="00986B95"/>
    <w:rsid w:val="00986FC7"/>
    <w:rsid w:val="009870D0"/>
    <w:rsid w:val="009876B7"/>
    <w:rsid w:val="009878CC"/>
    <w:rsid w:val="00987E61"/>
    <w:rsid w:val="00990AEF"/>
    <w:rsid w:val="00991911"/>
    <w:rsid w:val="00991D28"/>
    <w:rsid w:val="009938E4"/>
    <w:rsid w:val="00995401"/>
    <w:rsid w:val="00995D05"/>
    <w:rsid w:val="00995DC4"/>
    <w:rsid w:val="009962B2"/>
    <w:rsid w:val="009966D3"/>
    <w:rsid w:val="00996783"/>
    <w:rsid w:val="00997335"/>
    <w:rsid w:val="009978BF"/>
    <w:rsid w:val="009A10E3"/>
    <w:rsid w:val="009A1376"/>
    <w:rsid w:val="009A1634"/>
    <w:rsid w:val="009A1967"/>
    <w:rsid w:val="009A2F41"/>
    <w:rsid w:val="009A3686"/>
    <w:rsid w:val="009A4B3E"/>
    <w:rsid w:val="009A56BF"/>
    <w:rsid w:val="009A6102"/>
    <w:rsid w:val="009A77E0"/>
    <w:rsid w:val="009A7B9F"/>
    <w:rsid w:val="009B4346"/>
    <w:rsid w:val="009B5187"/>
    <w:rsid w:val="009B53DA"/>
    <w:rsid w:val="009B5568"/>
    <w:rsid w:val="009B592A"/>
    <w:rsid w:val="009B5942"/>
    <w:rsid w:val="009B6190"/>
    <w:rsid w:val="009B61EB"/>
    <w:rsid w:val="009B6FE4"/>
    <w:rsid w:val="009B7C78"/>
    <w:rsid w:val="009C005D"/>
    <w:rsid w:val="009C157A"/>
    <w:rsid w:val="009C1904"/>
    <w:rsid w:val="009C1A9C"/>
    <w:rsid w:val="009C1DE7"/>
    <w:rsid w:val="009C23A5"/>
    <w:rsid w:val="009C2CF5"/>
    <w:rsid w:val="009C3879"/>
    <w:rsid w:val="009C3A43"/>
    <w:rsid w:val="009C3AA6"/>
    <w:rsid w:val="009C424A"/>
    <w:rsid w:val="009C562E"/>
    <w:rsid w:val="009C7930"/>
    <w:rsid w:val="009C7E12"/>
    <w:rsid w:val="009D015D"/>
    <w:rsid w:val="009D05F6"/>
    <w:rsid w:val="009D0676"/>
    <w:rsid w:val="009D09DE"/>
    <w:rsid w:val="009D09EA"/>
    <w:rsid w:val="009D0E71"/>
    <w:rsid w:val="009D1636"/>
    <w:rsid w:val="009D16E8"/>
    <w:rsid w:val="009D1A40"/>
    <w:rsid w:val="009D1AE4"/>
    <w:rsid w:val="009D1DD9"/>
    <w:rsid w:val="009D1E23"/>
    <w:rsid w:val="009D2E72"/>
    <w:rsid w:val="009D452C"/>
    <w:rsid w:val="009D5258"/>
    <w:rsid w:val="009D5548"/>
    <w:rsid w:val="009D58FC"/>
    <w:rsid w:val="009D642A"/>
    <w:rsid w:val="009D69CA"/>
    <w:rsid w:val="009D6F6B"/>
    <w:rsid w:val="009D72B1"/>
    <w:rsid w:val="009D72DF"/>
    <w:rsid w:val="009E1DC9"/>
    <w:rsid w:val="009E25F5"/>
    <w:rsid w:val="009E2B9A"/>
    <w:rsid w:val="009E3B06"/>
    <w:rsid w:val="009E5360"/>
    <w:rsid w:val="009E6098"/>
    <w:rsid w:val="009E789C"/>
    <w:rsid w:val="009E7B73"/>
    <w:rsid w:val="009F02E8"/>
    <w:rsid w:val="009F05F8"/>
    <w:rsid w:val="009F0B20"/>
    <w:rsid w:val="009F0DE8"/>
    <w:rsid w:val="009F10EC"/>
    <w:rsid w:val="009F1C81"/>
    <w:rsid w:val="009F29A9"/>
    <w:rsid w:val="009F5B44"/>
    <w:rsid w:val="009F5EF3"/>
    <w:rsid w:val="009F613E"/>
    <w:rsid w:val="009F70C8"/>
    <w:rsid w:val="009F7B96"/>
    <w:rsid w:val="00A009DB"/>
    <w:rsid w:val="00A00AB2"/>
    <w:rsid w:val="00A01456"/>
    <w:rsid w:val="00A01DAA"/>
    <w:rsid w:val="00A02733"/>
    <w:rsid w:val="00A033D6"/>
    <w:rsid w:val="00A0346C"/>
    <w:rsid w:val="00A0356A"/>
    <w:rsid w:val="00A03CB0"/>
    <w:rsid w:val="00A03E8F"/>
    <w:rsid w:val="00A03ED0"/>
    <w:rsid w:val="00A044C5"/>
    <w:rsid w:val="00A050EB"/>
    <w:rsid w:val="00A06793"/>
    <w:rsid w:val="00A06F39"/>
    <w:rsid w:val="00A1157E"/>
    <w:rsid w:val="00A11A0D"/>
    <w:rsid w:val="00A11A21"/>
    <w:rsid w:val="00A132D4"/>
    <w:rsid w:val="00A134A7"/>
    <w:rsid w:val="00A13B66"/>
    <w:rsid w:val="00A14493"/>
    <w:rsid w:val="00A15D91"/>
    <w:rsid w:val="00A15E37"/>
    <w:rsid w:val="00A16A3E"/>
    <w:rsid w:val="00A1766C"/>
    <w:rsid w:val="00A20588"/>
    <w:rsid w:val="00A20D09"/>
    <w:rsid w:val="00A2177F"/>
    <w:rsid w:val="00A218FB"/>
    <w:rsid w:val="00A2359A"/>
    <w:rsid w:val="00A23634"/>
    <w:rsid w:val="00A23B04"/>
    <w:rsid w:val="00A24534"/>
    <w:rsid w:val="00A2486D"/>
    <w:rsid w:val="00A24DA3"/>
    <w:rsid w:val="00A24F2A"/>
    <w:rsid w:val="00A250F7"/>
    <w:rsid w:val="00A25FBF"/>
    <w:rsid w:val="00A26606"/>
    <w:rsid w:val="00A26697"/>
    <w:rsid w:val="00A266C3"/>
    <w:rsid w:val="00A266E6"/>
    <w:rsid w:val="00A276CD"/>
    <w:rsid w:val="00A27953"/>
    <w:rsid w:val="00A303A2"/>
    <w:rsid w:val="00A3182E"/>
    <w:rsid w:val="00A31BEE"/>
    <w:rsid w:val="00A31D93"/>
    <w:rsid w:val="00A322BB"/>
    <w:rsid w:val="00A32708"/>
    <w:rsid w:val="00A34749"/>
    <w:rsid w:val="00A35673"/>
    <w:rsid w:val="00A357F5"/>
    <w:rsid w:val="00A3732E"/>
    <w:rsid w:val="00A37AE2"/>
    <w:rsid w:val="00A37BBE"/>
    <w:rsid w:val="00A37CDC"/>
    <w:rsid w:val="00A40184"/>
    <w:rsid w:val="00A40A37"/>
    <w:rsid w:val="00A41AF8"/>
    <w:rsid w:val="00A41C0E"/>
    <w:rsid w:val="00A42881"/>
    <w:rsid w:val="00A42A83"/>
    <w:rsid w:val="00A4454E"/>
    <w:rsid w:val="00A446F4"/>
    <w:rsid w:val="00A44E6A"/>
    <w:rsid w:val="00A45013"/>
    <w:rsid w:val="00A45177"/>
    <w:rsid w:val="00A453CE"/>
    <w:rsid w:val="00A472EB"/>
    <w:rsid w:val="00A51E5A"/>
    <w:rsid w:val="00A530AC"/>
    <w:rsid w:val="00A54047"/>
    <w:rsid w:val="00A5458B"/>
    <w:rsid w:val="00A54C68"/>
    <w:rsid w:val="00A54D66"/>
    <w:rsid w:val="00A5508D"/>
    <w:rsid w:val="00A55901"/>
    <w:rsid w:val="00A55B5F"/>
    <w:rsid w:val="00A55C64"/>
    <w:rsid w:val="00A57005"/>
    <w:rsid w:val="00A57A7D"/>
    <w:rsid w:val="00A603A0"/>
    <w:rsid w:val="00A60EA4"/>
    <w:rsid w:val="00A626EB"/>
    <w:rsid w:val="00A64987"/>
    <w:rsid w:val="00A64CA6"/>
    <w:rsid w:val="00A6589A"/>
    <w:rsid w:val="00A666FA"/>
    <w:rsid w:val="00A66D01"/>
    <w:rsid w:val="00A66FE7"/>
    <w:rsid w:val="00A672A6"/>
    <w:rsid w:val="00A672AB"/>
    <w:rsid w:val="00A70105"/>
    <w:rsid w:val="00A70B2D"/>
    <w:rsid w:val="00A7229C"/>
    <w:rsid w:val="00A7245E"/>
    <w:rsid w:val="00A73D66"/>
    <w:rsid w:val="00A7451A"/>
    <w:rsid w:val="00A74A2B"/>
    <w:rsid w:val="00A7527B"/>
    <w:rsid w:val="00A763FA"/>
    <w:rsid w:val="00A76DF3"/>
    <w:rsid w:val="00A76F66"/>
    <w:rsid w:val="00A776BC"/>
    <w:rsid w:val="00A779B4"/>
    <w:rsid w:val="00A80047"/>
    <w:rsid w:val="00A80241"/>
    <w:rsid w:val="00A808B4"/>
    <w:rsid w:val="00A8178A"/>
    <w:rsid w:val="00A81C6D"/>
    <w:rsid w:val="00A82391"/>
    <w:rsid w:val="00A83D54"/>
    <w:rsid w:val="00A83EB6"/>
    <w:rsid w:val="00A853EE"/>
    <w:rsid w:val="00A85AB8"/>
    <w:rsid w:val="00A8661C"/>
    <w:rsid w:val="00A86C06"/>
    <w:rsid w:val="00A903DD"/>
    <w:rsid w:val="00A91197"/>
    <w:rsid w:val="00A9123E"/>
    <w:rsid w:val="00A91887"/>
    <w:rsid w:val="00A91FCE"/>
    <w:rsid w:val="00A9226D"/>
    <w:rsid w:val="00A9248A"/>
    <w:rsid w:val="00A92954"/>
    <w:rsid w:val="00A93847"/>
    <w:rsid w:val="00A93FCC"/>
    <w:rsid w:val="00A9724C"/>
    <w:rsid w:val="00A9745D"/>
    <w:rsid w:val="00A97665"/>
    <w:rsid w:val="00AA213A"/>
    <w:rsid w:val="00AA2779"/>
    <w:rsid w:val="00AA2E60"/>
    <w:rsid w:val="00AA2FE6"/>
    <w:rsid w:val="00AA3AA5"/>
    <w:rsid w:val="00AA3B0E"/>
    <w:rsid w:val="00AA42D3"/>
    <w:rsid w:val="00AA511D"/>
    <w:rsid w:val="00AA5741"/>
    <w:rsid w:val="00AA5762"/>
    <w:rsid w:val="00AA5E85"/>
    <w:rsid w:val="00AA6114"/>
    <w:rsid w:val="00AB2360"/>
    <w:rsid w:val="00AB2BE1"/>
    <w:rsid w:val="00AB3110"/>
    <w:rsid w:val="00AB3588"/>
    <w:rsid w:val="00AB44CD"/>
    <w:rsid w:val="00AB4C1F"/>
    <w:rsid w:val="00AB5140"/>
    <w:rsid w:val="00AB52F6"/>
    <w:rsid w:val="00AB53B6"/>
    <w:rsid w:val="00AB56E0"/>
    <w:rsid w:val="00AB627F"/>
    <w:rsid w:val="00AB7070"/>
    <w:rsid w:val="00AC0D38"/>
    <w:rsid w:val="00AC1A57"/>
    <w:rsid w:val="00AC22B5"/>
    <w:rsid w:val="00AC292E"/>
    <w:rsid w:val="00AC2A96"/>
    <w:rsid w:val="00AC3927"/>
    <w:rsid w:val="00AC39B3"/>
    <w:rsid w:val="00AC4D9B"/>
    <w:rsid w:val="00AC4DD5"/>
    <w:rsid w:val="00AC504B"/>
    <w:rsid w:val="00AC53CD"/>
    <w:rsid w:val="00AC58F9"/>
    <w:rsid w:val="00AC6A8F"/>
    <w:rsid w:val="00AC73DC"/>
    <w:rsid w:val="00AD2AA1"/>
    <w:rsid w:val="00AD2AC1"/>
    <w:rsid w:val="00AD38FE"/>
    <w:rsid w:val="00AD3CC6"/>
    <w:rsid w:val="00AD4610"/>
    <w:rsid w:val="00AD464D"/>
    <w:rsid w:val="00AD4B56"/>
    <w:rsid w:val="00AD4D1D"/>
    <w:rsid w:val="00AD512A"/>
    <w:rsid w:val="00AD564A"/>
    <w:rsid w:val="00AD56D9"/>
    <w:rsid w:val="00AD6284"/>
    <w:rsid w:val="00AD681F"/>
    <w:rsid w:val="00AD7052"/>
    <w:rsid w:val="00AD71B6"/>
    <w:rsid w:val="00AD77FA"/>
    <w:rsid w:val="00AD7C8E"/>
    <w:rsid w:val="00AE14D9"/>
    <w:rsid w:val="00AE24FD"/>
    <w:rsid w:val="00AE2EB6"/>
    <w:rsid w:val="00AE33DF"/>
    <w:rsid w:val="00AE3B90"/>
    <w:rsid w:val="00AE48FE"/>
    <w:rsid w:val="00AE594D"/>
    <w:rsid w:val="00AE6A87"/>
    <w:rsid w:val="00AF0060"/>
    <w:rsid w:val="00AF2543"/>
    <w:rsid w:val="00AF2E1C"/>
    <w:rsid w:val="00AF2EDC"/>
    <w:rsid w:val="00AF3464"/>
    <w:rsid w:val="00AF38E1"/>
    <w:rsid w:val="00AF3AEE"/>
    <w:rsid w:val="00AF3E99"/>
    <w:rsid w:val="00AF59DD"/>
    <w:rsid w:val="00AF6F14"/>
    <w:rsid w:val="00B00573"/>
    <w:rsid w:val="00B00A2E"/>
    <w:rsid w:val="00B012F4"/>
    <w:rsid w:val="00B015AE"/>
    <w:rsid w:val="00B04B91"/>
    <w:rsid w:val="00B076F1"/>
    <w:rsid w:val="00B07B0B"/>
    <w:rsid w:val="00B102AF"/>
    <w:rsid w:val="00B10BB1"/>
    <w:rsid w:val="00B11091"/>
    <w:rsid w:val="00B11B10"/>
    <w:rsid w:val="00B125C6"/>
    <w:rsid w:val="00B12603"/>
    <w:rsid w:val="00B12811"/>
    <w:rsid w:val="00B12828"/>
    <w:rsid w:val="00B130C6"/>
    <w:rsid w:val="00B13478"/>
    <w:rsid w:val="00B145A8"/>
    <w:rsid w:val="00B145DB"/>
    <w:rsid w:val="00B149E2"/>
    <w:rsid w:val="00B14ADE"/>
    <w:rsid w:val="00B16152"/>
    <w:rsid w:val="00B16314"/>
    <w:rsid w:val="00B2092B"/>
    <w:rsid w:val="00B219CC"/>
    <w:rsid w:val="00B22041"/>
    <w:rsid w:val="00B2205E"/>
    <w:rsid w:val="00B221E8"/>
    <w:rsid w:val="00B2302F"/>
    <w:rsid w:val="00B23079"/>
    <w:rsid w:val="00B23B6C"/>
    <w:rsid w:val="00B243C5"/>
    <w:rsid w:val="00B2447D"/>
    <w:rsid w:val="00B24575"/>
    <w:rsid w:val="00B24730"/>
    <w:rsid w:val="00B24D96"/>
    <w:rsid w:val="00B251B3"/>
    <w:rsid w:val="00B2768D"/>
    <w:rsid w:val="00B3009C"/>
    <w:rsid w:val="00B30D36"/>
    <w:rsid w:val="00B31768"/>
    <w:rsid w:val="00B31D8C"/>
    <w:rsid w:val="00B326D1"/>
    <w:rsid w:val="00B33FC2"/>
    <w:rsid w:val="00B35444"/>
    <w:rsid w:val="00B37CEB"/>
    <w:rsid w:val="00B40857"/>
    <w:rsid w:val="00B41CFF"/>
    <w:rsid w:val="00B43D8E"/>
    <w:rsid w:val="00B4474A"/>
    <w:rsid w:val="00B454C5"/>
    <w:rsid w:val="00B45C84"/>
    <w:rsid w:val="00B45FCC"/>
    <w:rsid w:val="00B464C5"/>
    <w:rsid w:val="00B465B8"/>
    <w:rsid w:val="00B4694C"/>
    <w:rsid w:val="00B469F0"/>
    <w:rsid w:val="00B47393"/>
    <w:rsid w:val="00B47F3F"/>
    <w:rsid w:val="00B506EF"/>
    <w:rsid w:val="00B50FAE"/>
    <w:rsid w:val="00B52785"/>
    <w:rsid w:val="00B53061"/>
    <w:rsid w:val="00B53522"/>
    <w:rsid w:val="00B53A2D"/>
    <w:rsid w:val="00B53AA9"/>
    <w:rsid w:val="00B546D4"/>
    <w:rsid w:val="00B55EA2"/>
    <w:rsid w:val="00B57942"/>
    <w:rsid w:val="00B60A13"/>
    <w:rsid w:val="00B61197"/>
    <w:rsid w:val="00B62650"/>
    <w:rsid w:val="00B626CE"/>
    <w:rsid w:val="00B62E4F"/>
    <w:rsid w:val="00B63B16"/>
    <w:rsid w:val="00B64F25"/>
    <w:rsid w:val="00B654A6"/>
    <w:rsid w:val="00B659EA"/>
    <w:rsid w:val="00B67ECB"/>
    <w:rsid w:val="00B71345"/>
    <w:rsid w:val="00B7186E"/>
    <w:rsid w:val="00B7215A"/>
    <w:rsid w:val="00B72770"/>
    <w:rsid w:val="00B72AC4"/>
    <w:rsid w:val="00B738BA"/>
    <w:rsid w:val="00B73F81"/>
    <w:rsid w:val="00B745D1"/>
    <w:rsid w:val="00B75884"/>
    <w:rsid w:val="00B75B10"/>
    <w:rsid w:val="00B7607A"/>
    <w:rsid w:val="00B76478"/>
    <w:rsid w:val="00B772F2"/>
    <w:rsid w:val="00B77A7C"/>
    <w:rsid w:val="00B81E5B"/>
    <w:rsid w:val="00B821A0"/>
    <w:rsid w:val="00B82759"/>
    <w:rsid w:val="00B844BA"/>
    <w:rsid w:val="00B85A5F"/>
    <w:rsid w:val="00B873A4"/>
    <w:rsid w:val="00B901BD"/>
    <w:rsid w:val="00B909FA"/>
    <w:rsid w:val="00B91134"/>
    <w:rsid w:val="00B91509"/>
    <w:rsid w:val="00B92265"/>
    <w:rsid w:val="00B9282B"/>
    <w:rsid w:val="00B9287C"/>
    <w:rsid w:val="00B92AAF"/>
    <w:rsid w:val="00B92E23"/>
    <w:rsid w:val="00B92F7E"/>
    <w:rsid w:val="00B95830"/>
    <w:rsid w:val="00B9585A"/>
    <w:rsid w:val="00B97984"/>
    <w:rsid w:val="00B97E01"/>
    <w:rsid w:val="00BA0EE4"/>
    <w:rsid w:val="00BA161B"/>
    <w:rsid w:val="00BA1F6A"/>
    <w:rsid w:val="00BA1F8B"/>
    <w:rsid w:val="00BA351E"/>
    <w:rsid w:val="00BA35B9"/>
    <w:rsid w:val="00BA3D2C"/>
    <w:rsid w:val="00BA510D"/>
    <w:rsid w:val="00BA5386"/>
    <w:rsid w:val="00BA54CE"/>
    <w:rsid w:val="00BA66F5"/>
    <w:rsid w:val="00BA6E35"/>
    <w:rsid w:val="00BA7B57"/>
    <w:rsid w:val="00BB07F4"/>
    <w:rsid w:val="00BB0890"/>
    <w:rsid w:val="00BB0DDE"/>
    <w:rsid w:val="00BB1881"/>
    <w:rsid w:val="00BB1FB3"/>
    <w:rsid w:val="00BB3103"/>
    <w:rsid w:val="00BB3922"/>
    <w:rsid w:val="00BB3AB1"/>
    <w:rsid w:val="00BB3D52"/>
    <w:rsid w:val="00BB3EB4"/>
    <w:rsid w:val="00BB4341"/>
    <w:rsid w:val="00BB4667"/>
    <w:rsid w:val="00BB5C2C"/>
    <w:rsid w:val="00BB7DE1"/>
    <w:rsid w:val="00BC02EC"/>
    <w:rsid w:val="00BC0E86"/>
    <w:rsid w:val="00BC3CF7"/>
    <w:rsid w:val="00BC40E5"/>
    <w:rsid w:val="00BC4577"/>
    <w:rsid w:val="00BC53D5"/>
    <w:rsid w:val="00BC5534"/>
    <w:rsid w:val="00BC601F"/>
    <w:rsid w:val="00BC6372"/>
    <w:rsid w:val="00BC6E1A"/>
    <w:rsid w:val="00BC7F00"/>
    <w:rsid w:val="00BD1073"/>
    <w:rsid w:val="00BD1666"/>
    <w:rsid w:val="00BD194A"/>
    <w:rsid w:val="00BD34D0"/>
    <w:rsid w:val="00BD38E6"/>
    <w:rsid w:val="00BD55F2"/>
    <w:rsid w:val="00BD6135"/>
    <w:rsid w:val="00BD6BD2"/>
    <w:rsid w:val="00BD6DC9"/>
    <w:rsid w:val="00BD78F9"/>
    <w:rsid w:val="00BE0D41"/>
    <w:rsid w:val="00BE1B35"/>
    <w:rsid w:val="00BE27B1"/>
    <w:rsid w:val="00BE2A19"/>
    <w:rsid w:val="00BE33FE"/>
    <w:rsid w:val="00BE3451"/>
    <w:rsid w:val="00BE36FD"/>
    <w:rsid w:val="00BE4083"/>
    <w:rsid w:val="00BE42D1"/>
    <w:rsid w:val="00BE4E25"/>
    <w:rsid w:val="00BE524D"/>
    <w:rsid w:val="00BE5BBC"/>
    <w:rsid w:val="00BE701E"/>
    <w:rsid w:val="00BE79B5"/>
    <w:rsid w:val="00BF09C2"/>
    <w:rsid w:val="00BF0A4D"/>
    <w:rsid w:val="00BF17FC"/>
    <w:rsid w:val="00BF1FE6"/>
    <w:rsid w:val="00BF2D9F"/>
    <w:rsid w:val="00BF344B"/>
    <w:rsid w:val="00BF4526"/>
    <w:rsid w:val="00BF60FF"/>
    <w:rsid w:val="00BF7D8A"/>
    <w:rsid w:val="00C0052A"/>
    <w:rsid w:val="00C00698"/>
    <w:rsid w:val="00C01496"/>
    <w:rsid w:val="00C020BA"/>
    <w:rsid w:val="00C0347B"/>
    <w:rsid w:val="00C034AC"/>
    <w:rsid w:val="00C0358F"/>
    <w:rsid w:val="00C041C1"/>
    <w:rsid w:val="00C0461A"/>
    <w:rsid w:val="00C04CF6"/>
    <w:rsid w:val="00C104CC"/>
    <w:rsid w:val="00C11131"/>
    <w:rsid w:val="00C12433"/>
    <w:rsid w:val="00C126A9"/>
    <w:rsid w:val="00C1305B"/>
    <w:rsid w:val="00C1323A"/>
    <w:rsid w:val="00C17869"/>
    <w:rsid w:val="00C20183"/>
    <w:rsid w:val="00C2342E"/>
    <w:rsid w:val="00C23CA3"/>
    <w:rsid w:val="00C24192"/>
    <w:rsid w:val="00C2498F"/>
    <w:rsid w:val="00C25C16"/>
    <w:rsid w:val="00C26492"/>
    <w:rsid w:val="00C26D9F"/>
    <w:rsid w:val="00C26EF0"/>
    <w:rsid w:val="00C31035"/>
    <w:rsid w:val="00C3118E"/>
    <w:rsid w:val="00C314FD"/>
    <w:rsid w:val="00C3169B"/>
    <w:rsid w:val="00C32264"/>
    <w:rsid w:val="00C329C2"/>
    <w:rsid w:val="00C32A90"/>
    <w:rsid w:val="00C3322E"/>
    <w:rsid w:val="00C333D3"/>
    <w:rsid w:val="00C337F0"/>
    <w:rsid w:val="00C33CED"/>
    <w:rsid w:val="00C34BA1"/>
    <w:rsid w:val="00C40713"/>
    <w:rsid w:val="00C41970"/>
    <w:rsid w:val="00C41CF8"/>
    <w:rsid w:val="00C4209D"/>
    <w:rsid w:val="00C42AB1"/>
    <w:rsid w:val="00C431FE"/>
    <w:rsid w:val="00C4386A"/>
    <w:rsid w:val="00C449C2"/>
    <w:rsid w:val="00C44C52"/>
    <w:rsid w:val="00C44C5F"/>
    <w:rsid w:val="00C457D4"/>
    <w:rsid w:val="00C467B2"/>
    <w:rsid w:val="00C4697B"/>
    <w:rsid w:val="00C5000E"/>
    <w:rsid w:val="00C50F84"/>
    <w:rsid w:val="00C51E61"/>
    <w:rsid w:val="00C5282A"/>
    <w:rsid w:val="00C52910"/>
    <w:rsid w:val="00C538D1"/>
    <w:rsid w:val="00C54804"/>
    <w:rsid w:val="00C54FB1"/>
    <w:rsid w:val="00C5502D"/>
    <w:rsid w:val="00C56357"/>
    <w:rsid w:val="00C56A5D"/>
    <w:rsid w:val="00C56D97"/>
    <w:rsid w:val="00C57A7E"/>
    <w:rsid w:val="00C61367"/>
    <w:rsid w:val="00C61376"/>
    <w:rsid w:val="00C62B82"/>
    <w:rsid w:val="00C631AA"/>
    <w:rsid w:val="00C6332C"/>
    <w:rsid w:val="00C63924"/>
    <w:rsid w:val="00C64398"/>
    <w:rsid w:val="00C647A7"/>
    <w:rsid w:val="00C65608"/>
    <w:rsid w:val="00C65BA6"/>
    <w:rsid w:val="00C65C6F"/>
    <w:rsid w:val="00C65EFF"/>
    <w:rsid w:val="00C66636"/>
    <w:rsid w:val="00C66C4A"/>
    <w:rsid w:val="00C70A1D"/>
    <w:rsid w:val="00C719BF"/>
    <w:rsid w:val="00C7218F"/>
    <w:rsid w:val="00C730BF"/>
    <w:rsid w:val="00C7344F"/>
    <w:rsid w:val="00C73A80"/>
    <w:rsid w:val="00C74671"/>
    <w:rsid w:val="00C748F4"/>
    <w:rsid w:val="00C74DD0"/>
    <w:rsid w:val="00C75921"/>
    <w:rsid w:val="00C7648B"/>
    <w:rsid w:val="00C76B3A"/>
    <w:rsid w:val="00C77287"/>
    <w:rsid w:val="00C81430"/>
    <w:rsid w:val="00C82584"/>
    <w:rsid w:val="00C84E06"/>
    <w:rsid w:val="00C856A4"/>
    <w:rsid w:val="00C8683D"/>
    <w:rsid w:val="00C8712F"/>
    <w:rsid w:val="00C909C8"/>
    <w:rsid w:val="00C90A20"/>
    <w:rsid w:val="00C92C7E"/>
    <w:rsid w:val="00C93A5E"/>
    <w:rsid w:val="00C93C46"/>
    <w:rsid w:val="00C9402D"/>
    <w:rsid w:val="00C94460"/>
    <w:rsid w:val="00C94C3C"/>
    <w:rsid w:val="00C94EFF"/>
    <w:rsid w:val="00C960F5"/>
    <w:rsid w:val="00C96BA8"/>
    <w:rsid w:val="00CA005F"/>
    <w:rsid w:val="00CA0DA6"/>
    <w:rsid w:val="00CA0FFF"/>
    <w:rsid w:val="00CA166D"/>
    <w:rsid w:val="00CA17B7"/>
    <w:rsid w:val="00CA2D7A"/>
    <w:rsid w:val="00CA4689"/>
    <w:rsid w:val="00CA482D"/>
    <w:rsid w:val="00CA4BEC"/>
    <w:rsid w:val="00CA5BCC"/>
    <w:rsid w:val="00CA5D8E"/>
    <w:rsid w:val="00CA65E0"/>
    <w:rsid w:val="00CA7112"/>
    <w:rsid w:val="00CA798C"/>
    <w:rsid w:val="00CB00AD"/>
    <w:rsid w:val="00CB0FF5"/>
    <w:rsid w:val="00CB1FA0"/>
    <w:rsid w:val="00CB2756"/>
    <w:rsid w:val="00CB37A2"/>
    <w:rsid w:val="00CB45A5"/>
    <w:rsid w:val="00CB661F"/>
    <w:rsid w:val="00CB67E1"/>
    <w:rsid w:val="00CB6C22"/>
    <w:rsid w:val="00CB6D6B"/>
    <w:rsid w:val="00CB79CC"/>
    <w:rsid w:val="00CC2C06"/>
    <w:rsid w:val="00CC2C99"/>
    <w:rsid w:val="00CC2CB2"/>
    <w:rsid w:val="00CC35C0"/>
    <w:rsid w:val="00CC489E"/>
    <w:rsid w:val="00CC4C6F"/>
    <w:rsid w:val="00CC55A5"/>
    <w:rsid w:val="00CC57EC"/>
    <w:rsid w:val="00CC5D72"/>
    <w:rsid w:val="00CC6D3E"/>
    <w:rsid w:val="00CC7BE9"/>
    <w:rsid w:val="00CD1384"/>
    <w:rsid w:val="00CD28CF"/>
    <w:rsid w:val="00CD37D7"/>
    <w:rsid w:val="00CD4393"/>
    <w:rsid w:val="00CD4A65"/>
    <w:rsid w:val="00CD4F67"/>
    <w:rsid w:val="00CD53BF"/>
    <w:rsid w:val="00CD54B0"/>
    <w:rsid w:val="00CD6F78"/>
    <w:rsid w:val="00CD7AB8"/>
    <w:rsid w:val="00CE0C58"/>
    <w:rsid w:val="00CE17DF"/>
    <w:rsid w:val="00CE1E39"/>
    <w:rsid w:val="00CE35A3"/>
    <w:rsid w:val="00CE35C8"/>
    <w:rsid w:val="00CE385B"/>
    <w:rsid w:val="00CE42FE"/>
    <w:rsid w:val="00CE4579"/>
    <w:rsid w:val="00CE52ED"/>
    <w:rsid w:val="00CE5944"/>
    <w:rsid w:val="00CE5AEE"/>
    <w:rsid w:val="00CE5F73"/>
    <w:rsid w:val="00CE604C"/>
    <w:rsid w:val="00CE61DA"/>
    <w:rsid w:val="00CE68CE"/>
    <w:rsid w:val="00CE7166"/>
    <w:rsid w:val="00CE7309"/>
    <w:rsid w:val="00CE767B"/>
    <w:rsid w:val="00CF138B"/>
    <w:rsid w:val="00CF1F10"/>
    <w:rsid w:val="00CF2A10"/>
    <w:rsid w:val="00CF3936"/>
    <w:rsid w:val="00CF4636"/>
    <w:rsid w:val="00CF5F57"/>
    <w:rsid w:val="00CF5F91"/>
    <w:rsid w:val="00CF631A"/>
    <w:rsid w:val="00CF720A"/>
    <w:rsid w:val="00CF74FE"/>
    <w:rsid w:val="00CF776C"/>
    <w:rsid w:val="00CF779F"/>
    <w:rsid w:val="00D00129"/>
    <w:rsid w:val="00D00B9D"/>
    <w:rsid w:val="00D00C17"/>
    <w:rsid w:val="00D02791"/>
    <w:rsid w:val="00D03BC1"/>
    <w:rsid w:val="00D03D1D"/>
    <w:rsid w:val="00D0438E"/>
    <w:rsid w:val="00D05244"/>
    <w:rsid w:val="00D05472"/>
    <w:rsid w:val="00D06CC6"/>
    <w:rsid w:val="00D115B6"/>
    <w:rsid w:val="00D119CC"/>
    <w:rsid w:val="00D127F4"/>
    <w:rsid w:val="00D1433F"/>
    <w:rsid w:val="00D14430"/>
    <w:rsid w:val="00D14FC7"/>
    <w:rsid w:val="00D15CB9"/>
    <w:rsid w:val="00D167C2"/>
    <w:rsid w:val="00D1728D"/>
    <w:rsid w:val="00D177C0"/>
    <w:rsid w:val="00D20483"/>
    <w:rsid w:val="00D219ED"/>
    <w:rsid w:val="00D21B33"/>
    <w:rsid w:val="00D2214F"/>
    <w:rsid w:val="00D22D15"/>
    <w:rsid w:val="00D22DBC"/>
    <w:rsid w:val="00D2447A"/>
    <w:rsid w:val="00D24B24"/>
    <w:rsid w:val="00D24F0E"/>
    <w:rsid w:val="00D24FF7"/>
    <w:rsid w:val="00D25CDF"/>
    <w:rsid w:val="00D25EC8"/>
    <w:rsid w:val="00D263CD"/>
    <w:rsid w:val="00D274C2"/>
    <w:rsid w:val="00D27E38"/>
    <w:rsid w:val="00D30065"/>
    <w:rsid w:val="00D312D0"/>
    <w:rsid w:val="00D319F3"/>
    <w:rsid w:val="00D322B6"/>
    <w:rsid w:val="00D3287C"/>
    <w:rsid w:val="00D33967"/>
    <w:rsid w:val="00D33E05"/>
    <w:rsid w:val="00D34376"/>
    <w:rsid w:val="00D36564"/>
    <w:rsid w:val="00D36588"/>
    <w:rsid w:val="00D369C4"/>
    <w:rsid w:val="00D36C76"/>
    <w:rsid w:val="00D376CC"/>
    <w:rsid w:val="00D37E6A"/>
    <w:rsid w:val="00D401F8"/>
    <w:rsid w:val="00D40941"/>
    <w:rsid w:val="00D40FE8"/>
    <w:rsid w:val="00D41270"/>
    <w:rsid w:val="00D414E0"/>
    <w:rsid w:val="00D42F98"/>
    <w:rsid w:val="00D43302"/>
    <w:rsid w:val="00D434A5"/>
    <w:rsid w:val="00D4384A"/>
    <w:rsid w:val="00D44364"/>
    <w:rsid w:val="00D456BB"/>
    <w:rsid w:val="00D45D47"/>
    <w:rsid w:val="00D460BD"/>
    <w:rsid w:val="00D46F33"/>
    <w:rsid w:val="00D4747C"/>
    <w:rsid w:val="00D47C39"/>
    <w:rsid w:val="00D47FE8"/>
    <w:rsid w:val="00D50298"/>
    <w:rsid w:val="00D5138A"/>
    <w:rsid w:val="00D51F32"/>
    <w:rsid w:val="00D52AFA"/>
    <w:rsid w:val="00D53152"/>
    <w:rsid w:val="00D537C5"/>
    <w:rsid w:val="00D53FD1"/>
    <w:rsid w:val="00D545E0"/>
    <w:rsid w:val="00D54BAC"/>
    <w:rsid w:val="00D54C5B"/>
    <w:rsid w:val="00D56564"/>
    <w:rsid w:val="00D60667"/>
    <w:rsid w:val="00D60E46"/>
    <w:rsid w:val="00D61A32"/>
    <w:rsid w:val="00D61F6C"/>
    <w:rsid w:val="00D62FF5"/>
    <w:rsid w:val="00D6493F"/>
    <w:rsid w:val="00D662D3"/>
    <w:rsid w:val="00D665FB"/>
    <w:rsid w:val="00D670C9"/>
    <w:rsid w:val="00D67CC4"/>
    <w:rsid w:val="00D67D03"/>
    <w:rsid w:val="00D70032"/>
    <w:rsid w:val="00D706F9"/>
    <w:rsid w:val="00D70711"/>
    <w:rsid w:val="00D711B5"/>
    <w:rsid w:val="00D7164A"/>
    <w:rsid w:val="00D72C6D"/>
    <w:rsid w:val="00D74295"/>
    <w:rsid w:val="00D77D54"/>
    <w:rsid w:val="00D77E4B"/>
    <w:rsid w:val="00D804DA"/>
    <w:rsid w:val="00D80685"/>
    <w:rsid w:val="00D80926"/>
    <w:rsid w:val="00D810BB"/>
    <w:rsid w:val="00D81484"/>
    <w:rsid w:val="00D8245E"/>
    <w:rsid w:val="00D824EB"/>
    <w:rsid w:val="00D82D62"/>
    <w:rsid w:val="00D83044"/>
    <w:rsid w:val="00D838F9"/>
    <w:rsid w:val="00D83BD7"/>
    <w:rsid w:val="00D84D8A"/>
    <w:rsid w:val="00D84F6A"/>
    <w:rsid w:val="00D85384"/>
    <w:rsid w:val="00D857AC"/>
    <w:rsid w:val="00D86121"/>
    <w:rsid w:val="00D866D4"/>
    <w:rsid w:val="00D868D9"/>
    <w:rsid w:val="00D87496"/>
    <w:rsid w:val="00D87C05"/>
    <w:rsid w:val="00D87EBE"/>
    <w:rsid w:val="00D9022A"/>
    <w:rsid w:val="00D916FC"/>
    <w:rsid w:val="00D92154"/>
    <w:rsid w:val="00D9225C"/>
    <w:rsid w:val="00D933E9"/>
    <w:rsid w:val="00D936B3"/>
    <w:rsid w:val="00D93712"/>
    <w:rsid w:val="00D93BA3"/>
    <w:rsid w:val="00D93D0B"/>
    <w:rsid w:val="00D948A9"/>
    <w:rsid w:val="00D94AA0"/>
    <w:rsid w:val="00D95DE7"/>
    <w:rsid w:val="00D96F3E"/>
    <w:rsid w:val="00D97029"/>
    <w:rsid w:val="00DA0BDF"/>
    <w:rsid w:val="00DA1D16"/>
    <w:rsid w:val="00DA24E3"/>
    <w:rsid w:val="00DA2D4C"/>
    <w:rsid w:val="00DA35AB"/>
    <w:rsid w:val="00DA3AD0"/>
    <w:rsid w:val="00DA3D97"/>
    <w:rsid w:val="00DA4B30"/>
    <w:rsid w:val="00DA5668"/>
    <w:rsid w:val="00DA5EDE"/>
    <w:rsid w:val="00DA652D"/>
    <w:rsid w:val="00DA7A3D"/>
    <w:rsid w:val="00DA7D1E"/>
    <w:rsid w:val="00DB1AA7"/>
    <w:rsid w:val="00DB4CC1"/>
    <w:rsid w:val="00DB4FD7"/>
    <w:rsid w:val="00DB5C6F"/>
    <w:rsid w:val="00DB636F"/>
    <w:rsid w:val="00DB65EA"/>
    <w:rsid w:val="00DB70F7"/>
    <w:rsid w:val="00DC041F"/>
    <w:rsid w:val="00DC145A"/>
    <w:rsid w:val="00DC2728"/>
    <w:rsid w:val="00DC39A2"/>
    <w:rsid w:val="00DC3AC6"/>
    <w:rsid w:val="00DC4708"/>
    <w:rsid w:val="00DC4B42"/>
    <w:rsid w:val="00DC4F2E"/>
    <w:rsid w:val="00DC5391"/>
    <w:rsid w:val="00DC552D"/>
    <w:rsid w:val="00DC627B"/>
    <w:rsid w:val="00DC67AC"/>
    <w:rsid w:val="00DC7726"/>
    <w:rsid w:val="00DC7DDB"/>
    <w:rsid w:val="00DD19DD"/>
    <w:rsid w:val="00DD19F8"/>
    <w:rsid w:val="00DD2FD5"/>
    <w:rsid w:val="00DD3282"/>
    <w:rsid w:val="00DD3344"/>
    <w:rsid w:val="00DD53C3"/>
    <w:rsid w:val="00DD64B4"/>
    <w:rsid w:val="00DD7768"/>
    <w:rsid w:val="00DE01BB"/>
    <w:rsid w:val="00DE01DD"/>
    <w:rsid w:val="00DE1905"/>
    <w:rsid w:val="00DE1A70"/>
    <w:rsid w:val="00DE1D6B"/>
    <w:rsid w:val="00DE21AD"/>
    <w:rsid w:val="00DE2CD5"/>
    <w:rsid w:val="00DE2F7E"/>
    <w:rsid w:val="00DE39FC"/>
    <w:rsid w:val="00DE3E8E"/>
    <w:rsid w:val="00DE4986"/>
    <w:rsid w:val="00DE5131"/>
    <w:rsid w:val="00DE5C03"/>
    <w:rsid w:val="00DE61D8"/>
    <w:rsid w:val="00DE6D12"/>
    <w:rsid w:val="00DE75D7"/>
    <w:rsid w:val="00DE7C3B"/>
    <w:rsid w:val="00DF0037"/>
    <w:rsid w:val="00DF0950"/>
    <w:rsid w:val="00DF2BD0"/>
    <w:rsid w:val="00DF2DE6"/>
    <w:rsid w:val="00DF2DFF"/>
    <w:rsid w:val="00DF33EE"/>
    <w:rsid w:val="00DF3449"/>
    <w:rsid w:val="00DF38FB"/>
    <w:rsid w:val="00DF3D42"/>
    <w:rsid w:val="00DF4BA5"/>
    <w:rsid w:val="00DF50C9"/>
    <w:rsid w:val="00DF56A5"/>
    <w:rsid w:val="00DF5B5D"/>
    <w:rsid w:val="00DF5F4F"/>
    <w:rsid w:val="00DF63A8"/>
    <w:rsid w:val="00DF6798"/>
    <w:rsid w:val="00DF72D9"/>
    <w:rsid w:val="00DF7978"/>
    <w:rsid w:val="00E0092A"/>
    <w:rsid w:val="00E01EE2"/>
    <w:rsid w:val="00E020D8"/>
    <w:rsid w:val="00E023D1"/>
    <w:rsid w:val="00E0283A"/>
    <w:rsid w:val="00E03082"/>
    <w:rsid w:val="00E0318A"/>
    <w:rsid w:val="00E03D1D"/>
    <w:rsid w:val="00E041A6"/>
    <w:rsid w:val="00E04659"/>
    <w:rsid w:val="00E047BB"/>
    <w:rsid w:val="00E0603B"/>
    <w:rsid w:val="00E07F8A"/>
    <w:rsid w:val="00E10233"/>
    <w:rsid w:val="00E11E0A"/>
    <w:rsid w:val="00E131F6"/>
    <w:rsid w:val="00E13856"/>
    <w:rsid w:val="00E13D04"/>
    <w:rsid w:val="00E1645A"/>
    <w:rsid w:val="00E167D8"/>
    <w:rsid w:val="00E1697F"/>
    <w:rsid w:val="00E16EEA"/>
    <w:rsid w:val="00E1729C"/>
    <w:rsid w:val="00E17AF2"/>
    <w:rsid w:val="00E17F1E"/>
    <w:rsid w:val="00E20134"/>
    <w:rsid w:val="00E20F28"/>
    <w:rsid w:val="00E22D13"/>
    <w:rsid w:val="00E2321C"/>
    <w:rsid w:val="00E240F2"/>
    <w:rsid w:val="00E2463B"/>
    <w:rsid w:val="00E24AEF"/>
    <w:rsid w:val="00E24BF9"/>
    <w:rsid w:val="00E24C57"/>
    <w:rsid w:val="00E25804"/>
    <w:rsid w:val="00E2585A"/>
    <w:rsid w:val="00E258BC"/>
    <w:rsid w:val="00E258D5"/>
    <w:rsid w:val="00E26A89"/>
    <w:rsid w:val="00E26B9E"/>
    <w:rsid w:val="00E27403"/>
    <w:rsid w:val="00E302B1"/>
    <w:rsid w:val="00E30517"/>
    <w:rsid w:val="00E30675"/>
    <w:rsid w:val="00E30BEC"/>
    <w:rsid w:val="00E311D7"/>
    <w:rsid w:val="00E315F5"/>
    <w:rsid w:val="00E31BE5"/>
    <w:rsid w:val="00E33034"/>
    <w:rsid w:val="00E34943"/>
    <w:rsid w:val="00E34E04"/>
    <w:rsid w:val="00E355CB"/>
    <w:rsid w:val="00E358CA"/>
    <w:rsid w:val="00E35F74"/>
    <w:rsid w:val="00E3624B"/>
    <w:rsid w:val="00E363B1"/>
    <w:rsid w:val="00E36639"/>
    <w:rsid w:val="00E36CDC"/>
    <w:rsid w:val="00E37237"/>
    <w:rsid w:val="00E3750B"/>
    <w:rsid w:val="00E40B91"/>
    <w:rsid w:val="00E416C3"/>
    <w:rsid w:val="00E4217C"/>
    <w:rsid w:val="00E426F8"/>
    <w:rsid w:val="00E439B6"/>
    <w:rsid w:val="00E4492A"/>
    <w:rsid w:val="00E44A81"/>
    <w:rsid w:val="00E44BE9"/>
    <w:rsid w:val="00E457CD"/>
    <w:rsid w:val="00E45C54"/>
    <w:rsid w:val="00E46C25"/>
    <w:rsid w:val="00E47866"/>
    <w:rsid w:val="00E47CC8"/>
    <w:rsid w:val="00E50093"/>
    <w:rsid w:val="00E50451"/>
    <w:rsid w:val="00E5048E"/>
    <w:rsid w:val="00E5083F"/>
    <w:rsid w:val="00E50E69"/>
    <w:rsid w:val="00E5119F"/>
    <w:rsid w:val="00E5174D"/>
    <w:rsid w:val="00E51BA2"/>
    <w:rsid w:val="00E542BF"/>
    <w:rsid w:val="00E54F40"/>
    <w:rsid w:val="00E55160"/>
    <w:rsid w:val="00E55BD9"/>
    <w:rsid w:val="00E57487"/>
    <w:rsid w:val="00E57587"/>
    <w:rsid w:val="00E575EE"/>
    <w:rsid w:val="00E57637"/>
    <w:rsid w:val="00E579CB"/>
    <w:rsid w:val="00E60378"/>
    <w:rsid w:val="00E60483"/>
    <w:rsid w:val="00E60B8A"/>
    <w:rsid w:val="00E613D3"/>
    <w:rsid w:val="00E62507"/>
    <w:rsid w:val="00E62BF4"/>
    <w:rsid w:val="00E62D22"/>
    <w:rsid w:val="00E62DCE"/>
    <w:rsid w:val="00E6315A"/>
    <w:rsid w:val="00E638AB"/>
    <w:rsid w:val="00E64137"/>
    <w:rsid w:val="00E662EA"/>
    <w:rsid w:val="00E66FBC"/>
    <w:rsid w:val="00E671EF"/>
    <w:rsid w:val="00E67847"/>
    <w:rsid w:val="00E67D5E"/>
    <w:rsid w:val="00E70F13"/>
    <w:rsid w:val="00E70F25"/>
    <w:rsid w:val="00E72B53"/>
    <w:rsid w:val="00E72DCD"/>
    <w:rsid w:val="00E733A3"/>
    <w:rsid w:val="00E74214"/>
    <w:rsid w:val="00E76972"/>
    <w:rsid w:val="00E76DAA"/>
    <w:rsid w:val="00E772E5"/>
    <w:rsid w:val="00E779FB"/>
    <w:rsid w:val="00E81D60"/>
    <w:rsid w:val="00E834BF"/>
    <w:rsid w:val="00E835B9"/>
    <w:rsid w:val="00E84297"/>
    <w:rsid w:val="00E84541"/>
    <w:rsid w:val="00E8455C"/>
    <w:rsid w:val="00E84B60"/>
    <w:rsid w:val="00E84CFB"/>
    <w:rsid w:val="00E86075"/>
    <w:rsid w:val="00E87BE1"/>
    <w:rsid w:val="00E90C52"/>
    <w:rsid w:val="00E9127F"/>
    <w:rsid w:val="00E921F2"/>
    <w:rsid w:val="00E92C51"/>
    <w:rsid w:val="00E92D63"/>
    <w:rsid w:val="00E93542"/>
    <w:rsid w:val="00E9381F"/>
    <w:rsid w:val="00E95A9E"/>
    <w:rsid w:val="00E971D0"/>
    <w:rsid w:val="00E97712"/>
    <w:rsid w:val="00E97A99"/>
    <w:rsid w:val="00EA04ED"/>
    <w:rsid w:val="00EA079F"/>
    <w:rsid w:val="00EA19AB"/>
    <w:rsid w:val="00EA1C87"/>
    <w:rsid w:val="00EA29DF"/>
    <w:rsid w:val="00EA337D"/>
    <w:rsid w:val="00EA3975"/>
    <w:rsid w:val="00EA4C2C"/>
    <w:rsid w:val="00EA4E99"/>
    <w:rsid w:val="00EA6503"/>
    <w:rsid w:val="00EA6FF2"/>
    <w:rsid w:val="00EB2904"/>
    <w:rsid w:val="00EB43B2"/>
    <w:rsid w:val="00EB43BD"/>
    <w:rsid w:val="00EB43D5"/>
    <w:rsid w:val="00EB504B"/>
    <w:rsid w:val="00EB7CE5"/>
    <w:rsid w:val="00EC1776"/>
    <w:rsid w:val="00EC1A9F"/>
    <w:rsid w:val="00EC346E"/>
    <w:rsid w:val="00EC395E"/>
    <w:rsid w:val="00EC5664"/>
    <w:rsid w:val="00EC57A4"/>
    <w:rsid w:val="00EC6C61"/>
    <w:rsid w:val="00EC7A8B"/>
    <w:rsid w:val="00ED0723"/>
    <w:rsid w:val="00ED0BB8"/>
    <w:rsid w:val="00ED0C02"/>
    <w:rsid w:val="00ED1D04"/>
    <w:rsid w:val="00ED2287"/>
    <w:rsid w:val="00ED376F"/>
    <w:rsid w:val="00ED3BF6"/>
    <w:rsid w:val="00ED3E3A"/>
    <w:rsid w:val="00ED5E38"/>
    <w:rsid w:val="00ED638A"/>
    <w:rsid w:val="00ED6FC4"/>
    <w:rsid w:val="00ED77AB"/>
    <w:rsid w:val="00ED7FB9"/>
    <w:rsid w:val="00EE0E78"/>
    <w:rsid w:val="00EE170C"/>
    <w:rsid w:val="00EE22DF"/>
    <w:rsid w:val="00EE2CDF"/>
    <w:rsid w:val="00EE3548"/>
    <w:rsid w:val="00EE4D42"/>
    <w:rsid w:val="00EE4F8E"/>
    <w:rsid w:val="00EE6119"/>
    <w:rsid w:val="00EE6DF3"/>
    <w:rsid w:val="00EF0966"/>
    <w:rsid w:val="00EF1FE3"/>
    <w:rsid w:val="00EF3464"/>
    <w:rsid w:val="00EF3A14"/>
    <w:rsid w:val="00EF4FF4"/>
    <w:rsid w:val="00EF52AF"/>
    <w:rsid w:val="00EF5BC4"/>
    <w:rsid w:val="00EF6571"/>
    <w:rsid w:val="00EF699D"/>
    <w:rsid w:val="00EF76F7"/>
    <w:rsid w:val="00EF7859"/>
    <w:rsid w:val="00F01B37"/>
    <w:rsid w:val="00F01DBB"/>
    <w:rsid w:val="00F02690"/>
    <w:rsid w:val="00F02DF9"/>
    <w:rsid w:val="00F02E62"/>
    <w:rsid w:val="00F03636"/>
    <w:rsid w:val="00F0394F"/>
    <w:rsid w:val="00F0405A"/>
    <w:rsid w:val="00F0409A"/>
    <w:rsid w:val="00F06C99"/>
    <w:rsid w:val="00F074C5"/>
    <w:rsid w:val="00F10890"/>
    <w:rsid w:val="00F110B4"/>
    <w:rsid w:val="00F114BE"/>
    <w:rsid w:val="00F12424"/>
    <w:rsid w:val="00F133F2"/>
    <w:rsid w:val="00F14892"/>
    <w:rsid w:val="00F154B3"/>
    <w:rsid w:val="00F1620C"/>
    <w:rsid w:val="00F1659F"/>
    <w:rsid w:val="00F16B3A"/>
    <w:rsid w:val="00F1799B"/>
    <w:rsid w:val="00F20215"/>
    <w:rsid w:val="00F21C3A"/>
    <w:rsid w:val="00F22C12"/>
    <w:rsid w:val="00F26365"/>
    <w:rsid w:val="00F30674"/>
    <w:rsid w:val="00F3070A"/>
    <w:rsid w:val="00F30D4E"/>
    <w:rsid w:val="00F31282"/>
    <w:rsid w:val="00F31DC4"/>
    <w:rsid w:val="00F32005"/>
    <w:rsid w:val="00F3220E"/>
    <w:rsid w:val="00F33458"/>
    <w:rsid w:val="00F34185"/>
    <w:rsid w:val="00F349B0"/>
    <w:rsid w:val="00F35A1B"/>
    <w:rsid w:val="00F35E22"/>
    <w:rsid w:val="00F368C1"/>
    <w:rsid w:val="00F404F1"/>
    <w:rsid w:val="00F40550"/>
    <w:rsid w:val="00F4067E"/>
    <w:rsid w:val="00F40C44"/>
    <w:rsid w:val="00F416FE"/>
    <w:rsid w:val="00F4263E"/>
    <w:rsid w:val="00F4612A"/>
    <w:rsid w:val="00F47B55"/>
    <w:rsid w:val="00F507C1"/>
    <w:rsid w:val="00F50C9E"/>
    <w:rsid w:val="00F50FCA"/>
    <w:rsid w:val="00F511E4"/>
    <w:rsid w:val="00F51529"/>
    <w:rsid w:val="00F51B50"/>
    <w:rsid w:val="00F51DBD"/>
    <w:rsid w:val="00F52A75"/>
    <w:rsid w:val="00F53324"/>
    <w:rsid w:val="00F53C4F"/>
    <w:rsid w:val="00F5425F"/>
    <w:rsid w:val="00F5472F"/>
    <w:rsid w:val="00F55C02"/>
    <w:rsid w:val="00F56215"/>
    <w:rsid w:val="00F56861"/>
    <w:rsid w:val="00F56BFE"/>
    <w:rsid w:val="00F5718B"/>
    <w:rsid w:val="00F612A4"/>
    <w:rsid w:val="00F61BF9"/>
    <w:rsid w:val="00F61CCD"/>
    <w:rsid w:val="00F62313"/>
    <w:rsid w:val="00F629F4"/>
    <w:rsid w:val="00F63E61"/>
    <w:rsid w:val="00F64A9F"/>
    <w:rsid w:val="00F65015"/>
    <w:rsid w:val="00F670D3"/>
    <w:rsid w:val="00F6750E"/>
    <w:rsid w:val="00F67EFD"/>
    <w:rsid w:val="00F703AC"/>
    <w:rsid w:val="00F705BF"/>
    <w:rsid w:val="00F70671"/>
    <w:rsid w:val="00F712FC"/>
    <w:rsid w:val="00F71A1F"/>
    <w:rsid w:val="00F71A35"/>
    <w:rsid w:val="00F71A4E"/>
    <w:rsid w:val="00F7222A"/>
    <w:rsid w:val="00F722BE"/>
    <w:rsid w:val="00F72BF8"/>
    <w:rsid w:val="00F73146"/>
    <w:rsid w:val="00F73278"/>
    <w:rsid w:val="00F7373E"/>
    <w:rsid w:val="00F73F92"/>
    <w:rsid w:val="00F74A8C"/>
    <w:rsid w:val="00F76AC9"/>
    <w:rsid w:val="00F772B9"/>
    <w:rsid w:val="00F80D57"/>
    <w:rsid w:val="00F81F44"/>
    <w:rsid w:val="00F82AE5"/>
    <w:rsid w:val="00F830DD"/>
    <w:rsid w:val="00F83BD4"/>
    <w:rsid w:val="00F83C60"/>
    <w:rsid w:val="00F8402D"/>
    <w:rsid w:val="00F85330"/>
    <w:rsid w:val="00F8563E"/>
    <w:rsid w:val="00F856CD"/>
    <w:rsid w:val="00F87864"/>
    <w:rsid w:val="00F8788A"/>
    <w:rsid w:val="00F87AA0"/>
    <w:rsid w:val="00F87E1B"/>
    <w:rsid w:val="00F90094"/>
    <w:rsid w:val="00F91E20"/>
    <w:rsid w:val="00F923CF"/>
    <w:rsid w:val="00F92580"/>
    <w:rsid w:val="00F92A3A"/>
    <w:rsid w:val="00F9376C"/>
    <w:rsid w:val="00F94547"/>
    <w:rsid w:val="00F94CF3"/>
    <w:rsid w:val="00F94DB2"/>
    <w:rsid w:val="00F957A5"/>
    <w:rsid w:val="00F962FC"/>
    <w:rsid w:val="00F964CF"/>
    <w:rsid w:val="00F96947"/>
    <w:rsid w:val="00F96A54"/>
    <w:rsid w:val="00FA0244"/>
    <w:rsid w:val="00FA0407"/>
    <w:rsid w:val="00FA0A5D"/>
    <w:rsid w:val="00FA0FF4"/>
    <w:rsid w:val="00FA1543"/>
    <w:rsid w:val="00FA1B7B"/>
    <w:rsid w:val="00FA21E0"/>
    <w:rsid w:val="00FA4A4C"/>
    <w:rsid w:val="00FA4E11"/>
    <w:rsid w:val="00FA5540"/>
    <w:rsid w:val="00FA5ABE"/>
    <w:rsid w:val="00FA7C3C"/>
    <w:rsid w:val="00FB13A6"/>
    <w:rsid w:val="00FB27A0"/>
    <w:rsid w:val="00FB2F23"/>
    <w:rsid w:val="00FB3380"/>
    <w:rsid w:val="00FB33C8"/>
    <w:rsid w:val="00FB53BE"/>
    <w:rsid w:val="00FB584D"/>
    <w:rsid w:val="00FB639D"/>
    <w:rsid w:val="00FB7210"/>
    <w:rsid w:val="00FB7F35"/>
    <w:rsid w:val="00FC0538"/>
    <w:rsid w:val="00FC0E80"/>
    <w:rsid w:val="00FC1226"/>
    <w:rsid w:val="00FC1A52"/>
    <w:rsid w:val="00FC1D50"/>
    <w:rsid w:val="00FC29B2"/>
    <w:rsid w:val="00FC3B11"/>
    <w:rsid w:val="00FC4FC2"/>
    <w:rsid w:val="00FC530A"/>
    <w:rsid w:val="00FC5B7A"/>
    <w:rsid w:val="00FC6107"/>
    <w:rsid w:val="00FC6110"/>
    <w:rsid w:val="00FC6E76"/>
    <w:rsid w:val="00FC704D"/>
    <w:rsid w:val="00FC78AD"/>
    <w:rsid w:val="00FD0A9A"/>
    <w:rsid w:val="00FD1258"/>
    <w:rsid w:val="00FD183B"/>
    <w:rsid w:val="00FD2A43"/>
    <w:rsid w:val="00FD323B"/>
    <w:rsid w:val="00FD3922"/>
    <w:rsid w:val="00FD4503"/>
    <w:rsid w:val="00FD575B"/>
    <w:rsid w:val="00FD5BE0"/>
    <w:rsid w:val="00FD657E"/>
    <w:rsid w:val="00FD6C43"/>
    <w:rsid w:val="00FD7B93"/>
    <w:rsid w:val="00FE04FE"/>
    <w:rsid w:val="00FE057F"/>
    <w:rsid w:val="00FE0DD7"/>
    <w:rsid w:val="00FE12B2"/>
    <w:rsid w:val="00FE2039"/>
    <w:rsid w:val="00FE243E"/>
    <w:rsid w:val="00FE246F"/>
    <w:rsid w:val="00FE2795"/>
    <w:rsid w:val="00FE34EC"/>
    <w:rsid w:val="00FE3CBA"/>
    <w:rsid w:val="00FE458F"/>
    <w:rsid w:val="00FE4BDF"/>
    <w:rsid w:val="00FE4F73"/>
    <w:rsid w:val="00FE528A"/>
    <w:rsid w:val="00FE5735"/>
    <w:rsid w:val="00FE582A"/>
    <w:rsid w:val="00FF061F"/>
    <w:rsid w:val="00FF143F"/>
    <w:rsid w:val="00FF331B"/>
    <w:rsid w:val="00FF3DDE"/>
    <w:rsid w:val="00FF42A2"/>
    <w:rsid w:val="00FF4922"/>
    <w:rsid w:val="00FF4B16"/>
    <w:rsid w:val="00FF4DC6"/>
    <w:rsid w:val="00FF51BA"/>
    <w:rsid w:val="00FF63EB"/>
    <w:rsid w:val="00FF7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346FB4A2"/>
  <w15:chartTrackingRefBased/>
  <w15:docId w15:val="{3304C618-6749-4C1A-8C49-7E8C4350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0094"/>
    <w:rPr>
      <w:rFonts w:ascii="Arial" w:hAnsi="Arial"/>
      <w:sz w:val="24"/>
    </w:rPr>
  </w:style>
  <w:style w:type="paragraph" w:styleId="Heading1">
    <w:name w:val="heading 1"/>
    <w:basedOn w:val="Normal"/>
    <w:next w:val="Normal"/>
    <w:qFormat/>
    <w:rsid w:val="002940B0"/>
    <w:pPr>
      <w:keepNext/>
      <w:spacing w:before="240" w:after="60"/>
      <w:outlineLvl w:val="0"/>
    </w:pPr>
    <w:rPr>
      <w:b/>
      <w:kern w:val="28"/>
    </w:rPr>
  </w:style>
  <w:style w:type="paragraph" w:styleId="Heading2">
    <w:name w:val="heading 2"/>
    <w:basedOn w:val="Normal"/>
    <w:next w:val="Normal"/>
    <w:qFormat/>
    <w:rsid w:val="009334DB"/>
    <w:pPr>
      <w:keepNext/>
      <w:spacing w:after="240"/>
      <w:outlineLvl w:val="1"/>
    </w:pPr>
    <w:rPr>
      <w:b/>
      <w:sz w:val="22"/>
    </w:rPr>
  </w:style>
  <w:style w:type="paragraph" w:styleId="Heading3">
    <w:name w:val="heading 3"/>
    <w:basedOn w:val="Normal"/>
    <w:next w:val="Normal"/>
    <w:qFormat/>
    <w:rsid w:val="00E54F40"/>
    <w:pPr>
      <w:keepNext/>
      <w:spacing w:before="240" w:after="60"/>
      <w:outlineLvl w:val="2"/>
    </w:pPr>
    <w:rPr>
      <w:b/>
    </w:rPr>
  </w:style>
  <w:style w:type="paragraph" w:styleId="Heading4">
    <w:name w:val="heading 4"/>
    <w:basedOn w:val="Normal"/>
    <w:next w:val="Normal"/>
    <w:qFormat/>
    <w:pPr>
      <w:keepNext/>
      <w:jc w:val="right"/>
      <w:outlineLvl w:val="3"/>
    </w:pPr>
  </w:style>
  <w:style w:type="paragraph" w:styleId="Heading5">
    <w:name w:val="heading 5"/>
    <w:basedOn w:val="Normal"/>
    <w:next w:val="Normal"/>
    <w:qFormat/>
    <w:pPr>
      <w:keepNext/>
      <w:outlineLvl w:val="4"/>
    </w:pPr>
    <w:rPr>
      <w:b/>
      <w:smallCaps/>
    </w:rPr>
  </w:style>
  <w:style w:type="paragraph" w:styleId="Heading6">
    <w:name w:val="heading 6"/>
    <w:basedOn w:val="Normal"/>
    <w:next w:val="Normal"/>
    <w:qFormat/>
    <w:pPr>
      <w:keepNext/>
      <w:jc w:val="center"/>
      <w:outlineLvl w:val="5"/>
    </w:pPr>
    <w:rPr>
      <w:smallCaps/>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keepNext/>
      <w:jc w:val="center"/>
      <w:outlineLvl w:val="7"/>
    </w:pPr>
    <w:rPr>
      <w:i/>
      <w:smallCaps/>
    </w:rPr>
  </w:style>
  <w:style w:type="paragraph" w:styleId="Heading9">
    <w:name w:val="heading 9"/>
    <w:basedOn w:val="Normal"/>
    <w:next w:val="Normal"/>
    <w:link w:val="Heading9Char"/>
    <w:qFormat/>
    <w:pPr>
      <w:keepNext/>
      <w:jc w:val="center"/>
      <w:outlineLvl w:val="8"/>
    </w:pPr>
    <w:rPr>
      <w:b/>
      <w:small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BodyText">
    <w:name w:val="Body Text"/>
    <w:basedOn w:val="Normal"/>
    <w:pPr>
      <w:spacing w:after="120"/>
    </w:pPr>
  </w:style>
  <w:style w:type="paragraph" w:styleId="BodyText2">
    <w:name w:val="Body Text 2"/>
    <w:basedOn w:val="Normal"/>
    <w:pPr>
      <w:tabs>
        <w:tab w:val="left" w:pos="459"/>
        <w:tab w:val="right" w:pos="6980"/>
      </w:tabs>
      <w:ind w:left="459"/>
    </w:pPr>
  </w:style>
  <w:style w:type="paragraph" w:styleId="Caption">
    <w:name w:val="caption"/>
    <w:basedOn w:val="Normal"/>
    <w:next w:val="Normal"/>
    <w:qFormat/>
    <w:rPr>
      <w:b/>
      <w:i/>
    </w:rPr>
  </w:style>
  <w:style w:type="paragraph" w:styleId="BodyText3">
    <w:name w:val="Body Text 3"/>
    <w:basedOn w:val="Normal"/>
    <w:rPr>
      <w:smallCaps/>
      <w:sz w:val="2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ing9Char">
    <w:name w:val="Heading 9 Char"/>
    <w:link w:val="Heading9"/>
    <w:rsid w:val="00140D8D"/>
    <w:rPr>
      <w:rFonts w:ascii="Arial" w:hAnsi="Arial"/>
      <w:b/>
      <w:smallCaps/>
      <w:sz w:val="24"/>
      <w:lang w:val="en-GB" w:eastAsia="en-GB" w:bidi="ar-SA"/>
    </w:rPr>
  </w:style>
  <w:style w:type="paragraph" w:styleId="BalloonText">
    <w:name w:val="Balloon Text"/>
    <w:basedOn w:val="Normal"/>
    <w:semiHidden/>
    <w:rsid w:val="00615D91"/>
    <w:rPr>
      <w:rFonts w:ascii="Tahoma" w:hAnsi="Tahoma" w:cs="Tahoma"/>
      <w:sz w:val="16"/>
      <w:szCs w:val="16"/>
    </w:rPr>
  </w:style>
  <w:style w:type="table" w:styleId="TableGrid">
    <w:name w:val="Table Grid"/>
    <w:basedOn w:val="TableNormal"/>
    <w:rsid w:val="001C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5A68AA"/>
    <w:pPr>
      <w:spacing w:after="120" w:line="240" w:lineRule="exact"/>
    </w:pPr>
    <w:rPr>
      <w:rFonts w:ascii="Verdana" w:hAnsi="Verdana" w:cs="Verdana"/>
      <w:sz w:val="20"/>
      <w:lang w:val="en-US" w:eastAsia="en-US"/>
    </w:rPr>
  </w:style>
  <w:style w:type="paragraph" w:customStyle="1" w:styleId="Char1">
    <w:name w:val="Char1"/>
    <w:basedOn w:val="Normal"/>
    <w:rsid w:val="00CC7BE9"/>
    <w:pPr>
      <w:spacing w:after="160" w:line="240" w:lineRule="exact"/>
    </w:pPr>
    <w:rPr>
      <w:rFonts w:ascii="Verdana" w:hAnsi="Verdana" w:cs="Verdana"/>
      <w:sz w:val="20"/>
      <w:lang w:eastAsia="en-US"/>
    </w:rPr>
  </w:style>
  <w:style w:type="character" w:styleId="Hyperlink">
    <w:name w:val="Hyperlink"/>
    <w:rsid w:val="00C01496"/>
    <w:rPr>
      <w:color w:val="0000FF"/>
      <w:u w:val="single"/>
    </w:rPr>
  </w:style>
  <w:style w:type="paragraph" w:styleId="ListParagraph">
    <w:name w:val="List Paragraph"/>
    <w:basedOn w:val="Normal"/>
    <w:qFormat/>
    <w:rsid w:val="00E5048E"/>
    <w:pPr>
      <w:ind w:left="720"/>
    </w:pPr>
  </w:style>
  <w:style w:type="character" w:customStyle="1" w:styleId="FooterChar">
    <w:name w:val="Footer Char"/>
    <w:link w:val="Footer"/>
    <w:uiPriority w:val="99"/>
    <w:rsid w:val="000F24CA"/>
    <w:rPr>
      <w:rFonts w:ascii="Arial" w:hAnsi="Arial"/>
      <w:sz w:val="24"/>
    </w:rPr>
  </w:style>
  <w:style w:type="paragraph" w:customStyle="1" w:styleId="TableContents">
    <w:name w:val="Table Contents"/>
    <w:basedOn w:val="Normal"/>
    <w:rsid w:val="008C0CF8"/>
    <w:pPr>
      <w:suppressLineNumbers/>
      <w:suppressAutoHyphens/>
    </w:pPr>
    <w:rPr>
      <w:rFonts w:cs="Arial"/>
      <w:sz w:val="22"/>
      <w:szCs w:val="22"/>
      <w:lang w:eastAsia="zh-CN"/>
    </w:rPr>
  </w:style>
  <w:style w:type="character" w:customStyle="1" w:styleId="HeaderChar">
    <w:name w:val="Header Char"/>
    <w:basedOn w:val="DefaultParagraphFont"/>
    <w:link w:val="Header"/>
    <w:uiPriority w:val="99"/>
    <w:rsid w:val="0096338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665362">
      <w:bodyDiv w:val="1"/>
      <w:marLeft w:val="0"/>
      <w:marRight w:val="0"/>
      <w:marTop w:val="0"/>
      <w:marBottom w:val="0"/>
      <w:divBdr>
        <w:top w:val="none" w:sz="0" w:space="0" w:color="auto"/>
        <w:left w:val="none" w:sz="0" w:space="0" w:color="auto"/>
        <w:bottom w:val="none" w:sz="0" w:space="0" w:color="auto"/>
        <w:right w:val="none" w:sz="0" w:space="0" w:color="auto"/>
      </w:divBdr>
    </w:div>
    <w:div w:id="500777435">
      <w:bodyDiv w:val="1"/>
      <w:marLeft w:val="0"/>
      <w:marRight w:val="0"/>
      <w:marTop w:val="0"/>
      <w:marBottom w:val="0"/>
      <w:divBdr>
        <w:top w:val="none" w:sz="0" w:space="0" w:color="auto"/>
        <w:left w:val="none" w:sz="0" w:space="0" w:color="auto"/>
        <w:bottom w:val="none" w:sz="0" w:space="0" w:color="auto"/>
        <w:right w:val="none" w:sz="0" w:space="0" w:color="auto"/>
      </w:divBdr>
    </w:div>
    <w:div w:id="514465413">
      <w:bodyDiv w:val="1"/>
      <w:marLeft w:val="0"/>
      <w:marRight w:val="0"/>
      <w:marTop w:val="0"/>
      <w:marBottom w:val="0"/>
      <w:divBdr>
        <w:top w:val="none" w:sz="0" w:space="0" w:color="auto"/>
        <w:left w:val="none" w:sz="0" w:space="0" w:color="auto"/>
        <w:bottom w:val="none" w:sz="0" w:space="0" w:color="auto"/>
        <w:right w:val="none" w:sz="0" w:space="0" w:color="auto"/>
      </w:divBdr>
    </w:div>
    <w:div w:id="686757985">
      <w:bodyDiv w:val="1"/>
      <w:marLeft w:val="0"/>
      <w:marRight w:val="0"/>
      <w:marTop w:val="0"/>
      <w:marBottom w:val="0"/>
      <w:divBdr>
        <w:top w:val="none" w:sz="0" w:space="0" w:color="auto"/>
        <w:left w:val="none" w:sz="0" w:space="0" w:color="auto"/>
        <w:bottom w:val="none" w:sz="0" w:space="0" w:color="auto"/>
        <w:right w:val="none" w:sz="0" w:space="0" w:color="auto"/>
      </w:divBdr>
    </w:div>
    <w:div w:id="1915239935">
      <w:bodyDiv w:val="1"/>
      <w:marLeft w:val="0"/>
      <w:marRight w:val="0"/>
      <w:marTop w:val="0"/>
      <w:marBottom w:val="0"/>
      <w:divBdr>
        <w:top w:val="none" w:sz="0" w:space="0" w:color="auto"/>
        <w:left w:val="none" w:sz="0" w:space="0" w:color="auto"/>
        <w:bottom w:val="none" w:sz="0" w:space="0" w:color="auto"/>
        <w:right w:val="none" w:sz="0" w:space="0" w:color="auto"/>
      </w:divBdr>
    </w:div>
    <w:div w:id="211231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D3D30-EE36-4DEE-A53A-E85194AB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EAST KENT HOSPITALS NHS TRUST</vt:lpstr>
    </vt:vector>
  </TitlesOfParts>
  <Company>NHS Trust</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KENT HOSPITALS NHS TRUST</dc:title>
  <dc:subject/>
  <dc:creator>Dorothy Otite</dc:creator>
  <cp:keywords/>
  <cp:lastModifiedBy>Hollie Godwin</cp:lastModifiedBy>
  <cp:revision>2</cp:revision>
  <cp:lastPrinted>2014-03-17T14:05:00Z</cp:lastPrinted>
  <dcterms:created xsi:type="dcterms:W3CDTF">2025-08-21T12:21:00Z</dcterms:created>
  <dcterms:modified xsi:type="dcterms:W3CDTF">2025-08-21T12:21:00Z</dcterms:modified>
</cp:coreProperties>
</file>