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5CFFA" w14:textId="52D1B619" w:rsidR="00875201" w:rsidRPr="004F5B58" w:rsidRDefault="006C6DC8" w:rsidP="005E4BBC">
      <w:pPr>
        <w:pStyle w:val="Heading1"/>
        <w:spacing w:before="4080"/>
      </w:pPr>
      <w:bookmarkStart w:id="0" w:name="_GoBack"/>
      <w:bookmarkEnd w:id="0"/>
      <w:r w:rsidRPr="004F5B58">
        <w:t>INFECTION PREVENTION AND CONTROL</w:t>
      </w:r>
      <w:r w:rsidR="004F5B58" w:rsidRPr="004F5B58">
        <w:t xml:space="preserve"> </w:t>
      </w:r>
      <w:r w:rsidRPr="004F5B58">
        <w:t>ANNUAL REPORT</w:t>
      </w:r>
    </w:p>
    <w:p w14:paraId="1BD89C8A" w14:textId="77777777" w:rsidR="00875201" w:rsidRPr="00C752D3" w:rsidRDefault="00875201" w:rsidP="00C752D3">
      <w:pPr>
        <w:jc w:val="both"/>
        <w:rPr>
          <w:rFonts w:ascii="Arial" w:hAnsi="Arial" w:cs="Arial"/>
          <w:b/>
          <w:sz w:val="24"/>
          <w:szCs w:val="24"/>
        </w:rPr>
      </w:pPr>
    </w:p>
    <w:p w14:paraId="1D77538E" w14:textId="02E538CB" w:rsidR="001F1DFA" w:rsidRDefault="006C6DC8" w:rsidP="00C752D3">
      <w:pPr>
        <w:jc w:val="both"/>
        <w:rPr>
          <w:rFonts w:ascii="Arial" w:hAnsi="Arial" w:cs="Arial"/>
          <w:b/>
          <w:sz w:val="24"/>
          <w:szCs w:val="24"/>
        </w:rPr>
      </w:pPr>
      <w:r w:rsidRPr="00C752D3">
        <w:rPr>
          <w:rFonts w:ascii="Arial" w:hAnsi="Arial" w:cs="Arial"/>
          <w:b/>
          <w:sz w:val="24"/>
          <w:szCs w:val="24"/>
        </w:rPr>
        <w:t xml:space="preserve">APRIL </w:t>
      </w:r>
      <w:r w:rsidR="009804B5" w:rsidRPr="00C752D3">
        <w:rPr>
          <w:rFonts w:ascii="Arial" w:hAnsi="Arial" w:cs="Arial"/>
          <w:b/>
          <w:sz w:val="24"/>
          <w:szCs w:val="24"/>
        </w:rPr>
        <w:t>20</w:t>
      </w:r>
      <w:r w:rsidR="00C752D3" w:rsidRPr="00C752D3">
        <w:rPr>
          <w:rFonts w:ascii="Arial" w:hAnsi="Arial" w:cs="Arial"/>
          <w:b/>
          <w:sz w:val="24"/>
          <w:szCs w:val="24"/>
        </w:rPr>
        <w:t>2</w:t>
      </w:r>
      <w:r w:rsidR="000541C4">
        <w:rPr>
          <w:rFonts w:ascii="Arial" w:hAnsi="Arial" w:cs="Arial"/>
          <w:b/>
          <w:sz w:val="24"/>
          <w:szCs w:val="24"/>
        </w:rPr>
        <w:t>4</w:t>
      </w:r>
      <w:r w:rsidR="009804B5" w:rsidRPr="00C752D3">
        <w:rPr>
          <w:rFonts w:ascii="Arial" w:hAnsi="Arial" w:cs="Arial"/>
          <w:b/>
          <w:sz w:val="24"/>
          <w:szCs w:val="24"/>
        </w:rPr>
        <w:t xml:space="preserve"> </w:t>
      </w:r>
      <w:r w:rsidRPr="00C752D3">
        <w:rPr>
          <w:rFonts w:ascii="Arial" w:hAnsi="Arial" w:cs="Arial"/>
          <w:b/>
          <w:sz w:val="24"/>
          <w:szCs w:val="24"/>
        </w:rPr>
        <w:t xml:space="preserve">– MARCH </w:t>
      </w:r>
      <w:r w:rsidR="009804B5" w:rsidRPr="00C752D3">
        <w:rPr>
          <w:rFonts w:ascii="Arial" w:hAnsi="Arial" w:cs="Arial"/>
          <w:b/>
          <w:sz w:val="24"/>
          <w:szCs w:val="24"/>
        </w:rPr>
        <w:t>202</w:t>
      </w:r>
      <w:r w:rsidR="000541C4">
        <w:rPr>
          <w:rFonts w:ascii="Arial" w:hAnsi="Arial" w:cs="Arial"/>
          <w:b/>
          <w:sz w:val="24"/>
          <w:szCs w:val="24"/>
        </w:rPr>
        <w:t>5</w:t>
      </w:r>
    </w:p>
    <w:p w14:paraId="2D4107B7" w14:textId="0990FE96" w:rsidR="004F5B58" w:rsidRDefault="004F5B58">
      <w:pPr>
        <w:suppressAutoHyphens w:val="0"/>
        <w:autoSpaceDN/>
        <w:textAlignment w:val="auto"/>
        <w:rPr>
          <w:rFonts w:ascii="Arial" w:hAnsi="Arial" w:cs="Arial"/>
          <w:b/>
          <w:sz w:val="24"/>
          <w:szCs w:val="24"/>
        </w:rPr>
      </w:pPr>
      <w:r>
        <w:rPr>
          <w:rFonts w:ascii="Arial" w:hAnsi="Arial" w:cs="Arial"/>
          <w:b/>
          <w:sz w:val="24"/>
          <w:szCs w:val="24"/>
        </w:rPr>
        <w:br w:type="page"/>
      </w:r>
    </w:p>
    <w:p w14:paraId="77CAAB51" w14:textId="77777777" w:rsidR="00490862" w:rsidRPr="00C752D3" w:rsidRDefault="00490862" w:rsidP="00C752D3">
      <w:pPr>
        <w:jc w:val="both"/>
        <w:rPr>
          <w:rFonts w:ascii="Arial" w:hAnsi="Arial" w:cs="Arial"/>
          <w:b/>
          <w:sz w:val="24"/>
          <w:szCs w:val="24"/>
        </w:rPr>
      </w:pPr>
    </w:p>
    <w:p w14:paraId="36991E14" w14:textId="77777777" w:rsidR="00875201" w:rsidRPr="004F5B58" w:rsidRDefault="006C6DC8" w:rsidP="004F5B58">
      <w:pPr>
        <w:pStyle w:val="Heading2"/>
      </w:pPr>
      <w:bookmarkStart w:id="1" w:name="Contents"/>
      <w:bookmarkEnd w:id="1"/>
      <w:r w:rsidRPr="004F5B58">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6996"/>
        <w:gridCol w:w="1343"/>
      </w:tblGrid>
      <w:tr w:rsidR="00D15A49" w:rsidRPr="008E4A31" w14:paraId="0EA4168C" w14:textId="77777777" w:rsidTr="00FA71EF">
        <w:tc>
          <w:tcPr>
            <w:tcW w:w="704" w:type="dxa"/>
          </w:tcPr>
          <w:p w14:paraId="4A886F6E" w14:textId="0B1DF51C" w:rsidR="00D15A49" w:rsidRPr="008E4A31" w:rsidRDefault="00D15A49" w:rsidP="00FA71EF">
            <w:pPr>
              <w:spacing w:before="120" w:after="120"/>
              <w:jc w:val="both"/>
              <w:rPr>
                <w:rFonts w:ascii="Arial" w:hAnsi="Arial" w:cs="Arial"/>
              </w:rPr>
            </w:pPr>
          </w:p>
        </w:tc>
        <w:tc>
          <w:tcPr>
            <w:tcW w:w="7513" w:type="dxa"/>
          </w:tcPr>
          <w:p w14:paraId="6F27A919" w14:textId="1EF54FFA" w:rsidR="00D15A49" w:rsidRPr="008E4A31" w:rsidRDefault="00D15A49" w:rsidP="00FA71EF">
            <w:pPr>
              <w:spacing w:before="120" w:after="120"/>
              <w:jc w:val="both"/>
              <w:rPr>
                <w:rFonts w:ascii="Arial" w:hAnsi="Arial" w:cs="Arial"/>
                <w:b/>
              </w:rPr>
            </w:pPr>
            <w:r w:rsidRPr="008E4A31">
              <w:rPr>
                <w:rFonts w:ascii="Arial" w:hAnsi="Arial" w:cs="Arial"/>
                <w:b/>
              </w:rPr>
              <w:t>Section</w:t>
            </w:r>
          </w:p>
        </w:tc>
        <w:tc>
          <w:tcPr>
            <w:tcW w:w="1375" w:type="dxa"/>
          </w:tcPr>
          <w:p w14:paraId="5F8F11A0" w14:textId="5FBEC9D4" w:rsidR="00D15A49" w:rsidRPr="008E4A31" w:rsidRDefault="00D15A49" w:rsidP="00FA71EF">
            <w:pPr>
              <w:spacing w:before="120" w:after="120"/>
              <w:jc w:val="both"/>
              <w:rPr>
                <w:rFonts w:ascii="Arial" w:hAnsi="Arial" w:cs="Arial"/>
                <w:b/>
              </w:rPr>
            </w:pPr>
            <w:r w:rsidRPr="008E4A31">
              <w:rPr>
                <w:rFonts w:ascii="Arial" w:hAnsi="Arial" w:cs="Arial"/>
                <w:b/>
              </w:rPr>
              <w:t>Page Number</w:t>
            </w:r>
          </w:p>
        </w:tc>
      </w:tr>
      <w:tr w:rsidR="00D15A49" w:rsidRPr="008E4A31" w14:paraId="47EEC39F" w14:textId="77777777" w:rsidTr="00FA71EF">
        <w:tc>
          <w:tcPr>
            <w:tcW w:w="704" w:type="dxa"/>
          </w:tcPr>
          <w:p w14:paraId="4801B028" w14:textId="1A94BF9B" w:rsidR="00D15A49" w:rsidRPr="008E4A31" w:rsidRDefault="00D15A49" w:rsidP="00FA71EF">
            <w:pPr>
              <w:spacing w:before="120" w:after="120"/>
              <w:jc w:val="both"/>
              <w:rPr>
                <w:rFonts w:ascii="Arial" w:hAnsi="Arial" w:cs="Arial"/>
              </w:rPr>
            </w:pPr>
            <w:r w:rsidRPr="008E4A31">
              <w:rPr>
                <w:rFonts w:ascii="Arial" w:hAnsi="Arial" w:cs="Arial"/>
              </w:rPr>
              <w:t>1.</w:t>
            </w:r>
          </w:p>
        </w:tc>
        <w:tc>
          <w:tcPr>
            <w:tcW w:w="7513" w:type="dxa"/>
          </w:tcPr>
          <w:p w14:paraId="03CFCA53" w14:textId="0DC56786" w:rsidR="00D15A49" w:rsidRPr="008E4A31" w:rsidRDefault="00D15A49" w:rsidP="00FA71EF">
            <w:pPr>
              <w:spacing w:before="120" w:after="120"/>
              <w:jc w:val="both"/>
              <w:rPr>
                <w:rFonts w:ascii="Arial" w:hAnsi="Arial" w:cs="Arial"/>
              </w:rPr>
            </w:pPr>
            <w:r w:rsidRPr="008E4A31">
              <w:rPr>
                <w:rFonts w:ascii="Arial" w:hAnsi="Arial" w:cs="Arial"/>
              </w:rPr>
              <w:t>Introduction</w:t>
            </w:r>
          </w:p>
        </w:tc>
        <w:tc>
          <w:tcPr>
            <w:tcW w:w="1375" w:type="dxa"/>
          </w:tcPr>
          <w:p w14:paraId="559172D2" w14:textId="69212CEF" w:rsidR="00D15A49" w:rsidRPr="008E4A31" w:rsidRDefault="00D15A49" w:rsidP="00FA71EF">
            <w:pPr>
              <w:spacing w:before="120" w:after="120"/>
              <w:jc w:val="both"/>
              <w:rPr>
                <w:rFonts w:ascii="Arial" w:hAnsi="Arial" w:cs="Arial"/>
              </w:rPr>
            </w:pPr>
            <w:r w:rsidRPr="008E4A31">
              <w:rPr>
                <w:rFonts w:ascii="Arial" w:hAnsi="Arial" w:cs="Arial"/>
              </w:rPr>
              <w:t>3</w:t>
            </w:r>
          </w:p>
        </w:tc>
      </w:tr>
      <w:tr w:rsidR="00D15A49" w:rsidRPr="008E4A31" w14:paraId="2B614D8A" w14:textId="77777777" w:rsidTr="00FA71EF">
        <w:tc>
          <w:tcPr>
            <w:tcW w:w="704" w:type="dxa"/>
          </w:tcPr>
          <w:p w14:paraId="2DD382BB" w14:textId="4C047A8D" w:rsidR="00D15A49" w:rsidRPr="008E4A31" w:rsidRDefault="00D15A49" w:rsidP="00FA71EF">
            <w:pPr>
              <w:spacing w:before="120" w:after="120"/>
              <w:jc w:val="both"/>
              <w:rPr>
                <w:rFonts w:ascii="Arial" w:hAnsi="Arial" w:cs="Arial"/>
              </w:rPr>
            </w:pPr>
            <w:r w:rsidRPr="008E4A31">
              <w:rPr>
                <w:rFonts w:ascii="Arial" w:hAnsi="Arial" w:cs="Arial"/>
              </w:rPr>
              <w:t xml:space="preserve">2. </w:t>
            </w:r>
          </w:p>
        </w:tc>
        <w:tc>
          <w:tcPr>
            <w:tcW w:w="7513" w:type="dxa"/>
          </w:tcPr>
          <w:p w14:paraId="264AFCDA" w14:textId="5237AADC" w:rsidR="00D15A49" w:rsidRPr="008E4A31" w:rsidRDefault="00E331BC" w:rsidP="00E331BC">
            <w:pPr>
              <w:spacing w:before="120" w:after="120"/>
              <w:jc w:val="both"/>
              <w:rPr>
                <w:rFonts w:ascii="Arial" w:hAnsi="Arial" w:cs="Arial"/>
              </w:rPr>
            </w:pPr>
            <w:r>
              <w:rPr>
                <w:rFonts w:ascii="Arial" w:hAnsi="Arial" w:cs="Arial"/>
              </w:rPr>
              <w:t xml:space="preserve">Executive Summary - </w:t>
            </w:r>
            <w:r w:rsidR="00D15A49" w:rsidRPr="008E4A31">
              <w:rPr>
                <w:rFonts w:ascii="Arial" w:hAnsi="Arial" w:cs="Arial"/>
              </w:rPr>
              <w:t>The Year 202</w:t>
            </w:r>
            <w:r>
              <w:rPr>
                <w:rFonts w:ascii="Arial" w:hAnsi="Arial" w:cs="Arial"/>
              </w:rPr>
              <w:t>4/</w:t>
            </w:r>
            <w:r w:rsidR="00D15A49" w:rsidRPr="008E4A31">
              <w:rPr>
                <w:rFonts w:ascii="Arial" w:hAnsi="Arial" w:cs="Arial"/>
              </w:rPr>
              <w:t>202</w:t>
            </w:r>
            <w:r>
              <w:rPr>
                <w:rFonts w:ascii="Arial" w:hAnsi="Arial" w:cs="Arial"/>
              </w:rPr>
              <w:t>5</w:t>
            </w:r>
          </w:p>
        </w:tc>
        <w:tc>
          <w:tcPr>
            <w:tcW w:w="1375" w:type="dxa"/>
          </w:tcPr>
          <w:p w14:paraId="25D30486" w14:textId="79872403" w:rsidR="00D15A49" w:rsidRPr="008E4A31" w:rsidRDefault="00D15A49" w:rsidP="00FA71EF">
            <w:pPr>
              <w:spacing w:before="120" w:after="120"/>
              <w:jc w:val="both"/>
              <w:rPr>
                <w:rFonts w:ascii="Arial" w:hAnsi="Arial" w:cs="Arial"/>
              </w:rPr>
            </w:pPr>
            <w:r w:rsidRPr="008E4A31">
              <w:rPr>
                <w:rFonts w:ascii="Arial" w:hAnsi="Arial" w:cs="Arial"/>
              </w:rPr>
              <w:t>3</w:t>
            </w:r>
          </w:p>
        </w:tc>
      </w:tr>
      <w:tr w:rsidR="00D15A49" w:rsidRPr="008E4A31" w14:paraId="04ADB0F7" w14:textId="77777777" w:rsidTr="00FA71EF">
        <w:tc>
          <w:tcPr>
            <w:tcW w:w="704" w:type="dxa"/>
          </w:tcPr>
          <w:p w14:paraId="4EE87E33" w14:textId="792C8BE4" w:rsidR="00D15A49" w:rsidRPr="008E4A31" w:rsidRDefault="00D15A49" w:rsidP="00FA71EF">
            <w:pPr>
              <w:spacing w:before="120" w:after="120"/>
              <w:jc w:val="both"/>
              <w:rPr>
                <w:rFonts w:ascii="Arial" w:hAnsi="Arial" w:cs="Arial"/>
              </w:rPr>
            </w:pPr>
            <w:r w:rsidRPr="008E4A31">
              <w:rPr>
                <w:rFonts w:ascii="Arial" w:hAnsi="Arial" w:cs="Arial"/>
              </w:rPr>
              <w:t>3.</w:t>
            </w:r>
          </w:p>
        </w:tc>
        <w:tc>
          <w:tcPr>
            <w:tcW w:w="7513" w:type="dxa"/>
          </w:tcPr>
          <w:p w14:paraId="483E46EA" w14:textId="1979A49B" w:rsidR="00D15A49" w:rsidRPr="008E4A31" w:rsidRDefault="00D15A49" w:rsidP="00FA71EF">
            <w:pPr>
              <w:spacing w:before="120" w:after="120"/>
              <w:jc w:val="both"/>
              <w:rPr>
                <w:rFonts w:ascii="Arial" w:hAnsi="Arial" w:cs="Arial"/>
              </w:rPr>
            </w:pPr>
            <w:r w:rsidRPr="008E4A31">
              <w:rPr>
                <w:rFonts w:ascii="Arial" w:hAnsi="Arial" w:cs="Arial"/>
              </w:rPr>
              <w:t>The Infection Prevention and Control Team</w:t>
            </w:r>
          </w:p>
        </w:tc>
        <w:tc>
          <w:tcPr>
            <w:tcW w:w="1375" w:type="dxa"/>
          </w:tcPr>
          <w:p w14:paraId="1833576D" w14:textId="175343B6" w:rsidR="00D15A49" w:rsidRPr="008E4A31" w:rsidRDefault="00596DCF" w:rsidP="00FA71EF">
            <w:pPr>
              <w:spacing w:before="120" w:after="120"/>
              <w:jc w:val="both"/>
              <w:rPr>
                <w:rFonts w:ascii="Arial" w:hAnsi="Arial" w:cs="Arial"/>
              </w:rPr>
            </w:pPr>
            <w:r>
              <w:rPr>
                <w:rFonts w:ascii="Arial" w:hAnsi="Arial" w:cs="Arial"/>
              </w:rPr>
              <w:t>4</w:t>
            </w:r>
          </w:p>
        </w:tc>
      </w:tr>
      <w:tr w:rsidR="00D15A49" w:rsidRPr="008E4A31" w14:paraId="170B9AAE" w14:textId="77777777" w:rsidTr="00FA71EF">
        <w:tc>
          <w:tcPr>
            <w:tcW w:w="704" w:type="dxa"/>
          </w:tcPr>
          <w:p w14:paraId="166AA855" w14:textId="04352C81" w:rsidR="00D15A49" w:rsidRPr="008E4A31" w:rsidRDefault="00D15A49" w:rsidP="00FA71EF">
            <w:pPr>
              <w:spacing w:before="120" w:after="120"/>
              <w:jc w:val="both"/>
              <w:rPr>
                <w:rFonts w:ascii="Arial" w:hAnsi="Arial" w:cs="Arial"/>
              </w:rPr>
            </w:pPr>
            <w:r w:rsidRPr="008E4A31">
              <w:rPr>
                <w:rFonts w:ascii="Arial" w:hAnsi="Arial" w:cs="Arial"/>
              </w:rPr>
              <w:t>4.</w:t>
            </w:r>
          </w:p>
        </w:tc>
        <w:tc>
          <w:tcPr>
            <w:tcW w:w="7513" w:type="dxa"/>
          </w:tcPr>
          <w:p w14:paraId="14C88BFD" w14:textId="62022849" w:rsidR="00D15A49" w:rsidRPr="008E4A31" w:rsidRDefault="00D15A49" w:rsidP="00FA71EF">
            <w:pPr>
              <w:spacing w:before="120" w:after="120"/>
              <w:jc w:val="both"/>
              <w:rPr>
                <w:rFonts w:ascii="Arial" w:hAnsi="Arial" w:cs="Arial"/>
              </w:rPr>
            </w:pPr>
            <w:r w:rsidRPr="008E4A31">
              <w:rPr>
                <w:rFonts w:ascii="Arial" w:hAnsi="Arial" w:cs="Arial"/>
              </w:rPr>
              <w:t>Infection Prevention and Control</w:t>
            </w:r>
            <w:r w:rsidR="00596DCF">
              <w:rPr>
                <w:rFonts w:ascii="Arial" w:hAnsi="Arial" w:cs="Arial"/>
              </w:rPr>
              <w:t xml:space="preserve"> c</w:t>
            </w:r>
            <w:r w:rsidRPr="008E4A31">
              <w:rPr>
                <w:rFonts w:ascii="Arial" w:hAnsi="Arial" w:cs="Arial"/>
              </w:rPr>
              <w:t>ommittee</w:t>
            </w:r>
            <w:r w:rsidR="00596DCF">
              <w:rPr>
                <w:rFonts w:ascii="Arial" w:hAnsi="Arial" w:cs="Arial"/>
              </w:rPr>
              <w:t xml:space="preserve"> and reporting structure</w:t>
            </w:r>
          </w:p>
        </w:tc>
        <w:tc>
          <w:tcPr>
            <w:tcW w:w="1375" w:type="dxa"/>
          </w:tcPr>
          <w:p w14:paraId="6CAF2AD8" w14:textId="08A5D68A" w:rsidR="00D15A49" w:rsidRPr="008E4A31" w:rsidRDefault="00616934" w:rsidP="00FA71EF">
            <w:pPr>
              <w:spacing w:before="120" w:after="120"/>
              <w:jc w:val="both"/>
              <w:rPr>
                <w:rFonts w:ascii="Arial" w:hAnsi="Arial" w:cs="Arial"/>
              </w:rPr>
            </w:pPr>
            <w:r>
              <w:rPr>
                <w:rFonts w:ascii="Arial" w:hAnsi="Arial" w:cs="Arial"/>
              </w:rPr>
              <w:t>5</w:t>
            </w:r>
          </w:p>
        </w:tc>
      </w:tr>
      <w:tr w:rsidR="00D15A49" w:rsidRPr="008E4A31" w14:paraId="1B00B1CE" w14:textId="77777777" w:rsidTr="00FA71EF">
        <w:tc>
          <w:tcPr>
            <w:tcW w:w="704" w:type="dxa"/>
          </w:tcPr>
          <w:p w14:paraId="3339C294" w14:textId="7535FFDE" w:rsidR="00D15A49" w:rsidRPr="008E4A31" w:rsidRDefault="00D15A49" w:rsidP="00FA71EF">
            <w:pPr>
              <w:spacing w:before="120" w:after="120"/>
              <w:jc w:val="both"/>
              <w:rPr>
                <w:rFonts w:ascii="Arial" w:hAnsi="Arial" w:cs="Arial"/>
              </w:rPr>
            </w:pPr>
            <w:r w:rsidRPr="008E4A31">
              <w:rPr>
                <w:rFonts w:ascii="Arial" w:hAnsi="Arial" w:cs="Arial"/>
              </w:rPr>
              <w:t>5.</w:t>
            </w:r>
          </w:p>
        </w:tc>
        <w:tc>
          <w:tcPr>
            <w:tcW w:w="7513" w:type="dxa"/>
          </w:tcPr>
          <w:p w14:paraId="49EA788A" w14:textId="6D44C8B0" w:rsidR="00D15A49" w:rsidRPr="008E4A31" w:rsidRDefault="00D15A49" w:rsidP="00FA71EF">
            <w:pPr>
              <w:spacing w:before="120" w:after="120"/>
              <w:jc w:val="both"/>
              <w:rPr>
                <w:rFonts w:ascii="Arial" w:hAnsi="Arial" w:cs="Arial"/>
              </w:rPr>
            </w:pPr>
            <w:r w:rsidRPr="008E4A31">
              <w:rPr>
                <w:rFonts w:ascii="Arial" w:hAnsi="Arial" w:cs="Arial"/>
              </w:rPr>
              <w:t xml:space="preserve">The Care Quality Commission (CQC)  </w:t>
            </w:r>
          </w:p>
        </w:tc>
        <w:tc>
          <w:tcPr>
            <w:tcW w:w="1375" w:type="dxa"/>
          </w:tcPr>
          <w:p w14:paraId="431F18A1" w14:textId="483437C2" w:rsidR="00D15A49" w:rsidRPr="008E4A31" w:rsidRDefault="00EE239B" w:rsidP="00FA71EF">
            <w:pPr>
              <w:spacing w:before="120" w:after="120"/>
              <w:jc w:val="both"/>
              <w:rPr>
                <w:rFonts w:ascii="Arial" w:hAnsi="Arial" w:cs="Arial"/>
              </w:rPr>
            </w:pPr>
            <w:r>
              <w:rPr>
                <w:rFonts w:ascii="Arial" w:hAnsi="Arial" w:cs="Arial"/>
              </w:rPr>
              <w:t>6</w:t>
            </w:r>
          </w:p>
        </w:tc>
      </w:tr>
      <w:tr w:rsidR="00D15A49" w:rsidRPr="008E4A31" w14:paraId="00A1426A" w14:textId="77777777" w:rsidTr="00FA71EF">
        <w:tc>
          <w:tcPr>
            <w:tcW w:w="704" w:type="dxa"/>
          </w:tcPr>
          <w:p w14:paraId="6E42E86C" w14:textId="1D9E3EB2" w:rsidR="00D15A49" w:rsidRPr="008E4A31" w:rsidRDefault="00596DCF" w:rsidP="00FA71EF">
            <w:pPr>
              <w:spacing w:before="120" w:after="120"/>
              <w:jc w:val="both"/>
              <w:rPr>
                <w:rFonts w:ascii="Arial" w:hAnsi="Arial" w:cs="Arial"/>
              </w:rPr>
            </w:pPr>
            <w:r>
              <w:rPr>
                <w:rFonts w:ascii="Arial" w:hAnsi="Arial" w:cs="Arial"/>
              </w:rPr>
              <w:t>6</w:t>
            </w:r>
            <w:r w:rsidR="00FA71EF" w:rsidRPr="008E4A31">
              <w:rPr>
                <w:rFonts w:ascii="Arial" w:hAnsi="Arial" w:cs="Arial"/>
              </w:rPr>
              <w:t xml:space="preserve">. </w:t>
            </w:r>
          </w:p>
        </w:tc>
        <w:tc>
          <w:tcPr>
            <w:tcW w:w="7513" w:type="dxa"/>
          </w:tcPr>
          <w:p w14:paraId="17DB715F" w14:textId="4B5F7C1C" w:rsidR="00D15A49" w:rsidRPr="008E4A31" w:rsidRDefault="00FA71EF" w:rsidP="00FA71EF">
            <w:pPr>
              <w:spacing w:before="120" w:after="120"/>
              <w:jc w:val="both"/>
              <w:rPr>
                <w:rFonts w:ascii="Arial" w:hAnsi="Arial" w:cs="Arial"/>
              </w:rPr>
            </w:pPr>
            <w:r w:rsidRPr="008E4A31">
              <w:rPr>
                <w:rFonts w:ascii="Arial" w:hAnsi="Arial" w:cs="Arial"/>
              </w:rPr>
              <w:t>Education and Training</w:t>
            </w:r>
          </w:p>
        </w:tc>
        <w:tc>
          <w:tcPr>
            <w:tcW w:w="1375" w:type="dxa"/>
          </w:tcPr>
          <w:p w14:paraId="5898FFFC" w14:textId="71586090" w:rsidR="00FA71EF" w:rsidRPr="008E4A31" w:rsidRDefault="00D00A93" w:rsidP="00FA71EF">
            <w:pPr>
              <w:spacing w:before="120" w:after="120"/>
              <w:jc w:val="both"/>
              <w:rPr>
                <w:rFonts w:ascii="Arial" w:hAnsi="Arial" w:cs="Arial"/>
              </w:rPr>
            </w:pPr>
            <w:r w:rsidRPr="008E4A31">
              <w:rPr>
                <w:rFonts w:ascii="Arial" w:hAnsi="Arial" w:cs="Arial"/>
              </w:rPr>
              <w:t>6</w:t>
            </w:r>
          </w:p>
        </w:tc>
      </w:tr>
      <w:tr w:rsidR="00FA71EF" w:rsidRPr="008E4A31" w14:paraId="4B2372D6" w14:textId="77777777" w:rsidTr="00FA71EF">
        <w:tc>
          <w:tcPr>
            <w:tcW w:w="704" w:type="dxa"/>
          </w:tcPr>
          <w:p w14:paraId="0BDF820B" w14:textId="2B98973B" w:rsidR="00FA71EF" w:rsidRPr="008E4A31" w:rsidRDefault="00596DCF" w:rsidP="00FA71EF">
            <w:pPr>
              <w:spacing w:before="120" w:after="120"/>
              <w:jc w:val="both"/>
              <w:rPr>
                <w:rFonts w:ascii="Arial" w:hAnsi="Arial" w:cs="Arial"/>
              </w:rPr>
            </w:pPr>
            <w:r>
              <w:rPr>
                <w:rFonts w:ascii="Arial" w:hAnsi="Arial" w:cs="Arial"/>
              </w:rPr>
              <w:t>7</w:t>
            </w:r>
            <w:r w:rsidR="00FA71EF" w:rsidRPr="008E4A31">
              <w:rPr>
                <w:rFonts w:ascii="Arial" w:hAnsi="Arial" w:cs="Arial"/>
              </w:rPr>
              <w:t>.</w:t>
            </w:r>
          </w:p>
        </w:tc>
        <w:tc>
          <w:tcPr>
            <w:tcW w:w="7513" w:type="dxa"/>
          </w:tcPr>
          <w:p w14:paraId="188C9B0B" w14:textId="1512E3E3" w:rsidR="00FA71EF" w:rsidRPr="008E4A31" w:rsidRDefault="00FA71EF" w:rsidP="00FA71EF">
            <w:pPr>
              <w:spacing w:before="120" w:after="120"/>
              <w:jc w:val="both"/>
              <w:rPr>
                <w:rFonts w:ascii="Arial" w:hAnsi="Arial" w:cs="Arial"/>
              </w:rPr>
            </w:pPr>
            <w:r w:rsidRPr="008E4A31">
              <w:rPr>
                <w:rFonts w:ascii="Arial" w:hAnsi="Arial" w:cs="Arial"/>
              </w:rPr>
              <w:t>Audit</w:t>
            </w:r>
          </w:p>
        </w:tc>
        <w:tc>
          <w:tcPr>
            <w:tcW w:w="1375" w:type="dxa"/>
          </w:tcPr>
          <w:p w14:paraId="6524AD91" w14:textId="34379872" w:rsidR="00FA71EF" w:rsidRPr="008E4A31" w:rsidRDefault="00D41B08" w:rsidP="00FA71EF">
            <w:pPr>
              <w:spacing w:before="120" w:after="120"/>
              <w:jc w:val="both"/>
              <w:rPr>
                <w:rFonts w:ascii="Arial" w:hAnsi="Arial" w:cs="Arial"/>
              </w:rPr>
            </w:pPr>
            <w:r>
              <w:rPr>
                <w:rFonts w:ascii="Arial" w:hAnsi="Arial" w:cs="Arial"/>
              </w:rPr>
              <w:t>7</w:t>
            </w:r>
          </w:p>
        </w:tc>
      </w:tr>
      <w:tr w:rsidR="00FA71EF" w:rsidRPr="008E4A31" w14:paraId="7E1935B1" w14:textId="77777777" w:rsidTr="00FA71EF">
        <w:tc>
          <w:tcPr>
            <w:tcW w:w="704" w:type="dxa"/>
          </w:tcPr>
          <w:p w14:paraId="0F22C8FE" w14:textId="5BF22C9A" w:rsidR="00FA71EF" w:rsidRPr="008E4A31" w:rsidRDefault="008948E0" w:rsidP="00FA71EF">
            <w:pPr>
              <w:spacing w:before="120" w:after="120"/>
              <w:jc w:val="both"/>
              <w:rPr>
                <w:rFonts w:ascii="Arial" w:hAnsi="Arial" w:cs="Arial"/>
              </w:rPr>
            </w:pPr>
            <w:r>
              <w:rPr>
                <w:rFonts w:ascii="Arial" w:hAnsi="Arial" w:cs="Arial"/>
              </w:rPr>
              <w:t>8</w:t>
            </w:r>
            <w:r w:rsidR="00FA71EF" w:rsidRPr="008E4A31">
              <w:rPr>
                <w:rFonts w:ascii="Arial" w:hAnsi="Arial" w:cs="Arial"/>
              </w:rPr>
              <w:t>.</w:t>
            </w:r>
          </w:p>
        </w:tc>
        <w:tc>
          <w:tcPr>
            <w:tcW w:w="7513" w:type="dxa"/>
          </w:tcPr>
          <w:p w14:paraId="44857CD5" w14:textId="0B35DD9B" w:rsidR="00FA71EF" w:rsidRPr="008E4A31" w:rsidRDefault="00FA71EF" w:rsidP="00FA71EF">
            <w:pPr>
              <w:spacing w:before="120" w:after="120"/>
              <w:jc w:val="both"/>
              <w:rPr>
                <w:rFonts w:ascii="Arial" w:hAnsi="Arial" w:cs="Arial"/>
              </w:rPr>
            </w:pPr>
            <w:r w:rsidRPr="008E4A31">
              <w:rPr>
                <w:rFonts w:ascii="Arial" w:hAnsi="Arial" w:cs="Arial"/>
              </w:rPr>
              <w:t xml:space="preserve">Hospital hygiene and the Healthcare Environment </w:t>
            </w:r>
          </w:p>
        </w:tc>
        <w:tc>
          <w:tcPr>
            <w:tcW w:w="1375" w:type="dxa"/>
          </w:tcPr>
          <w:p w14:paraId="5012D8EF" w14:textId="559FE4B4" w:rsidR="00FA71EF" w:rsidRPr="008E4A31" w:rsidRDefault="00D41B08" w:rsidP="00FA71EF">
            <w:pPr>
              <w:spacing w:before="120" w:after="120"/>
              <w:jc w:val="both"/>
              <w:rPr>
                <w:rFonts w:ascii="Arial" w:hAnsi="Arial" w:cs="Arial"/>
              </w:rPr>
            </w:pPr>
            <w:r>
              <w:rPr>
                <w:rFonts w:ascii="Arial" w:hAnsi="Arial" w:cs="Arial"/>
              </w:rPr>
              <w:t>9</w:t>
            </w:r>
          </w:p>
        </w:tc>
      </w:tr>
      <w:tr w:rsidR="00FA71EF" w:rsidRPr="008E4A31" w14:paraId="1B16FFD4" w14:textId="77777777" w:rsidTr="00FA71EF">
        <w:tc>
          <w:tcPr>
            <w:tcW w:w="704" w:type="dxa"/>
          </w:tcPr>
          <w:p w14:paraId="1A1A7B1B" w14:textId="1745BF35" w:rsidR="00FA71EF" w:rsidRPr="008E4A31" w:rsidRDefault="008948E0" w:rsidP="00FA71EF">
            <w:pPr>
              <w:spacing w:before="120" w:after="120"/>
              <w:jc w:val="both"/>
              <w:rPr>
                <w:rFonts w:ascii="Arial" w:hAnsi="Arial" w:cs="Arial"/>
              </w:rPr>
            </w:pPr>
            <w:r>
              <w:rPr>
                <w:rFonts w:ascii="Arial" w:hAnsi="Arial" w:cs="Arial"/>
              </w:rPr>
              <w:t>9</w:t>
            </w:r>
            <w:r w:rsidR="00FA71EF" w:rsidRPr="008E4A31">
              <w:rPr>
                <w:rFonts w:ascii="Arial" w:hAnsi="Arial" w:cs="Arial"/>
              </w:rPr>
              <w:t>.</w:t>
            </w:r>
          </w:p>
        </w:tc>
        <w:tc>
          <w:tcPr>
            <w:tcW w:w="7513" w:type="dxa"/>
          </w:tcPr>
          <w:p w14:paraId="04F17FAC" w14:textId="1EA9E58F" w:rsidR="00FA71EF" w:rsidRPr="008E4A31" w:rsidRDefault="00FA71EF" w:rsidP="00FA71EF">
            <w:pPr>
              <w:spacing w:before="120" w:after="120"/>
              <w:jc w:val="both"/>
              <w:rPr>
                <w:rFonts w:ascii="Arial" w:hAnsi="Arial" w:cs="Arial"/>
              </w:rPr>
            </w:pPr>
            <w:r w:rsidRPr="008E4A31">
              <w:rPr>
                <w:rFonts w:ascii="Arial" w:hAnsi="Arial" w:cs="Arial"/>
              </w:rPr>
              <w:t>Incidents/Outbreaks of Healthcare-Associated Infection</w:t>
            </w:r>
          </w:p>
        </w:tc>
        <w:tc>
          <w:tcPr>
            <w:tcW w:w="1375" w:type="dxa"/>
          </w:tcPr>
          <w:p w14:paraId="3FBB9A30" w14:textId="4EBACB63" w:rsidR="00FA71EF" w:rsidRPr="008E4A31" w:rsidRDefault="00D41B08" w:rsidP="00FA71EF">
            <w:pPr>
              <w:spacing w:before="120" w:after="120"/>
              <w:jc w:val="both"/>
              <w:rPr>
                <w:rFonts w:ascii="Arial" w:hAnsi="Arial" w:cs="Arial"/>
              </w:rPr>
            </w:pPr>
            <w:r>
              <w:rPr>
                <w:rFonts w:ascii="Arial" w:hAnsi="Arial" w:cs="Arial"/>
              </w:rPr>
              <w:t>1</w:t>
            </w:r>
            <w:r w:rsidR="00616934">
              <w:rPr>
                <w:rFonts w:ascii="Arial" w:hAnsi="Arial" w:cs="Arial"/>
              </w:rPr>
              <w:t>1</w:t>
            </w:r>
          </w:p>
        </w:tc>
      </w:tr>
      <w:tr w:rsidR="00FA71EF" w:rsidRPr="008E4A31" w14:paraId="57262C11" w14:textId="77777777" w:rsidTr="00FA71EF">
        <w:tc>
          <w:tcPr>
            <w:tcW w:w="704" w:type="dxa"/>
          </w:tcPr>
          <w:p w14:paraId="7A5A933A" w14:textId="47F93707" w:rsidR="00FA71EF" w:rsidRPr="008E4A31" w:rsidRDefault="00FA71EF" w:rsidP="00FA71EF">
            <w:pPr>
              <w:spacing w:before="120" w:after="120"/>
              <w:jc w:val="both"/>
              <w:rPr>
                <w:rFonts w:ascii="Arial" w:hAnsi="Arial" w:cs="Arial"/>
              </w:rPr>
            </w:pPr>
            <w:r w:rsidRPr="008E4A31">
              <w:rPr>
                <w:rFonts w:ascii="Arial" w:hAnsi="Arial" w:cs="Arial"/>
              </w:rPr>
              <w:t>1</w:t>
            </w:r>
            <w:r w:rsidR="008948E0">
              <w:rPr>
                <w:rFonts w:ascii="Arial" w:hAnsi="Arial" w:cs="Arial"/>
              </w:rPr>
              <w:t>0</w:t>
            </w:r>
            <w:r w:rsidRPr="008E4A31">
              <w:rPr>
                <w:rFonts w:ascii="Arial" w:hAnsi="Arial" w:cs="Arial"/>
              </w:rPr>
              <w:t>.</w:t>
            </w:r>
          </w:p>
        </w:tc>
        <w:tc>
          <w:tcPr>
            <w:tcW w:w="7513" w:type="dxa"/>
          </w:tcPr>
          <w:p w14:paraId="2EF70127" w14:textId="77777777" w:rsidR="00FA71EF" w:rsidRPr="008E4A31" w:rsidRDefault="00FA71EF" w:rsidP="00FA71EF">
            <w:pPr>
              <w:spacing w:before="120" w:after="120"/>
              <w:jc w:val="both"/>
              <w:rPr>
                <w:rFonts w:ascii="Arial" w:hAnsi="Arial" w:cs="Arial"/>
              </w:rPr>
            </w:pPr>
            <w:r w:rsidRPr="008E4A31">
              <w:rPr>
                <w:rFonts w:ascii="Arial" w:hAnsi="Arial" w:cs="Arial"/>
              </w:rPr>
              <w:t xml:space="preserve">Surveillance and Epidemiology including </w:t>
            </w:r>
          </w:p>
          <w:p w14:paraId="6F949BC2" w14:textId="77777777" w:rsidR="00FA71EF" w:rsidRPr="008E4A31" w:rsidRDefault="00FA71EF" w:rsidP="00FA71EF">
            <w:pPr>
              <w:spacing w:before="120" w:after="120"/>
              <w:jc w:val="both"/>
              <w:rPr>
                <w:rFonts w:ascii="Arial" w:hAnsi="Arial" w:cs="Arial"/>
                <w:i/>
              </w:rPr>
            </w:pPr>
            <w:r w:rsidRPr="008E4A31">
              <w:rPr>
                <w:rFonts w:ascii="Arial" w:hAnsi="Arial" w:cs="Arial"/>
                <w:i/>
              </w:rPr>
              <w:t>Clostridioides difficile</w:t>
            </w:r>
          </w:p>
          <w:p w14:paraId="278BFE27" w14:textId="42BDE18D" w:rsidR="00FA71EF" w:rsidRPr="008E4A31" w:rsidRDefault="00A8579A" w:rsidP="00FA71EF">
            <w:pPr>
              <w:spacing w:before="120" w:after="120"/>
              <w:jc w:val="both"/>
              <w:rPr>
                <w:rFonts w:ascii="Arial" w:hAnsi="Arial" w:cs="Arial"/>
              </w:rPr>
            </w:pPr>
            <w:r w:rsidRPr="008E4A31">
              <w:rPr>
                <w:rFonts w:ascii="Arial" w:hAnsi="Arial" w:cs="Arial"/>
                <w:i/>
              </w:rPr>
              <w:t>Staphylococcus</w:t>
            </w:r>
            <w:r w:rsidR="00FA71EF" w:rsidRPr="008E4A31">
              <w:rPr>
                <w:rFonts w:ascii="Arial" w:hAnsi="Arial" w:cs="Arial"/>
                <w:i/>
              </w:rPr>
              <w:t xml:space="preserve"> aureus </w:t>
            </w:r>
            <w:r w:rsidR="00FA71EF" w:rsidRPr="008E4A31">
              <w:rPr>
                <w:rFonts w:ascii="Arial" w:hAnsi="Arial" w:cs="Arial"/>
              </w:rPr>
              <w:t>(MSSA and MRSA) bloodstream infections</w:t>
            </w:r>
          </w:p>
          <w:p w14:paraId="74BF4619" w14:textId="68F11B13" w:rsidR="00FA71EF" w:rsidRPr="008E4A31" w:rsidRDefault="00FA71EF" w:rsidP="00FA71EF">
            <w:pPr>
              <w:spacing w:before="120" w:after="120"/>
              <w:jc w:val="both"/>
              <w:rPr>
                <w:rFonts w:ascii="Arial" w:hAnsi="Arial" w:cs="Arial"/>
              </w:rPr>
            </w:pPr>
            <w:r w:rsidRPr="008E4A31">
              <w:rPr>
                <w:rFonts w:ascii="Arial" w:hAnsi="Arial" w:cs="Arial"/>
              </w:rPr>
              <w:t>Gram Negative bloodstream infections</w:t>
            </w:r>
          </w:p>
          <w:p w14:paraId="7FCF2468" w14:textId="2150F5C2" w:rsidR="00FA71EF" w:rsidRPr="008E4A31" w:rsidRDefault="00FA71EF" w:rsidP="00FA71EF">
            <w:pPr>
              <w:spacing w:before="120" w:after="120"/>
              <w:jc w:val="both"/>
              <w:rPr>
                <w:rFonts w:ascii="Arial" w:hAnsi="Arial" w:cs="Arial"/>
              </w:rPr>
            </w:pPr>
            <w:r w:rsidRPr="008E4A31">
              <w:rPr>
                <w:rFonts w:ascii="Arial" w:hAnsi="Arial" w:cs="Arial"/>
              </w:rPr>
              <w:t>Carbapen</w:t>
            </w:r>
            <w:r w:rsidR="00F65AF2">
              <w:rPr>
                <w:rFonts w:ascii="Arial" w:hAnsi="Arial" w:cs="Arial"/>
              </w:rPr>
              <w:t>e</w:t>
            </w:r>
            <w:r w:rsidRPr="008E4A31">
              <w:rPr>
                <w:rFonts w:ascii="Arial" w:hAnsi="Arial" w:cs="Arial"/>
              </w:rPr>
              <w:t>mase Producing Organisms (C</w:t>
            </w:r>
            <w:r w:rsidR="00B36D61" w:rsidRPr="008E4A31">
              <w:rPr>
                <w:rFonts w:ascii="Arial" w:hAnsi="Arial" w:cs="Arial"/>
              </w:rPr>
              <w:t>P</w:t>
            </w:r>
            <w:r w:rsidRPr="008E4A31">
              <w:rPr>
                <w:rFonts w:ascii="Arial" w:hAnsi="Arial" w:cs="Arial"/>
              </w:rPr>
              <w:t>O)</w:t>
            </w:r>
          </w:p>
        </w:tc>
        <w:tc>
          <w:tcPr>
            <w:tcW w:w="1375" w:type="dxa"/>
          </w:tcPr>
          <w:p w14:paraId="48B4B23A" w14:textId="3C1BD943" w:rsidR="00FA71EF" w:rsidRPr="008E4A31" w:rsidRDefault="00D41B08" w:rsidP="00FA71EF">
            <w:pPr>
              <w:spacing w:before="120" w:after="120"/>
              <w:jc w:val="both"/>
              <w:rPr>
                <w:rFonts w:ascii="Arial" w:hAnsi="Arial" w:cs="Arial"/>
              </w:rPr>
            </w:pPr>
            <w:r>
              <w:rPr>
                <w:rFonts w:ascii="Arial" w:hAnsi="Arial" w:cs="Arial"/>
              </w:rPr>
              <w:t>1</w:t>
            </w:r>
            <w:r w:rsidR="00616934">
              <w:rPr>
                <w:rFonts w:ascii="Arial" w:hAnsi="Arial" w:cs="Arial"/>
              </w:rPr>
              <w:t>2</w:t>
            </w:r>
          </w:p>
        </w:tc>
      </w:tr>
      <w:tr w:rsidR="00FA71EF" w:rsidRPr="008E4A31" w14:paraId="79FB6BA7" w14:textId="77777777" w:rsidTr="00FA71EF">
        <w:tc>
          <w:tcPr>
            <w:tcW w:w="704" w:type="dxa"/>
          </w:tcPr>
          <w:p w14:paraId="7283A7CB" w14:textId="0559F64C" w:rsidR="00FA71EF" w:rsidRPr="008E4A31" w:rsidRDefault="00FA71EF" w:rsidP="00FA71EF">
            <w:pPr>
              <w:spacing w:before="120" w:after="120"/>
              <w:jc w:val="both"/>
              <w:rPr>
                <w:rFonts w:ascii="Arial" w:hAnsi="Arial" w:cs="Arial"/>
              </w:rPr>
            </w:pPr>
            <w:r w:rsidRPr="008E4A31">
              <w:rPr>
                <w:rFonts w:ascii="Arial" w:hAnsi="Arial" w:cs="Arial"/>
              </w:rPr>
              <w:t>1</w:t>
            </w:r>
            <w:r w:rsidR="008948E0">
              <w:rPr>
                <w:rFonts w:ascii="Arial" w:hAnsi="Arial" w:cs="Arial"/>
              </w:rPr>
              <w:t>1</w:t>
            </w:r>
            <w:r w:rsidRPr="008E4A31">
              <w:rPr>
                <w:rFonts w:ascii="Arial" w:hAnsi="Arial" w:cs="Arial"/>
              </w:rPr>
              <w:t>.</w:t>
            </w:r>
          </w:p>
        </w:tc>
        <w:tc>
          <w:tcPr>
            <w:tcW w:w="7513" w:type="dxa"/>
          </w:tcPr>
          <w:p w14:paraId="3FC905F1" w14:textId="689B033C" w:rsidR="00FA71EF" w:rsidRPr="008E4A31" w:rsidRDefault="00FA71EF" w:rsidP="00FA71EF">
            <w:pPr>
              <w:spacing w:before="120" w:after="120"/>
              <w:jc w:val="both"/>
              <w:rPr>
                <w:rFonts w:ascii="Arial" w:hAnsi="Arial" w:cs="Arial"/>
              </w:rPr>
            </w:pPr>
            <w:r w:rsidRPr="008E4A31">
              <w:rPr>
                <w:rFonts w:ascii="Arial" w:hAnsi="Arial" w:cs="Arial"/>
              </w:rPr>
              <w:t xml:space="preserve">Antimicrobial Stewardship </w:t>
            </w:r>
          </w:p>
        </w:tc>
        <w:tc>
          <w:tcPr>
            <w:tcW w:w="1375" w:type="dxa"/>
          </w:tcPr>
          <w:p w14:paraId="1DF5CE63" w14:textId="7DD0C817" w:rsidR="00FA71EF" w:rsidRPr="008E4A31" w:rsidRDefault="008948E0" w:rsidP="00FA71EF">
            <w:pPr>
              <w:spacing w:before="120" w:after="120"/>
              <w:jc w:val="both"/>
              <w:rPr>
                <w:rFonts w:ascii="Arial" w:hAnsi="Arial" w:cs="Arial"/>
              </w:rPr>
            </w:pPr>
            <w:r>
              <w:rPr>
                <w:rFonts w:ascii="Arial" w:hAnsi="Arial" w:cs="Arial"/>
              </w:rPr>
              <w:t>1</w:t>
            </w:r>
            <w:r w:rsidR="00616934">
              <w:rPr>
                <w:rFonts w:ascii="Arial" w:hAnsi="Arial" w:cs="Arial"/>
              </w:rPr>
              <w:t>7</w:t>
            </w:r>
          </w:p>
        </w:tc>
      </w:tr>
      <w:tr w:rsidR="00FA71EF" w:rsidRPr="008E4A31" w14:paraId="3AA941C8" w14:textId="77777777" w:rsidTr="00FA71EF">
        <w:tc>
          <w:tcPr>
            <w:tcW w:w="704" w:type="dxa"/>
          </w:tcPr>
          <w:p w14:paraId="785E94B2" w14:textId="49B8F778" w:rsidR="00FA71EF" w:rsidRPr="008E4A31" w:rsidRDefault="00FA71EF" w:rsidP="00FA71EF">
            <w:pPr>
              <w:spacing w:before="120" w:after="120"/>
              <w:jc w:val="both"/>
              <w:rPr>
                <w:rFonts w:ascii="Arial" w:hAnsi="Arial" w:cs="Arial"/>
              </w:rPr>
            </w:pPr>
            <w:r w:rsidRPr="008E4A31">
              <w:rPr>
                <w:rFonts w:ascii="Arial" w:hAnsi="Arial" w:cs="Arial"/>
              </w:rPr>
              <w:t>1</w:t>
            </w:r>
            <w:r w:rsidR="008948E0">
              <w:rPr>
                <w:rFonts w:ascii="Arial" w:hAnsi="Arial" w:cs="Arial"/>
              </w:rPr>
              <w:t>2</w:t>
            </w:r>
            <w:r w:rsidRPr="008E4A31">
              <w:rPr>
                <w:rFonts w:ascii="Arial" w:hAnsi="Arial" w:cs="Arial"/>
              </w:rPr>
              <w:t>.</w:t>
            </w:r>
          </w:p>
        </w:tc>
        <w:tc>
          <w:tcPr>
            <w:tcW w:w="7513" w:type="dxa"/>
          </w:tcPr>
          <w:p w14:paraId="5F7B7463" w14:textId="759B832A" w:rsidR="00FA71EF" w:rsidRPr="008E4A31" w:rsidRDefault="008948E0" w:rsidP="00FA71EF">
            <w:pPr>
              <w:spacing w:before="120" w:after="120"/>
              <w:jc w:val="both"/>
              <w:rPr>
                <w:rFonts w:ascii="Arial" w:hAnsi="Arial" w:cs="Arial"/>
              </w:rPr>
            </w:pPr>
            <w:r>
              <w:rPr>
                <w:rFonts w:ascii="Arial" w:hAnsi="Arial" w:cs="Arial"/>
              </w:rPr>
              <w:t>Decontamination</w:t>
            </w:r>
          </w:p>
        </w:tc>
        <w:tc>
          <w:tcPr>
            <w:tcW w:w="1375" w:type="dxa"/>
          </w:tcPr>
          <w:p w14:paraId="1E2CE065" w14:textId="092B4F4B" w:rsidR="00FA71EF" w:rsidRPr="008E4A31" w:rsidRDefault="00D41B08" w:rsidP="00FA71EF">
            <w:pPr>
              <w:spacing w:before="120" w:after="120"/>
              <w:jc w:val="both"/>
              <w:rPr>
                <w:rFonts w:ascii="Arial" w:hAnsi="Arial" w:cs="Arial"/>
              </w:rPr>
            </w:pPr>
            <w:r>
              <w:rPr>
                <w:rFonts w:ascii="Arial" w:hAnsi="Arial" w:cs="Arial"/>
              </w:rPr>
              <w:t>2</w:t>
            </w:r>
            <w:r w:rsidR="00616934">
              <w:rPr>
                <w:rFonts w:ascii="Arial" w:hAnsi="Arial" w:cs="Arial"/>
              </w:rPr>
              <w:t>3</w:t>
            </w:r>
          </w:p>
        </w:tc>
      </w:tr>
      <w:tr w:rsidR="008948E0" w:rsidRPr="008E4A31" w14:paraId="7660FE4C" w14:textId="77777777" w:rsidTr="00FA71EF">
        <w:tc>
          <w:tcPr>
            <w:tcW w:w="704" w:type="dxa"/>
          </w:tcPr>
          <w:p w14:paraId="137C521C" w14:textId="22E890FB" w:rsidR="008948E0" w:rsidRPr="008E4A31" w:rsidRDefault="008948E0" w:rsidP="00FA71EF">
            <w:pPr>
              <w:spacing w:before="120" w:after="120"/>
              <w:jc w:val="both"/>
              <w:rPr>
                <w:rFonts w:ascii="Arial" w:hAnsi="Arial" w:cs="Arial"/>
              </w:rPr>
            </w:pPr>
            <w:r>
              <w:rPr>
                <w:rFonts w:ascii="Arial" w:hAnsi="Arial" w:cs="Arial"/>
              </w:rPr>
              <w:t>13</w:t>
            </w:r>
          </w:p>
        </w:tc>
        <w:tc>
          <w:tcPr>
            <w:tcW w:w="7513" w:type="dxa"/>
          </w:tcPr>
          <w:p w14:paraId="2366CB00" w14:textId="2362895A" w:rsidR="008948E0" w:rsidRPr="008E4A31" w:rsidRDefault="008948E0" w:rsidP="00FA71EF">
            <w:pPr>
              <w:spacing w:before="120" w:after="120"/>
              <w:jc w:val="both"/>
              <w:rPr>
                <w:rFonts w:ascii="Arial" w:hAnsi="Arial" w:cs="Arial"/>
              </w:rPr>
            </w:pPr>
            <w:r>
              <w:rPr>
                <w:rFonts w:ascii="Arial" w:hAnsi="Arial" w:cs="Arial"/>
              </w:rPr>
              <w:t xml:space="preserve">Surgical Site Infection Surveillance </w:t>
            </w:r>
          </w:p>
        </w:tc>
        <w:tc>
          <w:tcPr>
            <w:tcW w:w="1375" w:type="dxa"/>
          </w:tcPr>
          <w:p w14:paraId="398675C6" w14:textId="1D6FE626" w:rsidR="008948E0" w:rsidRPr="008E4A31" w:rsidRDefault="00D41B08" w:rsidP="00FA71EF">
            <w:pPr>
              <w:spacing w:before="120" w:after="120"/>
              <w:jc w:val="both"/>
              <w:rPr>
                <w:rFonts w:ascii="Arial" w:hAnsi="Arial" w:cs="Arial"/>
              </w:rPr>
            </w:pPr>
            <w:r>
              <w:rPr>
                <w:rFonts w:ascii="Arial" w:hAnsi="Arial" w:cs="Arial"/>
              </w:rPr>
              <w:t>2</w:t>
            </w:r>
            <w:r w:rsidR="00616934">
              <w:rPr>
                <w:rFonts w:ascii="Arial" w:hAnsi="Arial" w:cs="Arial"/>
              </w:rPr>
              <w:t>3</w:t>
            </w:r>
          </w:p>
        </w:tc>
      </w:tr>
      <w:tr w:rsidR="00FA71EF" w:rsidRPr="008E4A31" w14:paraId="216E5AF5" w14:textId="77777777" w:rsidTr="00FA71EF">
        <w:tc>
          <w:tcPr>
            <w:tcW w:w="704" w:type="dxa"/>
          </w:tcPr>
          <w:p w14:paraId="36F5F900" w14:textId="7127B24F" w:rsidR="00FA71EF" w:rsidRPr="008E4A31" w:rsidRDefault="00A10A02" w:rsidP="00FA71EF">
            <w:pPr>
              <w:spacing w:before="120" w:after="120"/>
              <w:jc w:val="both"/>
              <w:rPr>
                <w:rFonts w:ascii="Arial" w:hAnsi="Arial" w:cs="Arial"/>
              </w:rPr>
            </w:pPr>
            <w:r>
              <w:rPr>
                <w:rFonts w:ascii="Arial" w:hAnsi="Arial" w:cs="Arial"/>
              </w:rPr>
              <w:t>14</w:t>
            </w:r>
            <w:r w:rsidR="00FA71EF" w:rsidRPr="008E4A31">
              <w:rPr>
                <w:rFonts w:ascii="Arial" w:hAnsi="Arial" w:cs="Arial"/>
              </w:rPr>
              <w:t>.</w:t>
            </w:r>
          </w:p>
        </w:tc>
        <w:tc>
          <w:tcPr>
            <w:tcW w:w="7513" w:type="dxa"/>
          </w:tcPr>
          <w:p w14:paraId="155E3E35" w14:textId="3236B59D" w:rsidR="00FA71EF" w:rsidRPr="008E4A31" w:rsidRDefault="00A10A02" w:rsidP="00FA71EF">
            <w:pPr>
              <w:spacing w:before="120" w:after="120"/>
              <w:jc w:val="both"/>
              <w:rPr>
                <w:rFonts w:ascii="Arial" w:hAnsi="Arial" w:cs="Arial"/>
              </w:rPr>
            </w:pPr>
            <w:r>
              <w:rPr>
                <w:rFonts w:ascii="Arial" w:hAnsi="Arial" w:cs="Arial"/>
              </w:rPr>
              <w:t>Conclusion</w:t>
            </w:r>
          </w:p>
        </w:tc>
        <w:tc>
          <w:tcPr>
            <w:tcW w:w="1375" w:type="dxa"/>
          </w:tcPr>
          <w:p w14:paraId="5B853C7C" w14:textId="027E9F87" w:rsidR="00FA71EF" w:rsidRPr="008E4A31" w:rsidRDefault="00D41B08" w:rsidP="00FA71EF">
            <w:pPr>
              <w:spacing w:before="120" w:after="120"/>
              <w:jc w:val="both"/>
              <w:rPr>
                <w:rFonts w:ascii="Arial" w:hAnsi="Arial" w:cs="Arial"/>
              </w:rPr>
            </w:pPr>
            <w:r>
              <w:rPr>
                <w:rFonts w:ascii="Arial" w:hAnsi="Arial" w:cs="Arial"/>
              </w:rPr>
              <w:t>2</w:t>
            </w:r>
            <w:r w:rsidR="00616934">
              <w:rPr>
                <w:rFonts w:ascii="Arial" w:hAnsi="Arial" w:cs="Arial"/>
              </w:rPr>
              <w:t>5</w:t>
            </w:r>
          </w:p>
        </w:tc>
      </w:tr>
      <w:tr w:rsidR="00FA71EF" w:rsidRPr="008E4A31" w14:paraId="7ABA0FDA" w14:textId="77777777" w:rsidTr="00FA71EF">
        <w:tc>
          <w:tcPr>
            <w:tcW w:w="704" w:type="dxa"/>
          </w:tcPr>
          <w:p w14:paraId="58366D52" w14:textId="1DD9C4C3" w:rsidR="00FA71EF" w:rsidRPr="008E4A31" w:rsidRDefault="00FA71EF" w:rsidP="00FA71EF">
            <w:pPr>
              <w:spacing w:before="120" w:after="120"/>
              <w:jc w:val="both"/>
              <w:rPr>
                <w:rFonts w:ascii="Arial" w:hAnsi="Arial" w:cs="Arial"/>
              </w:rPr>
            </w:pPr>
          </w:p>
        </w:tc>
        <w:tc>
          <w:tcPr>
            <w:tcW w:w="7513" w:type="dxa"/>
          </w:tcPr>
          <w:p w14:paraId="3B0CD01C" w14:textId="50FC9AA9" w:rsidR="00FA71EF" w:rsidRPr="008E4A31" w:rsidRDefault="00FA71EF" w:rsidP="00FA71EF">
            <w:pPr>
              <w:spacing w:before="120" w:after="120"/>
              <w:jc w:val="both"/>
              <w:rPr>
                <w:rFonts w:ascii="Arial" w:hAnsi="Arial" w:cs="Arial"/>
              </w:rPr>
            </w:pPr>
          </w:p>
        </w:tc>
        <w:tc>
          <w:tcPr>
            <w:tcW w:w="1375" w:type="dxa"/>
          </w:tcPr>
          <w:p w14:paraId="75989C88" w14:textId="05C6272E" w:rsidR="00FA71EF" w:rsidRPr="008E4A31" w:rsidRDefault="00FA71EF" w:rsidP="00FA71EF">
            <w:pPr>
              <w:spacing w:before="120" w:after="120"/>
              <w:jc w:val="both"/>
              <w:rPr>
                <w:rFonts w:ascii="Arial" w:hAnsi="Arial" w:cs="Arial"/>
              </w:rPr>
            </w:pPr>
          </w:p>
        </w:tc>
      </w:tr>
    </w:tbl>
    <w:p w14:paraId="2B23A721" w14:textId="77777777" w:rsidR="00875201" w:rsidRPr="008E4A31" w:rsidRDefault="00875201" w:rsidP="00C752D3">
      <w:pPr>
        <w:jc w:val="both"/>
        <w:rPr>
          <w:rFonts w:ascii="Arial" w:hAnsi="Arial" w:cs="Arial"/>
          <w:b/>
        </w:rPr>
      </w:pPr>
    </w:p>
    <w:p w14:paraId="6C84E1F7" w14:textId="21FC9F0F" w:rsidR="00D15A49" w:rsidRPr="008E4A31" w:rsidRDefault="00D15A49" w:rsidP="00D15A49">
      <w:pPr>
        <w:jc w:val="both"/>
        <w:rPr>
          <w:rFonts w:ascii="Arial" w:hAnsi="Arial" w:cs="Arial"/>
          <w:b/>
        </w:rPr>
      </w:pPr>
    </w:p>
    <w:p w14:paraId="0F6CEF26" w14:textId="0CB15A2E" w:rsidR="00875201" w:rsidRPr="008E4A31" w:rsidRDefault="00D15A49" w:rsidP="004F5B58">
      <w:pPr>
        <w:suppressAutoHyphens w:val="0"/>
        <w:autoSpaceDN/>
        <w:textAlignment w:val="auto"/>
        <w:rPr>
          <w:rFonts w:ascii="Arial" w:hAnsi="Arial" w:cs="Arial"/>
          <w:b/>
        </w:rPr>
      </w:pPr>
      <w:r w:rsidRPr="008E4A31">
        <w:rPr>
          <w:rFonts w:ascii="Arial" w:hAnsi="Arial" w:cs="Arial"/>
          <w:b/>
        </w:rPr>
        <w:br w:type="page"/>
      </w:r>
    </w:p>
    <w:p w14:paraId="3286839A" w14:textId="5E607ABE" w:rsidR="00875201" w:rsidRPr="008E4A31" w:rsidRDefault="004F5B58" w:rsidP="004F5B58">
      <w:pPr>
        <w:pStyle w:val="Heading2"/>
      </w:pPr>
      <w:bookmarkStart w:id="2" w:name="Introduction"/>
      <w:bookmarkEnd w:id="2"/>
      <w:r>
        <w:lastRenderedPageBreak/>
        <w:t xml:space="preserve">1. </w:t>
      </w:r>
      <w:r w:rsidR="005651BB" w:rsidRPr="008E4A31">
        <w:t>Introduction</w:t>
      </w:r>
    </w:p>
    <w:p w14:paraId="6D7384DB" w14:textId="77777777" w:rsidR="00875201" w:rsidRPr="008E4A31" w:rsidRDefault="00875201" w:rsidP="00C752D3">
      <w:pPr>
        <w:pStyle w:val="ListParagraph"/>
        <w:jc w:val="both"/>
        <w:rPr>
          <w:rFonts w:ascii="Arial" w:hAnsi="Arial" w:cs="Arial"/>
          <w:b/>
        </w:rPr>
      </w:pPr>
    </w:p>
    <w:p w14:paraId="2F0D34A2" w14:textId="5DE24749" w:rsidR="00D20201" w:rsidRDefault="006C6DC8" w:rsidP="00411085">
      <w:pPr>
        <w:jc w:val="both"/>
        <w:rPr>
          <w:rFonts w:ascii="Arial" w:hAnsi="Arial" w:cs="Arial"/>
        </w:rPr>
      </w:pPr>
      <w:r w:rsidRPr="008E4A31">
        <w:rPr>
          <w:rFonts w:ascii="Arial" w:hAnsi="Arial" w:cs="Arial"/>
        </w:rPr>
        <w:t>The Director of Infection Prevention and Control (D</w:t>
      </w:r>
      <w:r w:rsidR="00346015" w:rsidRPr="008E4A31">
        <w:rPr>
          <w:rFonts w:ascii="Arial" w:hAnsi="Arial" w:cs="Arial"/>
        </w:rPr>
        <w:t>IPC</w:t>
      </w:r>
      <w:r w:rsidRPr="008E4A31">
        <w:rPr>
          <w:rFonts w:ascii="Arial" w:hAnsi="Arial" w:cs="Arial"/>
        </w:rPr>
        <w:t xml:space="preserve">) is required to produce an Annual Report on the state of healthcare associated infection (HCAI) in the organisation for which s/he is responsible and release it publicly according to the </w:t>
      </w:r>
      <w:r w:rsidRPr="008E4A31">
        <w:rPr>
          <w:rFonts w:ascii="Arial" w:hAnsi="Arial" w:cs="Arial"/>
          <w:i/>
        </w:rPr>
        <w:t xml:space="preserve">Code of Practice on the prevention and control of infections and related guidance </w:t>
      </w:r>
      <w:r w:rsidRPr="008E4A31">
        <w:rPr>
          <w:rFonts w:ascii="Arial" w:hAnsi="Arial" w:cs="Arial"/>
        </w:rPr>
        <w:t xml:space="preserve">(The Health and Social Care Act 2008).  </w:t>
      </w:r>
      <w:r w:rsidR="00D20201">
        <w:rPr>
          <w:rFonts w:ascii="Arial" w:hAnsi="Arial" w:cs="Arial"/>
        </w:rPr>
        <w:t>The Annual Report is aligned to the ten compliance criteria as outlined in the Code of Practice.</w:t>
      </w:r>
      <w:r w:rsidR="00482B67">
        <w:rPr>
          <w:rFonts w:ascii="Arial" w:hAnsi="Arial" w:cs="Arial"/>
        </w:rPr>
        <w:t xml:space="preserve">  </w:t>
      </w:r>
      <w:r w:rsidR="00482B67" w:rsidRPr="008E4A31">
        <w:rPr>
          <w:rFonts w:ascii="Arial" w:hAnsi="Arial" w:cs="Arial"/>
        </w:rPr>
        <w:t xml:space="preserve">This report covers the period from </w:t>
      </w:r>
      <w:r w:rsidR="00482B67">
        <w:rPr>
          <w:rFonts w:ascii="Arial" w:hAnsi="Arial" w:cs="Arial"/>
        </w:rPr>
        <w:t xml:space="preserve">1 </w:t>
      </w:r>
      <w:r w:rsidR="00482B67" w:rsidRPr="008E4A31">
        <w:rPr>
          <w:rFonts w:ascii="Arial" w:hAnsi="Arial" w:cs="Arial"/>
        </w:rPr>
        <w:t>April 202</w:t>
      </w:r>
      <w:r w:rsidR="00482B67">
        <w:rPr>
          <w:rFonts w:ascii="Arial" w:hAnsi="Arial" w:cs="Arial"/>
        </w:rPr>
        <w:t>4 to 31</w:t>
      </w:r>
      <w:r w:rsidR="00482B67" w:rsidRPr="008E4A31">
        <w:rPr>
          <w:rFonts w:ascii="Arial" w:hAnsi="Arial" w:cs="Arial"/>
        </w:rPr>
        <w:t xml:space="preserve"> March 202</w:t>
      </w:r>
      <w:r w:rsidR="00482B67">
        <w:rPr>
          <w:rFonts w:ascii="Arial" w:hAnsi="Arial" w:cs="Arial"/>
        </w:rPr>
        <w:t>5</w:t>
      </w:r>
      <w:r w:rsidR="00482B67" w:rsidRPr="008E4A31">
        <w:rPr>
          <w:rFonts w:ascii="Arial" w:hAnsi="Arial" w:cs="Arial"/>
        </w:rPr>
        <w:t>.</w:t>
      </w:r>
    </w:p>
    <w:p w14:paraId="0F053742" w14:textId="77777777" w:rsidR="00D20201" w:rsidRDefault="00D20201" w:rsidP="00411085">
      <w:pPr>
        <w:jc w:val="both"/>
        <w:rPr>
          <w:rFonts w:ascii="Arial" w:hAnsi="Arial" w:cs="Arial"/>
        </w:rPr>
      </w:pPr>
    </w:p>
    <w:p w14:paraId="2C4B6FF1" w14:textId="0E391BE2" w:rsidR="00D20201" w:rsidRDefault="006C6DC8" w:rsidP="00411085">
      <w:pPr>
        <w:jc w:val="both"/>
        <w:rPr>
          <w:rFonts w:ascii="Arial" w:hAnsi="Arial" w:cs="Arial"/>
        </w:rPr>
      </w:pPr>
      <w:r w:rsidRPr="008E4A31">
        <w:rPr>
          <w:rFonts w:ascii="Arial" w:hAnsi="Arial" w:cs="Arial"/>
        </w:rPr>
        <w:t>The Annual Report is produced for the Chief Executive and Trust Board of Directors</w:t>
      </w:r>
      <w:r w:rsidR="003C2CA2">
        <w:rPr>
          <w:rFonts w:ascii="Arial" w:hAnsi="Arial" w:cs="Arial"/>
        </w:rPr>
        <w:t>,</w:t>
      </w:r>
      <w:r w:rsidRPr="008E4A31">
        <w:rPr>
          <w:rFonts w:ascii="Arial" w:hAnsi="Arial" w:cs="Arial"/>
        </w:rPr>
        <w:t xml:space="preserve"> and describes </w:t>
      </w:r>
      <w:r w:rsidR="00567A7A">
        <w:rPr>
          <w:rFonts w:ascii="Arial" w:hAnsi="Arial" w:cs="Arial"/>
        </w:rPr>
        <w:t>infection prevention and c</w:t>
      </w:r>
      <w:r w:rsidR="00C752D3" w:rsidRPr="008E4A31">
        <w:rPr>
          <w:rFonts w:ascii="Arial" w:hAnsi="Arial" w:cs="Arial"/>
        </w:rPr>
        <w:t xml:space="preserve">ontrol </w:t>
      </w:r>
      <w:r w:rsidRPr="008E4A31">
        <w:rPr>
          <w:rFonts w:ascii="Arial" w:hAnsi="Arial" w:cs="Arial"/>
        </w:rPr>
        <w:t>activity during the year, including progress made against the work plan an</w:t>
      </w:r>
      <w:r w:rsidR="00567A7A">
        <w:rPr>
          <w:rFonts w:ascii="Arial" w:hAnsi="Arial" w:cs="Arial"/>
        </w:rPr>
        <w:t>d objectives identified in the infection prevention and control annual p</w:t>
      </w:r>
      <w:r w:rsidRPr="008E4A31">
        <w:rPr>
          <w:rFonts w:ascii="Arial" w:hAnsi="Arial" w:cs="Arial"/>
        </w:rPr>
        <w:t>rogramme</w:t>
      </w:r>
      <w:r w:rsidR="009877D6">
        <w:rPr>
          <w:rFonts w:ascii="Arial" w:hAnsi="Arial" w:cs="Arial"/>
        </w:rPr>
        <w:t>,</w:t>
      </w:r>
      <w:r w:rsidR="00C752D3" w:rsidRPr="008E4A31">
        <w:rPr>
          <w:rFonts w:ascii="Arial" w:hAnsi="Arial" w:cs="Arial"/>
        </w:rPr>
        <w:t xml:space="preserve"> and against any external objectives</w:t>
      </w:r>
      <w:r w:rsidRPr="008E4A31">
        <w:rPr>
          <w:rFonts w:ascii="Arial" w:hAnsi="Arial" w:cs="Arial"/>
        </w:rPr>
        <w:t>.</w:t>
      </w:r>
    </w:p>
    <w:p w14:paraId="31DAD323" w14:textId="77777777" w:rsidR="00D20201" w:rsidRDefault="00D20201" w:rsidP="00411085">
      <w:pPr>
        <w:jc w:val="both"/>
        <w:rPr>
          <w:rFonts w:ascii="Arial" w:hAnsi="Arial" w:cs="Arial"/>
        </w:rPr>
      </w:pPr>
    </w:p>
    <w:p w14:paraId="7BCD9DA7" w14:textId="011EA739" w:rsidR="00875201" w:rsidRPr="008E4A31" w:rsidRDefault="00582203" w:rsidP="00616934">
      <w:pPr>
        <w:jc w:val="both"/>
        <w:rPr>
          <w:rFonts w:ascii="Arial" w:hAnsi="Arial" w:cs="Arial"/>
        </w:rPr>
      </w:pPr>
      <w:r>
        <w:rPr>
          <w:rFonts w:ascii="Arial" w:hAnsi="Arial" w:cs="Arial"/>
        </w:rPr>
        <w:t xml:space="preserve">Healthcare associated infections (HCAIs) can cause harm, and can lead to suboptimal patient experiences.  </w:t>
      </w:r>
      <w:r w:rsidR="00D20201">
        <w:rPr>
          <w:rFonts w:ascii="Arial" w:hAnsi="Arial" w:cs="Arial"/>
        </w:rPr>
        <w:t>This report also provides assurance to patients, public and all staff of the work undertaken throughout the year, including celebrating the successes and highlighting the challenges.</w:t>
      </w:r>
    </w:p>
    <w:p w14:paraId="508015A3" w14:textId="77777777" w:rsidR="00D93345" w:rsidRPr="008E4A31" w:rsidRDefault="00D93345" w:rsidP="006F132A">
      <w:pPr>
        <w:pStyle w:val="ListParagraph"/>
        <w:numPr>
          <w:ilvl w:val="0"/>
          <w:numId w:val="2"/>
        </w:numPr>
        <w:rPr>
          <w:rFonts w:ascii="Arial" w:hAnsi="Arial" w:cs="Arial"/>
          <w:b/>
          <w:vanish/>
        </w:rPr>
      </w:pPr>
      <w:bookmarkStart w:id="3" w:name="Annual_Programme"/>
      <w:bookmarkEnd w:id="3"/>
    </w:p>
    <w:p w14:paraId="1A260B9A" w14:textId="23FE821F" w:rsidR="00875201" w:rsidRPr="008E4A31" w:rsidRDefault="004F5B58" w:rsidP="004F5B58">
      <w:pPr>
        <w:pStyle w:val="Heading2"/>
      </w:pPr>
      <w:r>
        <w:t xml:space="preserve">2. </w:t>
      </w:r>
      <w:r w:rsidR="00E331BC">
        <w:t>Executive Summary – T</w:t>
      </w:r>
      <w:r w:rsidR="00C752D3" w:rsidRPr="008E4A31">
        <w:t>he Year 202</w:t>
      </w:r>
      <w:r w:rsidR="009877D6">
        <w:t>4</w:t>
      </w:r>
      <w:r w:rsidR="00E331BC">
        <w:t>/</w:t>
      </w:r>
      <w:r w:rsidR="00C752D3" w:rsidRPr="008E4A31">
        <w:t>202</w:t>
      </w:r>
      <w:r w:rsidR="009877D6">
        <w:t>5</w:t>
      </w:r>
      <w:r w:rsidR="00C752D3" w:rsidRPr="008E4A31">
        <w:t xml:space="preserve"> </w:t>
      </w:r>
    </w:p>
    <w:p w14:paraId="6935DB5B" w14:textId="3412521D" w:rsidR="00C752D3" w:rsidRPr="008E4A31" w:rsidRDefault="00C752D3" w:rsidP="006F132A">
      <w:pPr>
        <w:rPr>
          <w:rFonts w:ascii="Arial" w:hAnsi="Arial" w:cs="Arial"/>
          <w:b/>
        </w:rPr>
      </w:pPr>
    </w:p>
    <w:p w14:paraId="4CEF89E0" w14:textId="4202252F" w:rsidR="009877D6" w:rsidRDefault="00482B67" w:rsidP="00411085">
      <w:pPr>
        <w:jc w:val="both"/>
        <w:rPr>
          <w:rFonts w:ascii="Arial" w:hAnsi="Arial" w:cs="Arial"/>
        </w:rPr>
      </w:pPr>
      <w:r>
        <w:rPr>
          <w:rFonts w:ascii="Arial" w:hAnsi="Arial" w:cs="Arial"/>
        </w:rPr>
        <w:t>The Chief Nursing and Midwifery Officer is the accountable board member for infection prevention and control</w:t>
      </w:r>
      <w:r w:rsidR="00293AA8">
        <w:rPr>
          <w:rFonts w:ascii="Arial" w:hAnsi="Arial" w:cs="Arial"/>
        </w:rPr>
        <w:t xml:space="preserve"> (IPC)</w:t>
      </w:r>
      <w:r>
        <w:rPr>
          <w:rFonts w:ascii="Arial" w:hAnsi="Arial" w:cs="Arial"/>
        </w:rPr>
        <w:t>, and undertakes the role of Director of</w:t>
      </w:r>
      <w:r w:rsidR="00293AA8">
        <w:rPr>
          <w:rFonts w:ascii="Arial" w:hAnsi="Arial" w:cs="Arial"/>
        </w:rPr>
        <w:t xml:space="preserve"> Infection Prevention and Control (DIPC).  The Trust also has a deputy DIPC who is responsible for managing the IPC team across all hospital sites.</w:t>
      </w:r>
    </w:p>
    <w:p w14:paraId="675962CD" w14:textId="40361620" w:rsidR="00FD3BC4" w:rsidRDefault="00FD3BC4" w:rsidP="00411085">
      <w:pPr>
        <w:jc w:val="both"/>
        <w:rPr>
          <w:rFonts w:ascii="Arial" w:hAnsi="Arial" w:cs="Arial"/>
        </w:rPr>
      </w:pPr>
    </w:p>
    <w:p w14:paraId="75FBA94F" w14:textId="186CC44C" w:rsidR="00FD3BC4" w:rsidRDefault="00FD3BC4" w:rsidP="00411085">
      <w:pPr>
        <w:jc w:val="both"/>
        <w:rPr>
          <w:rFonts w:ascii="Arial" w:hAnsi="Arial" w:cs="Arial"/>
        </w:rPr>
      </w:pPr>
      <w:r w:rsidRPr="00FD3BC4">
        <w:rPr>
          <w:rFonts w:ascii="Arial" w:hAnsi="Arial" w:cs="Arial"/>
        </w:rPr>
        <w:t xml:space="preserve">The </w:t>
      </w:r>
      <w:r>
        <w:rPr>
          <w:rFonts w:ascii="Arial" w:hAnsi="Arial" w:cs="Arial"/>
        </w:rPr>
        <w:t>DIPC</w:t>
      </w:r>
      <w:r w:rsidRPr="00FD3BC4">
        <w:rPr>
          <w:rFonts w:ascii="Arial" w:hAnsi="Arial" w:cs="Arial"/>
        </w:rPr>
        <w:t xml:space="preserve"> continued to report to the Quality and Safety Committee and periodically to the Trust Board on the status of infection prevention and control throughout this reporting year, and presented the updated ‘infection prevention and control board assurance framework’ and associated work</w:t>
      </w:r>
      <w:r w:rsidR="00670F37">
        <w:rPr>
          <w:rFonts w:ascii="Arial" w:hAnsi="Arial" w:cs="Arial"/>
        </w:rPr>
        <w:t xml:space="preserve"> </w:t>
      </w:r>
      <w:r w:rsidRPr="00FD3BC4">
        <w:rPr>
          <w:rFonts w:ascii="Arial" w:hAnsi="Arial" w:cs="Arial"/>
        </w:rPr>
        <w:t>streams.</w:t>
      </w:r>
    </w:p>
    <w:p w14:paraId="677BC1F6" w14:textId="0AED4537" w:rsidR="00EE0C0B" w:rsidRDefault="00EE0C0B" w:rsidP="00411085">
      <w:pPr>
        <w:jc w:val="both"/>
        <w:rPr>
          <w:rFonts w:ascii="Arial" w:hAnsi="Arial" w:cs="Arial"/>
        </w:rPr>
      </w:pPr>
    </w:p>
    <w:p w14:paraId="4B84F378" w14:textId="3CBBB466" w:rsidR="00EE0C0B" w:rsidRDefault="00EE0C0B" w:rsidP="00411085">
      <w:pPr>
        <w:jc w:val="both"/>
        <w:rPr>
          <w:rFonts w:ascii="Arial" w:hAnsi="Arial" w:cs="Arial"/>
        </w:rPr>
      </w:pPr>
      <w:r>
        <w:rPr>
          <w:rFonts w:ascii="Arial" w:hAnsi="Arial" w:cs="Arial"/>
        </w:rPr>
        <w:t xml:space="preserve">The IPC and Antimicrobial </w:t>
      </w:r>
      <w:r w:rsidR="007F2F35">
        <w:rPr>
          <w:rFonts w:ascii="Arial" w:hAnsi="Arial" w:cs="Arial"/>
        </w:rPr>
        <w:t>Stewardship</w:t>
      </w:r>
      <w:r>
        <w:rPr>
          <w:rFonts w:ascii="Arial" w:hAnsi="Arial" w:cs="Arial"/>
        </w:rPr>
        <w:t xml:space="preserve"> Committee (IPCAM</w:t>
      </w:r>
      <w:r w:rsidR="007F2F35">
        <w:rPr>
          <w:rFonts w:ascii="Arial" w:hAnsi="Arial" w:cs="Arial"/>
        </w:rPr>
        <w:t>S</w:t>
      </w:r>
      <w:r>
        <w:rPr>
          <w:rFonts w:ascii="Arial" w:hAnsi="Arial" w:cs="Arial"/>
        </w:rPr>
        <w:t>) has a function to fulfil the requirements of the statutory IPC obligations, and formally reports to the Quality and Safety Committee.</w:t>
      </w:r>
    </w:p>
    <w:p w14:paraId="5B298616" w14:textId="77777777" w:rsidR="00EE0C0B" w:rsidRDefault="00EE0C0B" w:rsidP="00411085">
      <w:pPr>
        <w:jc w:val="both"/>
        <w:rPr>
          <w:rFonts w:ascii="Arial" w:hAnsi="Arial" w:cs="Arial"/>
        </w:rPr>
      </w:pPr>
    </w:p>
    <w:p w14:paraId="29F003EB" w14:textId="2482E902" w:rsidR="00A974DB" w:rsidRDefault="00EE0C0B" w:rsidP="00411085">
      <w:pPr>
        <w:jc w:val="both"/>
        <w:rPr>
          <w:rFonts w:ascii="Arial" w:hAnsi="Arial" w:cs="Arial"/>
        </w:rPr>
      </w:pPr>
      <w:r>
        <w:rPr>
          <w:rFonts w:ascii="Arial" w:hAnsi="Arial" w:cs="Arial"/>
        </w:rPr>
        <w:t xml:space="preserve">Overall, 2024/2025 was extremely busy with a wide variety of IPC activity, </w:t>
      </w:r>
      <w:r w:rsidR="003E67AD">
        <w:rPr>
          <w:rFonts w:ascii="Arial" w:hAnsi="Arial" w:cs="Arial"/>
        </w:rPr>
        <w:t xml:space="preserve">in </w:t>
      </w:r>
      <w:r>
        <w:rPr>
          <w:rFonts w:ascii="Arial" w:hAnsi="Arial" w:cs="Arial"/>
        </w:rPr>
        <w:t xml:space="preserve">meeting key standards and regulatory requirements.  Below is a summary of activity and </w:t>
      </w:r>
      <w:r w:rsidR="007F2F35">
        <w:rPr>
          <w:rFonts w:ascii="Arial" w:hAnsi="Arial" w:cs="Arial"/>
        </w:rPr>
        <w:t>achievements</w:t>
      </w:r>
      <w:r>
        <w:rPr>
          <w:rFonts w:ascii="Arial" w:hAnsi="Arial" w:cs="Arial"/>
        </w:rPr>
        <w:t>:</w:t>
      </w:r>
    </w:p>
    <w:p w14:paraId="60E4D433" w14:textId="77777777" w:rsidR="006A7BAB" w:rsidRDefault="006A7BAB" w:rsidP="00411085">
      <w:pPr>
        <w:jc w:val="both"/>
        <w:rPr>
          <w:rFonts w:ascii="Arial" w:hAnsi="Arial" w:cs="Arial"/>
        </w:rPr>
      </w:pPr>
    </w:p>
    <w:p w14:paraId="1B61443E" w14:textId="02529470" w:rsidR="006A7BAB" w:rsidRDefault="006A7BAB" w:rsidP="00641C3A">
      <w:pPr>
        <w:pStyle w:val="ListParagraph"/>
        <w:numPr>
          <w:ilvl w:val="0"/>
          <w:numId w:val="18"/>
        </w:numPr>
        <w:rPr>
          <w:rFonts w:ascii="Arial" w:hAnsi="Arial" w:cs="Arial"/>
        </w:rPr>
      </w:pPr>
      <w:r>
        <w:rPr>
          <w:rFonts w:ascii="Arial" w:hAnsi="Arial" w:cs="Arial"/>
        </w:rPr>
        <w:t xml:space="preserve">Reduction in </w:t>
      </w:r>
      <w:r w:rsidR="00641C3A">
        <w:rPr>
          <w:rFonts w:ascii="Arial" w:hAnsi="Arial" w:cs="Arial"/>
        </w:rPr>
        <w:t>healthcare</w:t>
      </w:r>
      <w:r>
        <w:rPr>
          <w:rFonts w:ascii="Arial" w:hAnsi="Arial" w:cs="Arial"/>
        </w:rPr>
        <w:t xml:space="preserve"> associated </w:t>
      </w:r>
      <w:r>
        <w:rPr>
          <w:rFonts w:ascii="Arial" w:hAnsi="Arial" w:cs="Arial"/>
          <w:i/>
        </w:rPr>
        <w:t xml:space="preserve">Clostridioides difficile (C. diff) </w:t>
      </w:r>
      <w:r>
        <w:rPr>
          <w:rFonts w:ascii="Arial" w:hAnsi="Arial" w:cs="Arial"/>
        </w:rPr>
        <w:t xml:space="preserve">infections </w:t>
      </w:r>
      <w:r w:rsidR="00641C3A">
        <w:rPr>
          <w:rFonts w:ascii="Arial" w:hAnsi="Arial" w:cs="Arial"/>
        </w:rPr>
        <w:t>with 10</w:t>
      </w:r>
      <w:r w:rsidR="00625FAC">
        <w:rPr>
          <w:rFonts w:ascii="Arial" w:hAnsi="Arial" w:cs="Arial"/>
        </w:rPr>
        <w:t>5</w:t>
      </w:r>
      <w:r w:rsidR="00641C3A">
        <w:rPr>
          <w:rFonts w:ascii="Arial" w:hAnsi="Arial" w:cs="Arial"/>
        </w:rPr>
        <w:t xml:space="preserve"> c</w:t>
      </w:r>
      <w:r w:rsidR="00340749">
        <w:rPr>
          <w:rFonts w:ascii="Arial" w:hAnsi="Arial" w:cs="Arial"/>
        </w:rPr>
        <w:t>ases against a threshold of 145.</w:t>
      </w:r>
    </w:p>
    <w:p w14:paraId="7AC04116" w14:textId="67F9BB7A" w:rsidR="00641C3A" w:rsidRDefault="00641C3A" w:rsidP="00641C3A">
      <w:pPr>
        <w:pStyle w:val="ListParagraph"/>
        <w:numPr>
          <w:ilvl w:val="0"/>
          <w:numId w:val="18"/>
        </w:numPr>
        <w:rPr>
          <w:rFonts w:ascii="Arial" w:hAnsi="Arial" w:cs="Arial"/>
        </w:rPr>
      </w:pPr>
      <w:r>
        <w:rPr>
          <w:rFonts w:ascii="Arial" w:hAnsi="Arial" w:cs="Arial"/>
        </w:rPr>
        <w:t>Reduction in E. coli healthcare associated infections with 147 cases against a threshold of 160.</w:t>
      </w:r>
    </w:p>
    <w:p w14:paraId="729A1D12" w14:textId="45CD8524" w:rsidR="00641C3A" w:rsidRDefault="00641C3A" w:rsidP="00641C3A">
      <w:pPr>
        <w:pStyle w:val="ListParagraph"/>
        <w:numPr>
          <w:ilvl w:val="0"/>
          <w:numId w:val="18"/>
        </w:numPr>
        <w:rPr>
          <w:rFonts w:ascii="Arial" w:hAnsi="Arial" w:cs="Arial"/>
        </w:rPr>
      </w:pPr>
      <w:r>
        <w:rPr>
          <w:rFonts w:ascii="Arial" w:hAnsi="Arial" w:cs="Arial"/>
        </w:rPr>
        <w:t>2 MRSA bacteraemia reported for this period which was a 75% reduction from the previous year.  MRSA bacteraemia has no threshold with a ‘</w:t>
      </w:r>
      <w:r w:rsidR="00E24328">
        <w:rPr>
          <w:rFonts w:ascii="Arial" w:hAnsi="Arial" w:cs="Arial"/>
        </w:rPr>
        <w:t>Z</w:t>
      </w:r>
      <w:r>
        <w:rPr>
          <w:rFonts w:ascii="Arial" w:hAnsi="Arial" w:cs="Arial"/>
        </w:rPr>
        <w:t xml:space="preserve">ero </w:t>
      </w:r>
      <w:r w:rsidR="00E24328">
        <w:rPr>
          <w:rFonts w:ascii="Arial" w:hAnsi="Arial" w:cs="Arial"/>
        </w:rPr>
        <w:t>T</w:t>
      </w:r>
      <w:r>
        <w:rPr>
          <w:rFonts w:ascii="Arial" w:hAnsi="Arial" w:cs="Arial"/>
        </w:rPr>
        <w:t>olerance’.</w:t>
      </w:r>
    </w:p>
    <w:p w14:paraId="5094EC36" w14:textId="492FBBAF" w:rsidR="00AC44B5" w:rsidRDefault="00AC44B5" w:rsidP="00D06F5F">
      <w:pPr>
        <w:pStyle w:val="ListParagraph"/>
        <w:numPr>
          <w:ilvl w:val="0"/>
          <w:numId w:val="18"/>
        </w:numPr>
        <w:rPr>
          <w:rFonts w:ascii="Arial" w:hAnsi="Arial" w:cs="Arial"/>
        </w:rPr>
      </w:pPr>
      <w:r>
        <w:rPr>
          <w:rFonts w:ascii="Arial" w:hAnsi="Arial" w:cs="Arial"/>
        </w:rPr>
        <w:t>Norovirus outbreaks affecting a large number of patients at both WHH and QEQM.  The outbreak resulted in a number of beds and wards being closed.</w:t>
      </w:r>
    </w:p>
    <w:p w14:paraId="47400F73" w14:textId="24E1124F" w:rsidR="00AC44B5" w:rsidRDefault="00AC44B5" w:rsidP="00D06F5F">
      <w:pPr>
        <w:pStyle w:val="ListParagraph"/>
        <w:numPr>
          <w:ilvl w:val="0"/>
          <w:numId w:val="18"/>
        </w:numPr>
        <w:rPr>
          <w:rFonts w:ascii="Arial" w:hAnsi="Arial" w:cs="Arial"/>
        </w:rPr>
      </w:pPr>
      <w:r>
        <w:rPr>
          <w:rFonts w:ascii="Arial" w:hAnsi="Arial" w:cs="Arial"/>
        </w:rPr>
        <w:lastRenderedPageBreak/>
        <w:t xml:space="preserve">IPC audits of the environment, equipment and clinical procedures continued throughout the year, and there </w:t>
      </w:r>
      <w:r w:rsidR="00896BB9">
        <w:rPr>
          <w:rFonts w:ascii="Arial" w:hAnsi="Arial" w:cs="Arial"/>
        </w:rPr>
        <w:t>were</w:t>
      </w:r>
      <w:r>
        <w:rPr>
          <w:rFonts w:ascii="Arial" w:hAnsi="Arial" w:cs="Arial"/>
        </w:rPr>
        <w:t xml:space="preserve"> notable improvements with scores based on previous year</w:t>
      </w:r>
      <w:r w:rsidR="00896BB9">
        <w:rPr>
          <w:rFonts w:ascii="Arial" w:hAnsi="Arial" w:cs="Arial"/>
        </w:rPr>
        <w:t>ly</w:t>
      </w:r>
      <w:r>
        <w:rPr>
          <w:rFonts w:ascii="Arial" w:hAnsi="Arial" w:cs="Arial"/>
        </w:rPr>
        <w:t xml:space="preserve"> audit</w:t>
      </w:r>
      <w:r w:rsidR="00896BB9">
        <w:rPr>
          <w:rFonts w:ascii="Arial" w:hAnsi="Arial" w:cs="Arial"/>
        </w:rPr>
        <w:t xml:space="preserve"> programmes</w:t>
      </w:r>
      <w:r>
        <w:rPr>
          <w:rFonts w:ascii="Arial" w:hAnsi="Arial" w:cs="Arial"/>
        </w:rPr>
        <w:t>.</w:t>
      </w:r>
    </w:p>
    <w:p w14:paraId="69882256" w14:textId="5C3D7582" w:rsidR="00896BB9" w:rsidRDefault="00896BB9" w:rsidP="00D06F5F">
      <w:pPr>
        <w:pStyle w:val="ListParagraph"/>
        <w:numPr>
          <w:ilvl w:val="0"/>
          <w:numId w:val="18"/>
        </w:numPr>
        <w:rPr>
          <w:rFonts w:ascii="Arial" w:hAnsi="Arial" w:cs="Arial"/>
        </w:rPr>
      </w:pPr>
      <w:r>
        <w:rPr>
          <w:rFonts w:ascii="Arial" w:hAnsi="Arial" w:cs="Arial"/>
        </w:rPr>
        <w:t>Hand hygiene audit of compliance was 91.7% overall for the Trust.</w:t>
      </w:r>
    </w:p>
    <w:p w14:paraId="02C9C78A" w14:textId="5F9C14C9" w:rsidR="00896BB9" w:rsidRDefault="00896BB9" w:rsidP="00D06F5F">
      <w:pPr>
        <w:pStyle w:val="ListParagraph"/>
        <w:numPr>
          <w:ilvl w:val="0"/>
          <w:numId w:val="18"/>
        </w:numPr>
        <w:rPr>
          <w:rFonts w:ascii="Arial" w:hAnsi="Arial" w:cs="Arial"/>
        </w:rPr>
      </w:pPr>
      <w:r>
        <w:rPr>
          <w:rFonts w:ascii="Arial" w:hAnsi="Arial" w:cs="Arial"/>
        </w:rPr>
        <w:t>IPC education and training continued throughout the year</w:t>
      </w:r>
      <w:r w:rsidR="002C1A7E">
        <w:rPr>
          <w:rFonts w:ascii="Arial" w:hAnsi="Arial" w:cs="Arial"/>
        </w:rPr>
        <w:t>, and the IPC link worker programme delivered a programme of training focusing on themes and learning from investigations.</w:t>
      </w:r>
    </w:p>
    <w:p w14:paraId="01D64E19" w14:textId="72F91726" w:rsidR="00663229" w:rsidRDefault="0005008B" w:rsidP="00D06F5F">
      <w:pPr>
        <w:pStyle w:val="ListParagraph"/>
        <w:numPr>
          <w:ilvl w:val="0"/>
          <w:numId w:val="18"/>
        </w:numPr>
        <w:rPr>
          <w:rFonts w:ascii="Arial" w:hAnsi="Arial" w:cs="Arial"/>
        </w:rPr>
      </w:pPr>
      <w:r>
        <w:rPr>
          <w:rFonts w:ascii="Arial" w:hAnsi="Arial" w:cs="Arial"/>
        </w:rPr>
        <w:t>Improved focus on Infection prevention and control aspects in the ward accreditation</w:t>
      </w:r>
    </w:p>
    <w:p w14:paraId="472CEC50" w14:textId="47225451" w:rsidR="002C1A7E" w:rsidRDefault="002C1A7E" w:rsidP="00D06F5F">
      <w:pPr>
        <w:pStyle w:val="ListParagraph"/>
        <w:numPr>
          <w:ilvl w:val="0"/>
          <w:numId w:val="18"/>
        </w:numPr>
        <w:rPr>
          <w:rFonts w:ascii="Arial" w:hAnsi="Arial" w:cs="Arial"/>
        </w:rPr>
      </w:pPr>
      <w:r>
        <w:rPr>
          <w:rFonts w:ascii="Arial" w:hAnsi="Arial" w:cs="Arial"/>
        </w:rPr>
        <w:t>Fit testing for the use of FFP3 respirators in undertaken by a dedicated person within the IPC team, and over 600 staff members were tested.</w:t>
      </w:r>
    </w:p>
    <w:p w14:paraId="0DF9B99A" w14:textId="3E8F1680" w:rsidR="002768AD" w:rsidRPr="00FD3BC4" w:rsidRDefault="002768AD" w:rsidP="00641C3A">
      <w:pPr>
        <w:pStyle w:val="ListParagraph"/>
        <w:numPr>
          <w:ilvl w:val="0"/>
          <w:numId w:val="18"/>
        </w:numPr>
        <w:rPr>
          <w:rFonts w:ascii="Arial" w:hAnsi="Arial" w:cs="Arial"/>
        </w:rPr>
      </w:pPr>
      <w:r>
        <w:rPr>
          <w:rFonts w:ascii="Arial" w:hAnsi="Arial" w:cs="Arial"/>
        </w:rPr>
        <w:t>Successful launch and implementation of the CLEAN campaign</w:t>
      </w:r>
      <w:r w:rsidR="00D06F5F">
        <w:rPr>
          <w:rFonts w:ascii="Arial" w:hAnsi="Arial" w:cs="Arial"/>
        </w:rPr>
        <w:t xml:space="preserve"> through joint working </w:t>
      </w:r>
      <w:r w:rsidR="00D06F5F" w:rsidRPr="00FD3BC4">
        <w:rPr>
          <w:rFonts w:ascii="Arial" w:hAnsi="Arial" w:cs="Arial"/>
        </w:rPr>
        <w:t>with 2Gether Solutions.</w:t>
      </w:r>
    </w:p>
    <w:p w14:paraId="29CC2E88" w14:textId="1921DDFE" w:rsidR="00095BBC" w:rsidRPr="00FD3BC4" w:rsidRDefault="00095BBC" w:rsidP="00411085">
      <w:pPr>
        <w:jc w:val="both"/>
        <w:rPr>
          <w:rFonts w:ascii="Arial" w:hAnsi="Arial" w:cs="Arial"/>
        </w:rPr>
      </w:pPr>
    </w:p>
    <w:p w14:paraId="356441A4" w14:textId="13280777" w:rsidR="00FD3BC4" w:rsidRDefault="00FD3BC4" w:rsidP="00FD3BC4">
      <w:pPr>
        <w:jc w:val="both"/>
        <w:rPr>
          <w:rFonts w:ascii="Arial" w:hAnsi="Arial" w:cs="Arial"/>
        </w:rPr>
      </w:pPr>
      <w:r w:rsidRPr="00FD3BC4">
        <w:rPr>
          <w:rFonts w:ascii="Arial" w:hAnsi="Arial" w:cs="Arial"/>
        </w:rPr>
        <w:t xml:space="preserve">Surgical site infection surveillance (SSIS) is carried </w:t>
      </w:r>
      <w:r w:rsidR="001A5FD1">
        <w:rPr>
          <w:rFonts w:ascii="Arial" w:hAnsi="Arial" w:cs="Arial"/>
        </w:rPr>
        <w:t xml:space="preserve">out </w:t>
      </w:r>
      <w:r w:rsidRPr="00FD3BC4">
        <w:rPr>
          <w:rFonts w:ascii="Arial" w:hAnsi="Arial" w:cs="Arial"/>
        </w:rPr>
        <w:t>for repair of neck of femur fracture, hip and knee replacements.  The SSI Steering Group met regularly throughout</w:t>
      </w:r>
      <w:r>
        <w:rPr>
          <w:rFonts w:ascii="Arial" w:hAnsi="Arial" w:cs="Arial"/>
        </w:rPr>
        <w:t xml:space="preserve"> the year, and t</w:t>
      </w:r>
      <w:r w:rsidRPr="00FD3BC4">
        <w:rPr>
          <w:rFonts w:ascii="Arial" w:hAnsi="Arial" w:cs="Arial"/>
        </w:rPr>
        <w:t>he group holds responsibility for overseeing the progress of the agreed improvement pla</w:t>
      </w:r>
      <w:r>
        <w:rPr>
          <w:rFonts w:ascii="Arial" w:hAnsi="Arial" w:cs="Arial"/>
        </w:rPr>
        <w:t xml:space="preserve">n.  In addition, </w:t>
      </w:r>
      <w:r w:rsidRPr="00FD3BC4">
        <w:rPr>
          <w:rFonts w:ascii="Arial" w:hAnsi="Arial" w:cs="Arial"/>
        </w:rPr>
        <w:t xml:space="preserve">as well as </w:t>
      </w:r>
      <w:r>
        <w:rPr>
          <w:rFonts w:ascii="Arial" w:hAnsi="Arial" w:cs="Arial"/>
        </w:rPr>
        <w:t xml:space="preserve">identifying </w:t>
      </w:r>
      <w:r w:rsidRPr="00FD3BC4">
        <w:rPr>
          <w:rFonts w:ascii="Arial" w:hAnsi="Arial" w:cs="Arial"/>
        </w:rPr>
        <w:t>learning outcomes from deep dive invest</w:t>
      </w:r>
      <w:r>
        <w:rPr>
          <w:rFonts w:ascii="Arial" w:hAnsi="Arial" w:cs="Arial"/>
        </w:rPr>
        <w:t xml:space="preserve">igations into T&amp;O SSI incidents, the group successfully implemented a number of key improvements, </w:t>
      </w:r>
      <w:r w:rsidR="006427E8">
        <w:rPr>
          <w:rFonts w:ascii="Arial" w:hAnsi="Arial" w:cs="Arial"/>
        </w:rPr>
        <w:t>this included standardisation of wound dressings</w:t>
      </w:r>
      <w:r>
        <w:rPr>
          <w:rFonts w:ascii="Arial" w:hAnsi="Arial" w:cs="Arial"/>
        </w:rPr>
        <w:t xml:space="preserve">, education on tissue viability and patient information for wound management. </w:t>
      </w:r>
    </w:p>
    <w:p w14:paraId="24FDC74F" w14:textId="15F108B3" w:rsidR="00287F4B" w:rsidRDefault="00287F4B" w:rsidP="00FD3BC4">
      <w:pPr>
        <w:jc w:val="both"/>
        <w:rPr>
          <w:rFonts w:ascii="Arial" w:hAnsi="Arial" w:cs="Arial"/>
        </w:rPr>
      </w:pPr>
    </w:p>
    <w:p w14:paraId="5AE77D30" w14:textId="48ED3E25" w:rsidR="00287F4B" w:rsidRPr="00FD3BC4" w:rsidRDefault="00287F4B" w:rsidP="00FD3BC4">
      <w:pPr>
        <w:jc w:val="both"/>
        <w:rPr>
          <w:rFonts w:ascii="Arial" w:hAnsi="Arial" w:cs="Arial"/>
        </w:rPr>
      </w:pPr>
      <w:r>
        <w:rPr>
          <w:rFonts w:ascii="Arial" w:hAnsi="Arial" w:cs="Arial"/>
        </w:rPr>
        <w:t>Antimicrobial stewardship (AMS) is led by a consultant pharmacist, two advanced pharmacists and a medical microbiologist who is the AMS lead.  The AMS pharmacy team audited antimicrobial prescribing across all care groups, and have made a significant difference with the reduction of inappropriate prescribing.  The AMS team also work closely with the IPC team on post infection reviews to identify and share learning.</w:t>
      </w:r>
    </w:p>
    <w:p w14:paraId="3C9CDECC" w14:textId="26B8279B" w:rsidR="003F520A" w:rsidRPr="00FD3BC4" w:rsidRDefault="003F520A" w:rsidP="007F6D4B">
      <w:pPr>
        <w:jc w:val="both"/>
        <w:rPr>
          <w:rFonts w:ascii="Arial" w:hAnsi="Arial" w:cs="Arial"/>
          <w:b/>
        </w:rPr>
      </w:pPr>
    </w:p>
    <w:p w14:paraId="74DC5339" w14:textId="649D96DC" w:rsidR="00875201" w:rsidRPr="00FD3BC4" w:rsidRDefault="004F5B58" w:rsidP="004F5B58">
      <w:pPr>
        <w:pStyle w:val="Heading2"/>
      </w:pPr>
      <w:bookmarkStart w:id="4" w:name="The_IPCT"/>
      <w:bookmarkEnd w:id="4"/>
      <w:r>
        <w:t xml:space="preserve">3. </w:t>
      </w:r>
      <w:r w:rsidR="006C6DC8" w:rsidRPr="00FD3BC4">
        <w:t>The Infection Prevention and Control Team</w:t>
      </w:r>
      <w:r w:rsidR="00A7034B" w:rsidRPr="00FD3BC4">
        <w:t xml:space="preserve"> (IPCT)</w:t>
      </w:r>
    </w:p>
    <w:p w14:paraId="7FC3E3C3" w14:textId="77777777" w:rsidR="001B624D" w:rsidRPr="00FD3BC4" w:rsidRDefault="001B624D" w:rsidP="001B624D">
      <w:pPr>
        <w:pStyle w:val="ListParagraph"/>
        <w:rPr>
          <w:rFonts w:ascii="Arial" w:hAnsi="Arial" w:cs="Arial"/>
          <w:b/>
        </w:rPr>
      </w:pPr>
    </w:p>
    <w:p w14:paraId="10051B87" w14:textId="1179D8B0" w:rsidR="00805234" w:rsidRDefault="00805234" w:rsidP="00FB291D">
      <w:pPr>
        <w:rPr>
          <w:rFonts w:ascii="Arial" w:hAnsi="Arial" w:cs="Arial"/>
        </w:rPr>
      </w:pPr>
      <w:r w:rsidRPr="00FD3BC4">
        <w:rPr>
          <w:rFonts w:ascii="Arial" w:hAnsi="Arial" w:cs="Arial"/>
        </w:rPr>
        <w:t>The Chief Executive holds overall responsibility for infection prevention</w:t>
      </w:r>
      <w:r>
        <w:rPr>
          <w:rFonts w:ascii="Arial" w:hAnsi="Arial" w:cs="Arial"/>
        </w:rPr>
        <w:t xml:space="preserve"> and control, with the management and co-ordination delegated to the </w:t>
      </w:r>
      <w:r w:rsidR="00734A3E">
        <w:rPr>
          <w:rFonts w:ascii="Arial" w:hAnsi="Arial" w:cs="Arial"/>
        </w:rPr>
        <w:t>DIPC</w:t>
      </w:r>
      <w:r>
        <w:rPr>
          <w:rFonts w:ascii="Arial" w:hAnsi="Arial" w:cs="Arial"/>
        </w:rPr>
        <w:t xml:space="preserve">.  The DIPC works closely with the deputy DIPC who provides the day to day </w:t>
      </w:r>
      <w:r w:rsidR="0005008B">
        <w:rPr>
          <w:rFonts w:ascii="Arial" w:hAnsi="Arial" w:cs="Arial"/>
        </w:rPr>
        <w:t>s</w:t>
      </w:r>
      <w:r w:rsidR="00FD6CA9">
        <w:rPr>
          <w:rFonts w:ascii="Arial" w:hAnsi="Arial" w:cs="Arial"/>
        </w:rPr>
        <w:t>trategic</w:t>
      </w:r>
      <w:r w:rsidR="0005008B">
        <w:rPr>
          <w:rFonts w:ascii="Arial" w:hAnsi="Arial" w:cs="Arial"/>
        </w:rPr>
        <w:t xml:space="preserve"> </w:t>
      </w:r>
      <w:r>
        <w:rPr>
          <w:rFonts w:ascii="Arial" w:hAnsi="Arial" w:cs="Arial"/>
        </w:rPr>
        <w:t>and operational management of the IPC service.</w:t>
      </w:r>
    </w:p>
    <w:p w14:paraId="55C71B39" w14:textId="77777777" w:rsidR="00805234" w:rsidRDefault="00805234" w:rsidP="00FB291D">
      <w:pPr>
        <w:rPr>
          <w:rFonts w:ascii="Arial" w:hAnsi="Arial" w:cs="Arial"/>
        </w:rPr>
      </w:pPr>
    </w:p>
    <w:p w14:paraId="7288082E" w14:textId="3E26B5F1" w:rsidR="000C0AE7" w:rsidRDefault="00805234" w:rsidP="00FB291D">
      <w:pPr>
        <w:rPr>
          <w:rFonts w:ascii="Arial" w:hAnsi="Arial" w:cs="Arial"/>
        </w:rPr>
      </w:pPr>
      <w:r>
        <w:rPr>
          <w:rFonts w:ascii="Arial" w:hAnsi="Arial" w:cs="Arial"/>
        </w:rPr>
        <w:t>The IPC team provides specialist advice, support, education and training to all sites across the Trust.  Each site has a dedicated team in place with occasional cross site cover to ensure delivery of service.  In addition, the IPC nursing team work on a seven-day rota to provide on-site cover 365 days per year.</w:t>
      </w:r>
      <w:r w:rsidR="00885EFD">
        <w:rPr>
          <w:rFonts w:ascii="Arial" w:hAnsi="Arial" w:cs="Arial"/>
        </w:rPr>
        <w:t xml:space="preserve"> The IPC team also provide the Trust wide fit testing service, and have a surveillance nurse leading on Surgical site infection surveillance.</w:t>
      </w:r>
    </w:p>
    <w:p w14:paraId="2E704EA9" w14:textId="049E0CB4" w:rsidR="001B624D" w:rsidRPr="001B624D" w:rsidRDefault="00885EFD" w:rsidP="00FB291D">
      <w:pPr>
        <w:rPr>
          <w:rFonts w:ascii="Arial" w:hAnsi="Arial" w:cs="Arial"/>
        </w:rPr>
      </w:pPr>
      <w:r>
        <w:rPr>
          <w:rFonts w:ascii="Arial" w:hAnsi="Arial" w:cs="Arial"/>
        </w:rPr>
        <w:t>Working a</w:t>
      </w:r>
      <w:r w:rsidR="001B624D" w:rsidRPr="001B624D">
        <w:rPr>
          <w:rFonts w:ascii="Arial" w:hAnsi="Arial" w:cs="Arial"/>
        </w:rPr>
        <w:t xml:space="preserve">longside the IPC team are medical </w:t>
      </w:r>
      <w:r w:rsidR="00890A84" w:rsidRPr="001B624D">
        <w:rPr>
          <w:rFonts w:ascii="Arial" w:hAnsi="Arial" w:cs="Arial"/>
        </w:rPr>
        <w:t>microbiolog</w:t>
      </w:r>
      <w:r w:rsidR="00890A84">
        <w:rPr>
          <w:rFonts w:ascii="Arial" w:hAnsi="Arial" w:cs="Arial"/>
        </w:rPr>
        <w:t xml:space="preserve">y </w:t>
      </w:r>
      <w:r w:rsidR="001B624D" w:rsidRPr="001B624D">
        <w:rPr>
          <w:rFonts w:ascii="Arial" w:hAnsi="Arial" w:cs="Arial"/>
        </w:rPr>
        <w:t>and virology consultants</w:t>
      </w:r>
      <w:r w:rsidR="00803D92">
        <w:rPr>
          <w:rFonts w:ascii="Arial" w:hAnsi="Arial" w:cs="Arial"/>
        </w:rPr>
        <w:t xml:space="preserve">. There is no specific </w:t>
      </w:r>
      <w:r w:rsidR="001B624D" w:rsidRPr="001B624D">
        <w:rPr>
          <w:rFonts w:ascii="Arial" w:hAnsi="Arial" w:cs="Arial"/>
        </w:rPr>
        <w:t>named IPC lead</w:t>
      </w:r>
      <w:r w:rsidR="00803D92">
        <w:rPr>
          <w:rFonts w:ascii="Arial" w:hAnsi="Arial" w:cs="Arial"/>
        </w:rPr>
        <w:t xml:space="preserve"> microbiologist</w:t>
      </w:r>
      <w:r w:rsidR="001B624D" w:rsidRPr="001B624D">
        <w:rPr>
          <w:rFonts w:ascii="Arial" w:hAnsi="Arial" w:cs="Arial"/>
        </w:rPr>
        <w:t xml:space="preserve">, but all </w:t>
      </w:r>
      <w:r w:rsidR="001A5FD1">
        <w:rPr>
          <w:rFonts w:ascii="Arial" w:hAnsi="Arial" w:cs="Arial"/>
        </w:rPr>
        <w:t xml:space="preserve">microbiologists support the </w:t>
      </w:r>
      <w:r w:rsidR="001B624D" w:rsidRPr="001B624D">
        <w:rPr>
          <w:rFonts w:ascii="Arial" w:hAnsi="Arial" w:cs="Arial"/>
        </w:rPr>
        <w:t>team</w:t>
      </w:r>
      <w:r w:rsidR="001A5FD1">
        <w:rPr>
          <w:rFonts w:ascii="Arial" w:hAnsi="Arial" w:cs="Arial"/>
        </w:rPr>
        <w:t xml:space="preserve"> and implementation of this role is being actively pursued</w:t>
      </w:r>
      <w:r w:rsidR="001B624D" w:rsidRPr="001B624D">
        <w:rPr>
          <w:rFonts w:ascii="Arial" w:hAnsi="Arial" w:cs="Arial"/>
        </w:rPr>
        <w:t>. There is also a Trust consultant pharmacist leading on antimicrobial stewardshi</w:t>
      </w:r>
      <w:r w:rsidR="00890A84">
        <w:rPr>
          <w:rFonts w:ascii="Arial" w:hAnsi="Arial" w:cs="Arial"/>
        </w:rPr>
        <w:t>p</w:t>
      </w:r>
      <w:r w:rsidR="001B624D" w:rsidRPr="001B624D">
        <w:rPr>
          <w:rFonts w:ascii="Arial" w:hAnsi="Arial" w:cs="Arial"/>
        </w:rPr>
        <w:t xml:space="preserve"> 3 days a week,</w:t>
      </w:r>
      <w:r w:rsidR="00803D92">
        <w:rPr>
          <w:rFonts w:ascii="Arial" w:hAnsi="Arial" w:cs="Arial"/>
        </w:rPr>
        <w:t xml:space="preserve"> </w:t>
      </w:r>
      <w:r w:rsidR="001B624D" w:rsidRPr="001B624D">
        <w:rPr>
          <w:rFonts w:ascii="Arial" w:hAnsi="Arial" w:cs="Arial"/>
        </w:rPr>
        <w:t>with 2 part time antimicrobial stewardship ph</w:t>
      </w:r>
      <w:r w:rsidR="00890A84">
        <w:rPr>
          <w:rFonts w:ascii="Arial" w:hAnsi="Arial" w:cs="Arial"/>
        </w:rPr>
        <w:t>a</w:t>
      </w:r>
      <w:r w:rsidR="001B624D" w:rsidRPr="001B624D">
        <w:rPr>
          <w:rFonts w:ascii="Arial" w:hAnsi="Arial" w:cs="Arial"/>
        </w:rPr>
        <w:t>rmacists suppor</w:t>
      </w:r>
      <w:r w:rsidR="00287F4B">
        <w:rPr>
          <w:rFonts w:ascii="Arial" w:hAnsi="Arial" w:cs="Arial"/>
        </w:rPr>
        <w:t>ting, and</w:t>
      </w:r>
      <w:r w:rsidR="001B624D" w:rsidRPr="001B624D">
        <w:rPr>
          <w:rFonts w:ascii="Arial" w:hAnsi="Arial" w:cs="Arial"/>
        </w:rPr>
        <w:t xml:space="preserve"> </w:t>
      </w:r>
      <w:r w:rsidR="00890A84">
        <w:rPr>
          <w:rFonts w:ascii="Arial" w:hAnsi="Arial" w:cs="Arial"/>
        </w:rPr>
        <w:t>1 consultant microbiologist has th</w:t>
      </w:r>
      <w:r w:rsidR="00287F4B">
        <w:rPr>
          <w:rFonts w:ascii="Arial" w:hAnsi="Arial" w:cs="Arial"/>
        </w:rPr>
        <w:t>is as part</w:t>
      </w:r>
      <w:r w:rsidR="00CD585A">
        <w:rPr>
          <w:rFonts w:ascii="Arial" w:hAnsi="Arial" w:cs="Arial"/>
        </w:rPr>
        <w:t xml:space="preserve"> of</w:t>
      </w:r>
      <w:r w:rsidR="00287F4B">
        <w:rPr>
          <w:rFonts w:ascii="Arial" w:hAnsi="Arial" w:cs="Arial"/>
        </w:rPr>
        <w:t xml:space="preserve"> </w:t>
      </w:r>
      <w:r>
        <w:rPr>
          <w:rFonts w:ascii="Arial" w:hAnsi="Arial" w:cs="Arial"/>
        </w:rPr>
        <w:t>their</w:t>
      </w:r>
      <w:r w:rsidR="00287F4B">
        <w:rPr>
          <w:rFonts w:ascii="Arial" w:hAnsi="Arial" w:cs="Arial"/>
        </w:rPr>
        <w:t xml:space="preserve"> portfolio</w:t>
      </w:r>
      <w:r w:rsidR="00890A84">
        <w:rPr>
          <w:rFonts w:ascii="Arial" w:hAnsi="Arial" w:cs="Arial"/>
        </w:rPr>
        <w:t>.</w:t>
      </w:r>
    </w:p>
    <w:p w14:paraId="1780D465" w14:textId="77777777" w:rsidR="00287F4B" w:rsidRPr="008E4A31" w:rsidRDefault="00287F4B" w:rsidP="00FB291D">
      <w:pPr>
        <w:rPr>
          <w:rFonts w:ascii="Arial" w:hAnsi="Arial" w:cs="Arial"/>
          <w:b/>
        </w:rPr>
      </w:pPr>
    </w:p>
    <w:p w14:paraId="32A1DD08" w14:textId="481CAE98" w:rsidR="00875201" w:rsidRPr="008E4A31" w:rsidRDefault="004F5B58" w:rsidP="004F5B58">
      <w:pPr>
        <w:pStyle w:val="Heading2"/>
      </w:pPr>
      <w:bookmarkStart w:id="5" w:name="IPC_Committee"/>
      <w:bookmarkEnd w:id="5"/>
      <w:r>
        <w:lastRenderedPageBreak/>
        <w:t xml:space="preserve">4. </w:t>
      </w:r>
      <w:r w:rsidR="006C6DC8" w:rsidRPr="008E4A31">
        <w:t>Infection Prevention and Control Committee</w:t>
      </w:r>
      <w:r w:rsidR="00464063">
        <w:t xml:space="preserve"> and Reporting Structure</w:t>
      </w:r>
    </w:p>
    <w:p w14:paraId="06A94531" w14:textId="77777777" w:rsidR="00875201" w:rsidRPr="008E4A31" w:rsidRDefault="00875201" w:rsidP="00FB291D">
      <w:pPr>
        <w:pStyle w:val="ListParagraph"/>
        <w:rPr>
          <w:rFonts w:ascii="Arial" w:hAnsi="Arial" w:cs="Arial"/>
          <w:b/>
        </w:rPr>
      </w:pPr>
    </w:p>
    <w:p w14:paraId="06E70021" w14:textId="6AF2ED8C" w:rsidR="00803D92" w:rsidRDefault="00CB1C02" w:rsidP="00CB1C02">
      <w:pPr>
        <w:jc w:val="both"/>
        <w:rPr>
          <w:rFonts w:ascii="Arial" w:hAnsi="Arial" w:cs="Arial"/>
        </w:rPr>
      </w:pPr>
      <w:r>
        <w:rPr>
          <w:rFonts w:ascii="Arial" w:hAnsi="Arial" w:cs="Arial"/>
        </w:rPr>
        <w:t xml:space="preserve">The structure includes </w:t>
      </w:r>
      <w:r w:rsidR="00FD6CA9">
        <w:rPr>
          <w:rFonts w:ascii="Arial" w:hAnsi="Arial" w:cs="Arial"/>
        </w:rPr>
        <w:t xml:space="preserve">Care Group </w:t>
      </w:r>
      <w:r>
        <w:rPr>
          <w:rFonts w:ascii="Arial" w:hAnsi="Arial" w:cs="Arial"/>
        </w:rPr>
        <w:t xml:space="preserve">Infection </w:t>
      </w:r>
      <w:r w:rsidR="00FD6CA9">
        <w:rPr>
          <w:rFonts w:ascii="Arial" w:hAnsi="Arial" w:cs="Arial"/>
        </w:rPr>
        <w:t xml:space="preserve">Prevention and Control meetings, chaired by the </w:t>
      </w:r>
      <w:r w:rsidR="00F65AF2">
        <w:rPr>
          <w:rFonts w:ascii="Arial" w:hAnsi="Arial" w:cs="Arial"/>
        </w:rPr>
        <w:t>Care Group</w:t>
      </w:r>
      <w:r w:rsidR="00FD6CA9">
        <w:rPr>
          <w:rFonts w:ascii="Arial" w:hAnsi="Arial" w:cs="Arial"/>
        </w:rPr>
        <w:t xml:space="preserve"> Director, supported by the Infection prevention and control lead. T</w:t>
      </w:r>
      <w:r>
        <w:rPr>
          <w:rFonts w:ascii="Arial" w:hAnsi="Arial" w:cs="Arial"/>
        </w:rPr>
        <w:t xml:space="preserve">hese site groups are operationally focused and bring together clinical and non-clinical colleagues  to discuss challenges and successes and share the learning from investigations. Each of these groups along with groups for decontamination, water safety, ventilation safety and antimicrobial stewardship report to a new quarterly Infection Prevention and Control and Antimicrobial Stewardship Committee (IPCAS). </w:t>
      </w:r>
    </w:p>
    <w:p w14:paraId="078F5EF2" w14:textId="77777777" w:rsidR="00803D92" w:rsidRDefault="00803D92" w:rsidP="00CB1C02">
      <w:pPr>
        <w:jc w:val="both"/>
        <w:rPr>
          <w:rFonts w:ascii="Arial" w:hAnsi="Arial" w:cs="Arial"/>
        </w:rPr>
      </w:pPr>
    </w:p>
    <w:p w14:paraId="10F06AEE" w14:textId="515ED8FD" w:rsidR="0064759D" w:rsidRDefault="00CB1C02" w:rsidP="00CB1C02">
      <w:pPr>
        <w:jc w:val="both"/>
        <w:rPr>
          <w:rFonts w:ascii="Arial" w:hAnsi="Arial" w:cs="Arial"/>
        </w:rPr>
      </w:pPr>
      <w:r>
        <w:rPr>
          <w:rFonts w:ascii="Arial" w:hAnsi="Arial" w:cs="Arial"/>
        </w:rPr>
        <w:t xml:space="preserve">The IPCAS Committee takes a strategic perspective and gathers themes and learning from across the </w:t>
      </w:r>
      <w:r w:rsidR="00803D92">
        <w:rPr>
          <w:rFonts w:ascii="Arial" w:hAnsi="Arial" w:cs="Arial"/>
        </w:rPr>
        <w:t>T</w:t>
      </w:r>
      <w:r>
        <w:rPr>
          <w:rFonts w:ascii="Arial" w:hAnsi="Arial" w:cs="Arial"/>
        </w:rPr>
        <w:t xml:space="preserve">rust and is a vehicle for wider sharing, including with colleagues from external bodies such as the Kent and Medway Integrated Care Board (ICB) and the United Kingdom Health Security Agency (UKHSA). The IPCAS Committee reports to the Board via the Quality and Safety Committee and directly through the DIPC </w:t>
      </w:r>
      <w:r w:rsidR="000A1FF5">
        <w:rPr>
          <w:rFonts w:ascii="Arial" w:hAnsi="Arial" w:cs="Arial"/>
        </w:rPr>
        <w:t>in accordance with</w:t>
      </w:r>
      <w:r>
        <w:rPr>
          <w:rFonts w:ascii="Arial" w:hAnsi="Arial" w:cs="Arial"/>
        </w:rPr>
        <w:t xml:space="preserve"> the Code of Practice </w:t>
      </w:r>
      <w:r w:rsidR="00B63C44">
        <w:rPr>
          <w:rFonts w:ascii="Arial" w:hAnsi="Arial" w:cs="Arial"/>
        </w:rPr>
        <w:t>on the Prevention and Control of Infections (Health and Social Care Act 2008)</w:t>
      </w:r>
      <w:r w:rsidR="00734A3E">
        <w:rPr>
          <w:rFonts w:ascii="Arial" w:hAnsi="Arial" w:cs="Arial"/>
        </w:rPr>
        <w:t xml:space="preserve">. </w:t>
      </w:r>
      <w:r w:rsidR="004A2D05">
        <w:rPr>
          <w:rFonts w:ascii="Arial" w:hAnsi="Arial" w:cs="Arial"/>
        </w:rPr>
        <w:t>The structure</w:t>
      </w:r>
      <w:r w:rsidR="00734A3E">
        <w:rPr>
          <w:rFonts w:ascii="Arial" w:hAnsi="Arial" w:cs="Arial"/>
        </w:rPr>
        <w:t xml:space="preserve"> is shown below</w:t>
      </w:r>
      <w:r w:rsidR="00846386">
        <w:rPr>
          <w:rFonts w:ascii="Arial" w:hAnsi="Arial" w:cs="Arial"/>
        </w:rPr>
        <w:t>.</w:t>
      </w:r>
    </w:p>
    <w:p w14:paraId="67A56FFE" w14:textId="50C65816" w:rsidR="00B63C44" w:rsidRDefault="00B63C44" w:rsidP="00CB1C02">
      <w:pPr>
        <w:jc w:val="both"/>
        <w:rPr>
          <w:rFonts w:ascii="Arial" w:hAnsi="Arial" w:cs="Arial"/>
        </w:rPr>
      </w:pPr>
    </w:p>
    <w:p w14:paraId="642E24A6" w14:textId="11588F92" w:rsidR="00B63C44" w:rsidRPr="004F5B58" w:rsidRDefault="00B63C44" w:rsidP="004F5B58">
      <w:pPr>
        <w:pStyle w:val="Heading3"/>
      </w:pPr>
      <w:r w:rsidRPr="004F5B58">
        <w:t>IPC Reporting Structure</w:t>
      </w:r>
    </w:p>
    <w:p w14:paraId="0D889AA0" w14:textId="4CA0A3A5" w:rsidR="00F61872" w:rsidRDefault="00F61872" w:rsidP="00CB1C02">
      <w:pPr>
        <w:jc w:val="both"/>
        <w:rPr>
          <w:rFonts w:ascii="Arial" w:hAnsi="Arial" w:cs="Arial"/>
          <w:b/>
        </w:rPr>
      </w:pPr>
    </w:p>
    <w:p w14:paraId="708ABB39" w14:textId="77777777" w:rsidR="00616934" w:rsidRDefault="00F61872" w:rsidP="00616934">
      <w:pPr>
        <w:pStyle w:val="Default"/>
      </w:pPr>
      <w:r w:rsidRPr="00F61872">
        <w:rPr>
          <w:noProof/>
        </w:rPr>
        <w:drawing>
          <wp:inline distT="0" distB="0" distL="0" distR="0" wp14:anchorId="7D8AF12A" wp14:editId="7B917AA6">
            <wp:extent cx="5731510" cy="3036570"/>
            <wp:effectExtent l="0" t="0" r="2540" b="0"/>
            <wp:docPr id="7" name="Picture 7" descr="Flowchart showing governance of committees and sub groups related to infection prevention and contr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036570"/>
                    </a:xfrm>
                    <a:prstGeom prst="rect">
                      <a:avLst/>
                    </a:prstGeom>
                  </pic:spPr>
                </pic:pic>
              </a:graphicData>
            </a:graphic>
          </wp:inline>
        </w:drawing>
      </w:r>
      <w:bookmarkStart w:id="6" w:name="The_CQC"/>
      <w:bookmarkEnd w:id="6"/>
    </w:p>
    <w:p w14:paraId="7374C636" w14:textId="77777777" w:rsidR="00616934" w:rsidRDefault="00616934">
      <w:pPr>
        <w:suppressAutoHyphens w:val="0"/>
        <w:autoSpaceDN/>
        <w:textAlignment w:val="auto"/>
        <w:rPr>
          <w:rFonts w:ascii="Arial" w:eastAsia="Times New Roman" w:hAnsi="Arial" w:cs="Arial"/>
          <w:b/>
          <w:bCs/>
          <w:iCs/>
          <w:sz w:val="28"/>
          <w:szCs w:val="28"/>
          <w:lang w:eastAsia="zh-CN"/>
        </w:rPr>
      </w:pPr>
      <w:r>
        <w:br w:type="page"/>
      </w:r>
    </w:p>
    <w:p w14:paraId="78993C15" w14:textId="153D806E" w:rsidR="00875201" w:rsidRDefault="004F5B58" w:rsidP="00616934">
      <w:pPr>
        <w:pStyle w:val="Heading2"/>
      </w:pPr>
      <w:r>
        <w:lastRenderedPageBreak/>
        <w:t xml:space="preserve">5. </w:t>
      </w:r>
      <w:r w:rsidR="006C6DC8" w:rsidRPr="008E4A31">
        <w:t>The Care Quality Commission</w:t>
      </w:r>
      <w:r w:rsidR="001E76FD" w:rsidRPr="008E4A31">
        <w:t xml:space="preserve"> (CQC)</w:t>
      </w:r>
    </w:p>
    <w:p w14:paraId="029A82B0" w14:textId="77777777" w:rsidR="00616934" w:rsidRPr="00616934" w:rsidRDefault="00616934" w:rsidP="00616934">
      <w:pPr>
        <w:rPr>
          <w:lang w:eastAsia="zh-CN"/>
        </w:rPr>
      </w:pPr>
    </w:p>
    <w:p w14:paraId="464678D4" w14:textId="4FD2FE7A" w:rsidR="00616934" w:rsidRPr="00616934" w:rsidRDefault="004A2D05" w:rsidP="00616934">
      <w:pPr>
        <w:pStyle w:val="Default"/>
        <w:rPr>
          <w:sz w:val="22"/>
          <w:szCs w:val="22"/>
        </w:rPr>
      </w:pPr>
      <w:r w:rsidRPr="00616934">
        <w:rPr>
          <w:sz w:val="22"/>
          <w:szCs w:val="22"/>
        </w:rPr>
        <w:t xml:space="preserve">There </w:t>
      </w:r>
      <w:r w:rsidR="00885EFD" w:rsidRPr="00616934">
        <w:rPr>
          <w:sz w:val="22"/>
          <w:szCs w:val="22"/>
        </w:rPr>
        <w:t>were</w:t>
      </w:r>
      <w:r w:rsidRPr="00616934">
        <w:rPr>
          <w:sz w:val="22"/>
          <w:szCs w:val="22"/>
        </w:rPr>
        <w:t xml:space="preserve"> no IPC specific or focus</w:t>
      </w:r>
      <w:r w:rsidR="00885EFD" w:rsidRPr="00616934">
        <w:rPr>
          <w:sz w:val="22"/>
          <w:szCs w:val="22"/>
        </w:rPr>
        <w:t>s</w:t>
      </w:r>
      <w:r w:rsidRPr="00616934">
        <w:rPr>
          <w:sz w:val="22"/>
          <w:szCs w:val="22"/>
        </w:rPr>
        <w:t xml:space="preserve">ed CQC inspections in 2024/25.  </w:t>
      </w:r>
      <w:r w:rsidR="00EA3A16" w:rsidRPr="00616934">
        <w:rPr>
          <w:sz w:val="22"/>
          <w:szCs w:val="22"/>
        </w:rPr>
        <w:t xml:space="preserve">A </w:t>
      </w:r>
      <w:r w:rsidRPr="00616934">
        <w:rPr>
          <w:sz w:val="22"/>
          <w:szCs w:val="22"/>
        </w:rPr>
        <w:t>CQC inspection took place within maternity</w:t>
      </w:r>
      <w:r w:rsidR="00EA3A16" w:rsidRPr="00616934">
        <w:rPr>
          <w:sz w:val="22"/>
          <w:szCs w:val="22"/>
        </w:rPr>
        <w:t xml:space="preserve"> which identified </w:t>
      </w:r>
      <w:r w:rsidR="00885EFD" w:rsidRPr="00616934">
        <w:rPr>
          <w:sz w:val="22"/>
          <w:szCs w:val="22"/>
        </w:rPr>
        <w:t xml:space="preserve">good </w:t>
      </w:r>
      <w:r w:rsidR="00EA3A16" w:rsidRPr="00616934">
        <w:rPr>
          <w:sz w:val="22"/>
          <w:szCs w:val="22"/>
        </w:rPr>
        <w:t>IPC</w:t>
      </w:r>
      <w:r w:rsidR="00885EFD" w:rsidRPr="00616934">
        <w:rPr>
          <w:sz w:val="22"/>
          <w:szCs w:val="22"/>
        </w:rPr>
        <w:t xml:space="preserve"> practice, and recognised the environmental challenges within the service, and the mitigations in place to address them.</w:t>
      </w:r>
      <w:bookmarkStart w:id="7" w:name="Education"/>
      <w:bookmarkEnd w:id="7"/>
    </w:p>
    <w:p w14:paraId="5144BEF0" w14:textId="36540EED" w:rsidR="00875201" w:rsidRPr="008E4A31" w:rsidRDefault="00616934" w:rsidP="00616934">
      <w:pPr>
        <w:pStyle w:val="Heading2"/>
      </w:pPr>
      <w:r>
        <w:t xml:space="preserve">6. </w:t>
      </w:r>
      <w:r w:rsidR="005651BB" w:rsidRPr="008E4A31">
        <w:t>Education and Training</w:t>
      </w:r>
    </w:p>
    <w:p w14:paraId="555DE21D" w14:textId="77777777" w:rsidR="00875201" w:rsidRPr="008E4A31" w:rsidRDefault="00875201" w:rsidP="005B0F49">
      <w:pPr>
        <w:pStyle w:val="ListParagraph"/>
        <w:rPr>
          <w:rFonts w:ascii="Arial" w:hAnsi="Arial" w:cs="Arial"/>
          <w:b/>
        </w:rPr>
      </w:pPr>
    </w:p>
    <w:p w14:paraId="47E344BF" w14:textId="77777777" w:rsidR="00875201" w:rsidRPr="008E4A31" w:rsidRDefault="006C6DC8" w:rsidP="00EF7162">
      <w:pPr>
        <w:jc w:val="both"/>
        <w:rPr>
          <w:rFonts w:ascii="Arial" w:hAnsi="Arial" w:cs="Arial"/>
        </w:rPr>
      </w:pPr>
      <w:r w:rsidRPr="008E4A31">
        <w:rPr>
          <w:rFonts w:ascii="Arial" w:hAnsi="Arial" w:cs="Arial"/>
        </w:rPr>
        <w:t xml:space="preserve">The </w:t>
      </w:r>
      <w:r w:rsidRPr="008E4A31">
        <w:rPr>
          <w:rFonts w:ascii="Arial" w:hAnsi="Arial" w:cs="Arial"/>
          <w:i/>
        </w:rPr>
        <w:t>Code of Practice</w:t>
      </w:r>
      <w:r w:rsidRPr="008E4A31">
        <w:rPr>
          <w:rFonts w:ascii="Arial" w:hAnsi="Arial" w:cs="Arial"/>
        </w:rPr>
        <w:t xml:space="preserve"> requires that all staff undertake mandatory infection prevention and control training on a regular basis.  The specific requirement is:</w:t>
      </w:r>
    </w:p>
    <w:p w14:paraId="3687DEF6" w14:textId="77777777" w:rsidR="00E26256" w:rsidRDefault="00E26256" w:rsidP="00E26256">
      <w:pPr>
        <w:jc w:val="both"/>
        <w:rPr>
          <w:rFonts w:ascii="Arial" w:hAnsi="Arial" w:cs="Arial"/>
        </w:rPr>
      </w:pPr>
    </w:p>
    <w:p w14:paraId="1805D8A4" w14:textId="228DD743" w:rsidR="00875201" w:rsidRPr="00EC079D" w:rsidRDefault="006C6DC8" w:rsidP="00E26256">
      <w:pPr>
        <w:jc w:val="both"/>
        <w:rPr>
          <w:rFonts w:ascii="Arial" w:hAnsi="Arial" w:cs="Arial"/>
          <w:i/>
        </w:rPr>
      </w:pPr>
      <w:r w:rsidRPr="00EC079D">
        <w:rPr>
          <w:rFonts w:ascii="Arial" w:hAnsi="Arial" w:cs="Arial"/>
          <w:i/>
        </w:rPr>
        <w:t>‘that relevant staff, contractors and other persons whose normal duties are directly or indirectly concerned with patients care receive suitable and sufficient training, information and supervision on the measures required to prevent and control risks of infection’.</w:t>
      </w:r>
    </w:p>
    <w:p w14:paraId="42A8D8D2" w14:textId="77777777" w:rsidR="00EF7162" w:rsidRDefault="00EF7162" w:rsidP="00EF7162">
      <w:pPr>
        <w:jc w:val="both"/>
        <w:rPr>
          <w:rFonts w:ascii="Arial" w:hAnsi="Arial" w:cs="Arial"/>
        </w:rPr>
      </w:pPr>
    </w:p>
    <w:p w14:paraId="368BECB3" w14:textId="644476C7" w:rsidR="00EF7162" w:rsidRDefault="00EF7162" w:rsidP="00EF7162">
      <w:pPr>
        <w:jc w:val="both"/>
        <w:rPr>
          <w:rFonts w:ascii="Arial" w:hAnsi="Arial" w:cs="Arial"/>
        </w:rPr>
      </w:pPr>
      <w:r>
        <w:rPr>
          <w:rFonts w:ascii="Arial" w:hAnsi="Arial" w:cs="Arial"/>
        </w:rPr>
        <w:t xml:space="preserve">The IPC team </w:t>
      </w:r>
      <w:r w:rsidR="0064759D">
        <w:rPr>
          <w:rFonts w:ascii="Arial" w:hAnsi="Arial" w:cs="Arial"/>
        </w:rPr>
        <w:t>worked continuously</w:t>
      </w:r>
      <w:r>
        <w:rPr>
          <w:rFonts w:ascii="Arial" w:hAnsi="Arial" w:cs="Arial"/>
        </w:rPr>
        <w:t xml:space="preserve"> to review and update the trust IPC </w:t>
      </w:r>
      <w:r w:rsidR="004A3EB7">
        <w:rPr>
          <w:rFonts w:ascii="Arial" w:hAnsi="Arial" w:cs="Arial"/>
        </w:rPr>
        <w:t>training,</w:t>
      </w:r>
      <w:r w:rsidR="004B6220">
        <w:rPr>
          <w:rFonts w:ascii="Arial" w:hAnsi="Arial" w:cs="Arial"/>
        </w:rPr>
        <w:t xml:space="preserve"> </w:t>
      </w:r>
      <w:r w:rsidR="0064759D">
        <w:rPr>
          <w:rFonts w:ascii="Arial" w:hAnsi="Arial" w:cs="Arial"/>
        </w:rPr>
        <w:t xml:space="preserve">which </w:t>
      </w:r>
      <w:r w:rsidR="004A3EB7">
        <w:rPr>
          <w:rFonts w:ascii="Arial" w:hAnsi="Arial" w:cs="Arial"/>
        </w:rPr>
        <w:t>remained a</w:t>
      </w:r>
      <w:r>
        <w:rPr>
          <w:rFonts w:ascii="Arial" w:hAnsi="Arial" w:cs="Arial"/>
        </w:rPr>
        <w:t xml:space="preserve"> combination of face to face and virtual learning as well as practical hand hygiene training. </w:t>
      </w:r>
    </w:p>
    <w:p w14:paraId="318DA8B4" w14:textId="77777777" w:rsidR="00E26256" w:rsidRDefault="00E26256" w:rsidP="00EF7162">
      <w:pPr>
        <w:jc w:val="both"/>
        <w:rPr>
          <w:rFonts w:ascii="Arial" w:hAnsi="Arial" w:cs="Arial"/>
        </w:rPr>
      </w:pPr>
    </w:p>
    <w:p w14:paraId="2267930B" w14:textId="49C1E76B" w:rsidR="00875201" w:rsidRDefault="00384E9C" w:rsidP="00EE6656">
      <w:pPr>
        <w:jc w:val="both"/>
        <w:rPr>
          <w:rFonts w:ascii="Arial" w:hAnsi="Arial" w:cs="Arial"/>
        </w:rPr>
      </w:pPr>
      <w:r w:rsidRPr="008E4A31">
        <w:rPr>
          <w:rFonts w:ascii="Arial" w:hAnsi="Arial" w:cs="Arial"/>
        </w:rPr>
        <w:t>At the end of this reporting period (March 202</w:t>
      </w:r>
      <w:r w:rsidR="00E26256">
        <w:rPr>
          <w:rFonts w:ascii="Arial" w:hAnsi="Arial" w:cs="Arial"/>
        </w:rPr>
        <w:t>5</w:t>
      </w:r>
      <w:r w:rsidRPr="008E4A31">
        <w:rPr>
          <w:rFonts w:ascii="Arial" w:hAnsi="Arial" w:cs="Arial"/>
        </w:rPr>
        <w:t xml:space="preserve">) compliance with IPC mandatory training requirements was </w:t>
      </w:r>
      <w:r w:rsidR="000932C5" w:rsidRPr="008E4A31">
        <w:rPr>
          <w:rFonts w:ascii="Arial" w:hAnsi="Arial" w:cs="Arial"/>
        </w:rPr>
        <w:t>9</w:t>
      </w:r>
      <w:r w:rsidR="0061272F">
        <w:rPr>
          <w:rFonts w:ascii="Arial" w:hAnsi="Arial" w:cs="Arial"/>
        </w:rPr>
        <w:t>2.9</w:t>
      </w:r>
      <w:r w:rsidR="000932C5" w:rsidRPr="008E4A31">
        <w:rPr>
          <w:rFonts w:ascii="Arial" w:hAnsi="Arial" w:cs="Arial"/>
        </w:rPr>
        <w:t>%</w:t>
      </w:r>
      <w:bookmarkStart w:id="8" w:name="IPCLP"/>
      <w:bookmarkEnd w:id="8"/>
      <w:r w:rsidR="0080072A">
        <w:rPr>
          <w:rFonts w:ascii="Arial" w:hAnsi="Arial" w:cs="Arial"/>
        </w:rPr>
        <w:t xml:space="preserve"> (see table below):</w:t>
      </w:r>
    </w:p>
    <w:p w14:paraId="7A9F9941" w14:textId="43BA340D" w:rsidR="0080072A" w:rsidRDefault="0080072A" w:rsidP="00EE6656">
      <w:pPr>
        <w:jc w:val="both"/>
        <w:rPr>
          <w:rFonts w:ascii="Arial" w:hAnsi="Arial" w:cs="Arial"/>
        </w:rPr>
      </w:pPr>
    </w:p>
    <w:p w14:paraId="596BBBBA" w14:textId="2ED7DE6C" w:rsidR="0080072A" w:rsidRDefault="0080072A" w:rsidP="00EE6656">
      <w:pPr>
        <w:jc w:val="both"/>
        <w:rPr>
          <w:rFonts w:ascii="Arial" w:hAnsi="Arial" w:cs="Arial"/>
        </w:rPr>
      </w:pPr>
      <w:r w:rsidRPr="0085630A">
        <w:rPr>
          <w:rFonts w:ascii="Arial" w:eastAsia="Times New Roman" w:hAnsi="Arial" w:cs="Arial"/>
          <w:noProof/>
          <w:lang w:eastAsia="en-GB"/>
        </w:rPr>
        <w:drawing>
          <wp:inline distT="0" distB="0" distL="0" distR="0" wp14:anchorId="47281FA5" wp14:editId="557A64DE">
            <wp:extent cx="5731510" cy="2377440"/>
            <wp:effectExtent l="0" t="0" r="2540" b="3810"/>
            <wp:docPr id="17" name="Picture 17" descr="Table shows compliance with infection prevention and control training by Care Group and total number of staff. Total staff compliance shown as 92.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377440"/>
                    </a:xfrm>
                    <a:prstGeom prst="rect">
                      <a:avLst/>
                    </a:prstGeom>
                  </pic:spPr>
                </pic:pic>
              </a:graphicData>
            </a:graphic>
          </wp:inline>
        </w:drawing>
      </w:r>
    </w:p>
    <w:p w14:paraId="2A7C93F3" w14:textId="4EFF56A2" w:rsidR="0080072A" w:rsidRDefault="0080072A" w:rsidP="00EE6656">
      <w:pPr>
        <w:jc w:val="both"/>
        <w:rPr>
          <w:rFonts w:ascii="Arial" w:hAnsi="Arial" w:cs="Arial"/>
        </w:rPr>
      </w:pPr>
    </w:p>
    <w:p w14:paraId="3300B8C3" w14:textId="3DBCDCAB" w:rsidR="004F5B58" w:rsidRDefault="004F5B58">
      <w:pPr>
        <w:suppressAutoHyphens w:val="0"/>
        <w:autoSpaceDN/>
        <w:textAlignment w:val="auto"/>
        <w:rPr>
          <w:rFonts w:ascii="Arial" w:hAnsi="Arial" w:cs="Arial"/>
        </w:rPr>
      </w:pPr>
      <w:r>
        <w:rPr>
          <w:rFonts w:ascii="Arial" w:hAnsi="Arial" w:cs="Arial"/>
        </w:rPr>
        <w:br w:type="page"/>
      </w:r>
    </w:p>
    <w:p w14:paraId="7A80C0D8" w14:textId="729468CF" w:rsidR="00875201" w:rsidRPr="008E4A31" w:rsidRDefault="004F5B58" w:rsidP="004F5B58">
      <w:pPr>
        <w:pStyle w:val="Heading2"/>
      </w:pPr>
      <w:bookmarkStart w:id="9" w:name="Audit"/>
      <w:bookmarkEnd w:id="9"/>
      <w:r>
        <w:lastRenderedPageBreak/>
        <w:t xml:space="preserve">7. </w:t>
      </w:r>
      <w:r w:rsidR="005651BB" w:rsidRPr="008E4A31">
        <w:t>Audit</w:t>
      </w:r>
    </w:p>
    <w:p w14:paraId="387312FC" w14:textId="77777777" w:rsidR="00875201" w:rsidRPr="008E4A31" w:rsidRDefault="00875201" w:rsidP="005B0F49">
      <w:pPr>
        <w:pStyle w:val="ListParagraph"/>
        <w:rPr>
          <w:rFonts w:ascii="Arial" w:hAnsi="Arial" w:cs="Arial"/>
          <w:b/>
        </w:rPr>
      </w:pPr>
    </w:p>
    <w:p w14:paraId="3BA2EAB1" w14:textId="32A3AB7C" w:rsidR="00BE43AC" w:rsidRDefault="00BE43AC" w:rsidP="00BE43AC">
      <w:pPr>
        <w:rPr>
          <w:rFonts w:ascii="Arial" w:eastAsia="Times New Roman" w:hAnsi="Arial" w:cs="Arial"/>
          <w:lang w:eastAsia="en-GB"/>
        </w:rPr>
      </w:pPr>
      <w:r w:rsidRPr="00BE43AC">
        <w:rPr>
          <w:rFonts w:ascii="Arial" w:eastAsia="Times New Roman" w:hAnsi="Arial" w:cs="Arial"/>
          <w:lang w:eastAsia="en-GB"/>
        </w:rPr>
        <w:t>The annual audits are undertaken by the IPC team, and where possible, jointly with support from estates, facilities and clinical colleagues. Actions are managed by the care groups and issues escalated through this committee. Below is the comparison between 2023/24 and 2024/25 – there is a notable improvement in the environmental scores between the years, following a significant focus on environmental improvements.</w:t>
      </w:r>
    </w:p>
    <w:p w14:paraId="4BF683EC" w14:textId="77777777" w:rsidR="00BE43AC" w:rsidRPr="00BE43AC" w:rsidRDefault="00BE43AC" w:rsidP="00BE43AC">
      <w:pPr>
        <w:rPr>
          <w:rFonts w:ascii="Arial" w:eastAsia="Times New Roman" w:hAnsi="Arial" w:cs="Arial"/>
          <w:lang w:eastAsia="en-GB"/>
        </w:rPr>
      </w:pPr>
    </w:p>
    <w:p w14:paraId="74124C8F" w14:textId="77777777" w:rsidR="00BE43AC" w:rsidRPr="00BE43AC" w:rsidRDefault="00BE43AC" w:rsidP="00BE43AC">
      <w:pPr>
        <w:rPr>
          <w:rFonts w:ascii="Arial" w:eastAsia="Times New Roman" w:hAnsi="Arial" w:cs="Arial"/>
          <w:lang w:eastAsia="en-GB"/>
        </w:rPr>
      </w:pPr>
      <w:r w:rsidRPr="00BE43AC">
        <w:rPr>
          <w:rFonts w:ascii="Arial" w:eastAsia="Times New Roman" w:hAnsi="Arial" w:cs="Arial"/>
          <w:lang w:eastAsia="en-GB"/>
        </w:rPr>
        <w:t>The clinical practice results identify ongoing areas for improvement, and these are included in the IPC TWIP.</w:t>
      </w:r>
    </w:p>
    <w:p w14:paraId="04706F94" w14:textId="77777777" w:rsidR="00320A13" w:rsidRDefault="00320A13" w:rsidP="005B0F49">
      <w:pPr>
        <w:rPr>
          <w:rFonts w:ascii="Arial" w:hAnsi="Arial" w:cs="Arial"/>
        </w:rPr>
      </w:pPr>
    </w:p>
    <w:p w14:paraId="31AC1268" w14:textId="1723D2F8" w:rsidR="00875201" w:rsidRDefault="00BE2CB0" w:rsidP="005B0F49">
      <w:pPr>
        <w:rPr>
          <w:rFonts w:ascii="Arial" w:hAnsi="Arial" w:cs="Arial"/>
        </w:rPr>
      </w:pPr>
      <w:r w:rsidRPr="008E4A31">
        <w:rPr>
          <w:rFonts w:ascii="Arial" w:hAnsi="Arial" w:cs="Arial"/>
        </w:rPr>
        <w:t>For the reporting year 202</w:t>
      </w:r>
      <w:r w:rsidR="00DA2155">
        <w:rPr>
          <w:rFonts w:ascii="Arial" w:hAnsi="Arial" w:cs="Arial"/>
        </w:rPr>
        <w:t>3</w:t>
      </w:r>
      <w:r w:rsidRPr="008E4A31">
        <w:rPr>
          <w:rFonts w:ascii="Arial" w:hAnsi="Arial" w:cs="Arial"/>
        </w:rPr>
        <w:t>-</w:t>
      </w:r>
      <w:r w:rsidR="00225A67">
        <w:rPr>
          <w:rFonts w:ascii="Arial" w:hAnsi="Arial" w:cs="Arial"/>
        </w:rPr>
        <w:t>20</w:t>
      </w:r>
      <w:r w:rsidRPr="008E4A31">
        <w:rPr>
          <w:rFonts w:ascii="Arial" w:hAnsi="Arial" w:cs="Arial"/>
        </w:rPr>
        <w:t>2</w:t>
      </w:r>
      <w:r w:rsidR="00DA2155">
        <w:rPr>
          <w:rFonts w:ascii="Arial" w:hAnsi="Arial" w:cs="Arial"/>
        </w:rPr>
        <w:t>4</w:t>
      </w:r>
      <w:r w:rsidRPr="008E4A31">
        <w:rPr>
          <w:rFonts w:ascii="Arial" w:hAnsi="Arial" w:cs="Arial"/>
        </w:rPr>
        <w:t xml:space="preserve"> the following audits continued</w:t>
      </w:r>
      <w:r w:rsidR="0064759D">
        <w:rPr>
          <w:rFonts w:ascii="Arial" w:hAnsi="Arial" w:cs="Arial"/>
        </w:rPr>
        <w:t>:</w:t>
      </w:r>
    </w:p>
    <w:p w14:paraId="54612C5D" w14:textId="77777777" w:rsidR="00BE43AC" w:rsidRPr="008E4A31" w:rsidRDefault="00BE43AC" w:rsidP="005B0F49">
      <w:pPr>
        <w:rPr>
          <w:rFonts w:ascii="Arial" w:hAnsi="Arial" w:cs="Arial"/>
        </w:rPr>
      </w:pPr>
    </w:p>
    <w:p w14:paraId="23ECBF38" w14:textId="16BF56CD" w:rsidR="0039792E" w:rsidRDefault="00BE43AC" w:rsidP="00C752D3">
      <w:pPr>
        <w:jc w:val="both"/>
        <w:rPr>
          <w:rFonts w:ascii="Arial" w:hAnsi="Arial" w:cs="Arial"/>
        </w:rPr>
      </w:pPr>
      <w:r w:rsidRPr="0055437C">
        <w:rPr>
          <w:rFonts w:ascii="Arial" w:eastAsia="Times New Roman" w:hAnsi="Arial" w:cs="Arial"/>
          <w:noProof/>
          <w:lang w:eastAsia="en-GB"/>
        </w:rPr>
        <w:drawing>
          <wp:inline distT="0" distB="0" distL="0" distR="0" wp14:anchorId="1B4CFF81" wp14:editId="6004E7DE">
            <wp:extent cx="5381625" cy="2984981"/>
            <wp:effectExtent l="0" t="0" r="0" b="6350"/>
            <wp:docPr id="25" name="Picture 25" descr="This bar chart identified environmental audit results from 2023-2024 for comparison with 2024-2025 shown in next ta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1625" cy="2984981"/>
                    </a:xfrm>
                    <a:prstGeom prst="rect">
                      <a:avLst/>
                    </a:prstGeom>
                  </pic:spPr>
                </pic:pic>
              </a:graphicData>
            </a:graphic>
          </wp:inline>
        </w:drawing>
      </w:r>
    </w:p>
    <w:p w14:paraId="302BAE02" w14:textId="694B0372" w:rsidR="00A34591" w:rsidRDefault="0039792E" w:rsidP="0039792E">
      <w:pPr>
        <w:suppressAutoHyphens w:val="0"/>
        <w:autoSpaceDN/>
        <w:textAlignment w:val="auto"/>
        <w:rPr>
          <w:rFonts w:ascii="Arial" w:hAnsi="Arial" w:cs="Arial"/>
        </w:rPr>
      </w:pPr>
      <w:r>
        <w:rPr>
          <w:rFonts w:ascii="Arial" w:hAnsi="Arial" w:cs="Arial"/>
        </w:rPr>
        <w:br w:type="page"/>
      </w:r>
    </w:p>
    <w:p w14:paraId="41DBE182" w14:textId="2B671E6E" w:rsidR="00BE43AC" w:rsidRDefault="00BE43AC" w:rsidP="00C752D3">
      <w:pPr>
        <w:jc w:val="both"/>
        <w:rPr>
          <w:rFonts w:ascii="Arial" w:hAnsi="Arial" w:cs="Arial"/>
        </w:rPr>
      </w:pPr>
    </w:p>
    <w:p w14:paraId="7F834A4D" w14:textId="60E73059" w:rsidR="00BE43AC" w:rsidRDefault="00BE43AC" w:rsidP="00BE43AC">
      <w:pPr>
        <w:rPr>
          <w:rFonts w:ascii="Arial" w:eastAsia="Times New Roman" w:hAnsi="Arial" w:cs="Arial"/>
          <w:lang w:eastAsia="en-GB"/>
        </w:rPr>
      </w:pPr>
      <w:r w:rsidRPr="00BE43AC">
        <w:rPr>
          <w:rFonts w:ascii="Arial" w:eastAsia="Times New Roman" w:hAnsi="Arial" w:cs="Arial"/>
          <w:lang w:eastAsia="en-GB"/>
        </w:rPr>
        <w:t>Trust</w:t>
      </w:r>
      <w:r>
        <w:rPr>
          <w:rFonts w:ascii="Arial" w:eastAsia="Times New Roman" w:hAnsi="Arial" w:cs="Arial"/>
          <w:lang w:eastAsia="en-GB"/>
        </w:rPr>
        <w:t xml:space="preserve"> </w:t>
      </w:r>
      <w:r w:rsidRPr="00BE43AC">
        <w:rPr>
          <w:rFonts w:ascii="Arial" w:eastAsia="Times New Roman" w:hAnsi="Arial" w:cs="Arial"/>
          <w:lang w:eastAsia="en-GB"/>
        </w:rPr>
        <w:t>wide environmental audits for 2024/25</w:t>
      </w:r>
      <w:r>
        <w:rPr>
          <w:rFonts w:ascii="Arial" w:eastAsia="Times New Roman" w:hAnsi="Arial" w:cs="Arial"/>
          <w:lang w:eastAsia="en-GB"/>
        </w:rPr>
        <w:t>:</w:t>
      </w:r>
    </w:p>
    <w:p w14:paraId="2036AA37" w14:textId="6C2CB853" w:rsidR="00BE43AC" w:rsidRDefault="00BE43AC" w:rsidP="00BE43AC">
      <w:pPr>
        <w:rPr>
          <w:rFonts w:ascii="Arial" w:eastAsia="Times New Roman" w:hAnsi="Arial" w:cs="Arial"/>
          <w:lang w:eastAsia="en-GB"/>
        </w:rPr>
      </w:pPr>
    </w:p>
    <w:p w14:paraId="0AA838C6" w14:textId="54603FE5" w:rsidR="00BE43AC" w:rsidRDefault="00BE43AC" w:rsidP="00BE43AC">
      <w:pPr>
        <w:rPr>
          <w:rFonts w:ascii="Arial" w:eastAsia="Times New Roman" w:hAnsi="Arial" w:cs="Arial"/>
          <w:lang w:eastAsia="en-GB"/>
        </w:rPr>
      </w:pPr>
      <w:r w:rsidRPr="0008313F">
        <w:rPr>
          <w:noProof/>
          <w:lang w:eastAsia="en-GB"/>
        </w:rPr>
        <w:drawing>
          <wp:inline distT="0" distB="0" distL="0" distR="0" wp14:anchorId="293B13DD" wp14:editId="540C2E27">
            <wp:extent cx="5391150" cy="2793981"/>
            <wp:effectExtent l="0" t="0" r="0" b="6985"/>
            <wp:docPr id="14" name="Picture 14" descr="This chart identifies environmental audit results 2024-2025.  When compared to previous table, shows improvement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9063" cy="2813629"/>
                    </a:xfrm>
                    <a:prstGeom prst="rect">
                      <a:avLst/>
                    </a:prstGeom>
                  </pic:spPr>
                </pic:pic>
              </a:graphicData>
            </a:graphic>
          </wp:inline>
        </w:drawing>
      </w:r>
    </w:p>
    <w:p w14:paraId="04769AB7" w14:textId="05B2A2DC" w:rsidR="00196FCC" w:rsidRDefault="00196FCC" w:rsidP="00DE563E">
      <w:pPr>
        <w:rPr>
          <w:rFonts w:ascii="Arial" w:eastAsia="Times New Roman" w:hAnsi="Arial" w:cs="Arial"/>
          <w:lang w:eastAsia="en-GB"/>
        </w:rPr>
      </w:pPr>
    </w:p>
    <w:p w14:paraId="14E945FA" w14:textId="5083354F" w:rsidR="00BE43AC" w:rsidRDefault="00BE43AC" w:rsidP="00BE43AC">
      <w:pPr>
        <w:rPr>
          <w:rFonts w:ascii="Arial" w:eastAsia="Times New Roman" w:hAnsi="Arial" w:cs="Arial"/>
          <w:lang w:eastAsia="en-GB"/>
        </w:rPr>
      </w:pPr>
      <w:r w:rsidRPr="00FD11BE">
        <w:rPr>
          <w:rFonts w:ascii="Arial" w:eastAsia="Times New Roman" w:hAnsi="Arial" w:cs="Arial"/>
          <w:lang w:eastAsia="en-GB"/>
        </w:rPr>
        <w:t xml:space="preserve">Annual </w:t>
      </w:r>
      <w:r>
        <w:rPr>
          <w:rFonts w:ascii="Arial" w:eastAsia="Times New Roman" w:hAnsi="Arial" w:cs="Arial"/>
          <w:lang w:eastAsia="en-GB"/>
        </w:rPr>
        <w:t>c</w:t>
      </w:r>
      <w:r w:rsidRPr="00FD11BE">
        <w:rPr>
          <w:rFonts w:ascii="Arial" w:eastAsia="Times New Roman" w:hAnsi="Arial" w:cs="Arial"/>
          <w:lang w:eastAsia="en-GB"/>
        </w:rPr>
        <w:t>linical practice audit on MEG for 2023/24</w:t>
      </w:r>
      <w:r>
        <w:rPr>
          <w:rFonts w:ascii="Arial" w:eastAsia="Times New Roman" w:hAnsi="Arial" w:cs="Arial"/>
          <w:lang w:eastAsia="en-GB"/>
        </w:rPr>
        <w:t>:</w:t>
      </w:r>
    </w:p>
    <w:p w14:paraId="258D79CB" w14:textId="3F863664" w:rsidR="00BE43AC" w:rsidRDefault="00BE43AC" w:rsidP="00BE43AC">
      <w:pPr>
        <w:rPr>
          <w:rFonts w:ascii="Arial" w:eastAsia="Times New Roman" w:hAnsi="Arial" w:cs="Arial"/>
          <w:lang w:eastAsia="en-GB"/>
        </w:rPr>
      </w:pPr>
    </w:p>
    <w:p w14:paraId="6F302971" w14:textId="2333DE6C" w:rsidR="00635948" w:rsidRDefault="00BE43AC" w:rsidP="00BE43AC">
      <w:pPr>
        <w:rPr>
          <w:rFonts w:ascii="Arial" w:eastAsia="Times New Roman" w:hAnsi="Arial" w:cs="Arial"/>
          <w:lang w:eastAsia="en-GB"/>
        </w:rPr>
      </w:pPr>
      <w:r w:rsidRPr="0055437C">
        <w:rPr>
          <w:rFonts w:ascii="Arial" w:eastAsia="Times New Roman" w:hAnsi="Arial" w:cs="Arial"/>
          <w:noProof/>
          <w:lang w:eastAsia="en-GB"/>
        </w:rPr>
        <w:drawing>
          <wp:inline distT="0" distB="0" distL="0" distR="0" wp14:anchorId="7AEC983E" wp14:editId="11A70D4B">
            <wp:extent cx="5400675" cy="3251200"/>
            <wp:effectExtent l="0" t="0" r="9525" b="6350"/>
            <wp:docPr id="26" name="Picture 26" descr="This bar chart identified clinical audit results from 2023-2024 for comparison with 2024-2025 shown in next tab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4750" cy="3265693"/>
                    </a:xfrm>
                    <a:prstGeom prst="rect">
                      <a:avLst/>
                    </a:prstGeom>
                  </pic:spPr>
                </pic:pic>
              </a:graphicData>
            </a:graphic>
          </wp:inline>
        </w:drawing>
      </w:r>
    </w:p>
    <w:p w14:paraId="17E8A290" w14:textId="77777777" w:rsidR="00616934" w:rsidRDefault="00616934" w:rsidP="00BE43AC">
      <w:pPr>
        <w:rPr>
          <w:rFonts w:ascii="Arial" w:eastAsia="Times New Roman" w:hAnsi="Arial" w:cs="Arial"/>
          <w:lang w:eastAsia="en-GB"/>
        </w:rPr>
      </w:pPr>
    </w:p>
    <w:p w14:paraId="2F193E8A" w14:textId="01853ADF" w:rsidR="00BE43AC" w:rsidRDefault="00BE43AC" w:rsidP="00BE43AC">
      <w:pPr>
        <w:rPr>
          <w:rFonts w:ascii="Arial" w:eastAsia="Times New Roman" w:hAnsi="Arial" w:cs="Arial"/>
          <w:lang w:eastAsia="en-GB"/>
        </w:rPr>
      </w:pPr>
      <w:r w:rsidRPr="00BE43AC">
        <w:rPr>
          <w:rFonts w:ascii="Arial" w:eastAsia="Times New Roman" w:hAnsi="Arial" w:cs="Arial"/>
          <w:lang w:eastAsia="en-GB"/>
        </w:rPr>
        <w:t>Annual Clinical practice audit on MEG for 2024/25:</w:t>
      </w:r>
    </w:p>
    <w:p w14:paraId="2190497E" w14:textId="37602E7B" w:rsidR="00BE43AC" w:rsidRDefault="00BE43AC" w:rsidP="00BE43AC">
      <w:pPr>
        <w:rPr>
          <w:rFonts w:ascii="Arial" w:eastAsia="Times New Roman" w:hAnsi="Arial" w:cs="Arial"/>
          <w:lang w:eastAsia="en-GB"/>
        </w:rPr>
      </w:pPr>
    </w:p>
    <w:p w14:paraId="7FE3F800" w14:textId="163C3CE3" w:rsidR="00BE43AC" w:rsidRPr="00BE43AC" w:rsidRDefault="00BE43AC" w:rsidP="00BE43AC">
      <w:pPr>
        <w:rPr>
          <w:rFonts w:ascii="Arial" w:eastAsia="Times New Roman" w:hAnsi="Arial" w:cs="Arial"/>
          <w:lang w:eastAsia="en-GB"/>
        </w:rPr>
      </w:pPr>
      <w:r w:rsidRPr="0008313F">
        <w:rPr>
          <w:noProof/>
          <w:lang w:eastAsia="en-GB"/>
        </w:rPr>
        <w:lastRenderedPageBreak/>
        <w:drawing>
          <wp:inline distT="0" distB="0" distL="0" distR="0" wp14:anchorId="1FF89267" wp14:editId="32A85C83">
            <wp:extent cx="5495634" cy="308864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7315" cy="3095205"/>
                    </a:xfrm>
                    <a:prstGeom prst="rect">
                      <a:avLst/>
                    </a:prstGeom>
                  </pic:spPr>
                </pic:pic>
              </a:graphicData>
            </a:graphic>
          </wp:inline>
        </w:drawing>
      </w:r>
    </w:p>
    <w:p w14:paraId="311E8F4A" w14:textId="7C6BDAA7" w:rsidR="00BE43AC" w:rsidRDefault="00BE43AC" w:rsidP="00DE563E">
      <w:pPr>
        <w:rPr>
          <w:rFonts w:ascii="Arial" w:hAnsi="Arial" w:cs="Arial"/>
          <w:b/>
        </w:rPr>
      </w:pPr>
    </w:p>
    <w:p w14:paraId="1573DD40" w14:textId="71F801C1" w:rsidR="0080072A" w:rsidRPr="002F178B" w:rsidRDefault="0080072A" w:rsidP="00DE563E">
      <w:pPr>
        <w:rPr>
          <w:rFonts w:ascii="Arial" w:eastAsia="Times New Roman" w:hAnsi="Arial" w:cs="Arial"/>
          <w:lang w:eastAsia="en-GB"/>
        </w:rPr>
      </w:pPr>
      <w:r w:rsidRPr="0080072A">
        <w:rPr>
          <w:rFonts w:ascii="Arial" w:eastAsia="Times New Roman" w:hAnsi="Arial" w:cs="Arial"/>
          <w:lang w:eastAsia="en-GB"/>
        </w:rPr>
        <w:t>The link worker programme continue</w:t>
      </w:r>
      <w:r>
        <w:rPr>
          <w:rFonts w:ascii="Arial" w:eastAsia="Times New Roman" w:hAnsi="Arial" w:cs="Arial"/>
          <w:lang w:eastAsia="en-GB"/>
        </w:rPr>
        <w:t>d throughout 2024/25</w:t>
      </w:r>
      <w:r w:rsidRPr="0080072A">
        <w:rPr>
          <w:rFonts w:ascii="Arial" w:eastAsia="Times New Roman" w:hAnsi="Arial" w:cs="Arial"/>
          <w:lang w:eastAsia="en-GB"/>
        </w:rPr>
        <w:t xml:space="preserve"> within the Trust, with support and training focussing on hand hygiene,</w:t>
      </w:r>
      <w:r w:rsidR="00433C9E">
        <w:rPr>
          <w:rFonts w:ascii="Arial" w:eastAsia="Times New Roman" w:hAnsi="Arial" w:cs="Arial"/>
          <w:lang w:eastAsia="en-GB"/>
        </w:rPr>
        <w:t xml:space="preserve"> </w:t>
      </w:r>
      <w:r w:rsidR="00433C9E" w:rsidRPr="008C273E">
        <w:rPr>
          <w:rFonts w:ascii="Arial" w:eastAsia="Times New Roman" w:hAnsi="Arial" w:cs="Arial"/>
          <w:i/>
          <w:lang w:eastAsia="en-GB"/>
        </w:rPr>
        <w:t>C</w:t>
      </w:r>
      <w:r w:rsidR="00885EFD" w:rsidRPr="008C273E">
        <w:rPr>
          <w:rFonts w:ascii="Arial" w:eastAsia="Times New Roman" w:hAnsi="Arial" w:cs="Arial"/>
          <w:i/>
          <w:lang w:eastAsia="en-GB"/>
        </w:rPr>
        <w:t xml:space="preserve">lostridioides </w:t>
      </w:r>
      <w:r w:rsidR="00433C9E" w:rsidRPr="008C273E">
        <w:rPr>
          <w:rFonts w:ascii="Arial" w:eastAsia="Times New Roman" w:hAnsi="Arial" w:cs="Arial"/>
          <w:i/>
          <w:lang w:eastAsia="en-GB"/>
        </w:rPr>
        <w:t xml:space="preserve"> diff</w:t>
      </w:r>
      <w:r w:rsidR="00885EFD" w:rsidRPr="008C273E">
        <w:rPr>
          <w:rFonts w:ascii="Arial" w:eastAsia="Times New Roman" w:hAnsi="Arial" w:cs="Arial"/>
          <w:i/>
          <w:lang w:eastAsia="en-GB"/>
        </w:rPr>
        <w:t>icile</w:t>
      </w:r>
      <w:r w:rsidRPr="0080072A">
        <w:rPr>
          <w:rFonts w:ascii="Arial" w:eastAsia="Times New Roman" w:hAnsi="Arial" w:cs="Arial"/>
          <w:lang w:eastAsia="en-GB"/>
        </w:rPr>
        <w:t xml:space="preserve"> recognition and UTI reduction tools. </w:t>
      </w:r>
      <w:r w:rsidR="00433C9E">
        <w:rPr>
          <w:rFonts w:ascii="Arial" w:eastAsia="Times New Roman" w:hAnsi="Arial" w:cs="Arial"/>
          <w:lang w:eastAsia="en-GB"/>
        </w:rPr>
        <w:t>The link worker programme was developed based on themes from learning following healthcare associated infection reviews.</w:t>
      </w:r>
    </w:p>
    <w:p w14:paraId="20A561D4" w14:textId="77777777" w:rsidR="00D44630" w:rsidRPr="00DE563E" w:rsidRDefault="00D44630" w:rsidP="00DE563E">
      <w:pPr>
        <w:rPr>
          <w:rFonts w:ascii="Arial" w:hAnsi="Arial" w:cs="Arial"/>
          <w:b/>
        </w:rPr>
      </w:pPr>
    </w:p>
    <w:p w14:paraId="35D49289" w14:textId="2F3E96C0" w:rsidR="00875201" w:rsidRPr="008E4A31" w:rsidRDefault="004F5B58" w:rsidP="004F5B58">
      <w:pPr>
        <w:pStyle w:val="Heading2"/>
      </w:pPr>
      <w:bookmarkStart w:id="10" w:name="Hospital_Hygiene"/>
      <w:bookmarkEnd w:id="10"/>
      <w:r>
        <w:t xml:space="preserve">8. </w:t>
      </w:r>
      <w:r w:rsidR="005651BB" w:rsidRPr="008E4A31">
        <w:t>Hospital Hygiene and the Healthcare Environment</w:t>
      </w:r>
    </w:p>
    <w:p w14:paraId="37065CEC" w14:textId="77777777" w:rsidR="00875201" w:rsidRPr="008E4A31" w:rsidRDefault="00875201" w:rsidP="00225A67">
      <w:pPr>
        <w:pStyle w:val="ListParagraph"/>
        <w:rPr>
          <w:rFonts w:ascii="Arial" w:hAnsi="Arial" w:cs="Arial"/>
          <w:b/>
        </w:rPr>
      </w:pPr>
      <w:bookmarkStart w:id="11" w:name="_Hlk170893848"/>
    </w:p>
    <w:p w14:paraId="0444A2C5" w14:textId="77777777" w:rsidR="00F620F9" w:rsidRPr="008E4A31" w:rsidRDefault="00F620F9" w:rsidP="00F620F9">
      <w:pPr>
        <w:rPr>
          <w:rFonts w:ascii="Arial" w:hAnsi="Arial" w:cs="Arial"/>
        </w:rPr>
      </w:pPr>
      <w:r w:rsidRPr="008E4A31">
        <w:rPr>
          <w:rFonts w:ascii="Arial" w:hAnsi="Arial" w:cs="Arial"/>
        </w:rPr>
        <w:t xml:space="preserve">The IPC Team have continued to monitor standards of cleanliness within the Trust and promote good practice in conjunction with the Hospital and </w:t>
      </w:r>
      <w:r>
        <w:rPr>
          <w:rFonts w:ascii="Arial" w:hAnsi="Arial" w:cs="Arial"/>
        </w:rPr>
        <w:t xml:space="preserve">2gether Support Solutions </w:t>
      </w:r>
      <w:r w:rsidRPr="008E4A31">
        <w:rPr>
          <w:rFonts w:ascii="Arial" w:hAnsi="Arial" w:cs="Arial"/>
        </w:rPr>
        <w:t>Facilities Managers through participation in the following activities:</w:t>
      </w:r>
    </w:p>
    <w:p w14:paraId="58252121" w14:textId="77777777" w:rsidR="00F620F9" w:rsidRPr="008E4A31" w:rsidRDefault="00F620F9" w:rsidP="00F620F9">
      <w:pPr>
        <w:rPr>
          <w:rFonts w:ascii="Arial" w:hAnsi="Arial" w:cs="Arial"/>
        </w:rPr>
      </w:pPr>
    </w:p>
    <w:p w14:paraId="2374C65B" w14:textId="77777777" w:rsidR="00F620F9" w:rsidRPr="008E4A31" w:rsidRDefault="00F620F9" w:rsidP="00F620F9">
      <w:pPr>
        <w:pStyle w:val="ListParagraph"/>
        <w:numPr>
          <w:ilvl w:val="0"/>
          <w:numId w:val="7"/>
        </w:numPr>
        <w:rPr>
          <w:rFonts w:ascii="Arial" w:hAnsi="Arial" w:cs="Arial"/>
        </w:rPr>
      </w:pPr>
      <w:r w:rsidRPr="008E4A31">
        <w:rPr>
          <w:rFonts w:ascii="Arial" w:hAnsi="Arial" w:cs="Arial"/>
        </w:rPr>
        <w:t>Patient-led Assessment of the Care Environment (PLACE).</w:t>
      </w:r>
    </w:p>
    <w:p w14:paraId="51EA62F4" w14:textId="77777777" w:rsidR="00F620F9" w:rsidRPr="008E4A31" w:rsidRDefault="00F620F9" w:rsidP="00F620F9">
      <w:pPr>
        <w:pStyle w:val="ListParagraph"/>
        <w:numPr>
          <w:ilvl w:val="0"/>
          <w:numId w:val="7"/>
        </w:numPr>
        <w:rPr>
          <w:rFonts w:ascii="Arial" w:hAnsi="Arial" w:cs="Arial"/>
        </w:rPr>
      </w:pPr>
      <w:r w:rsidRPr="008E4A31">
        <w:rPr>
          <w:rFonts w:ascii="Arial" w:hAnsi="Arial" w:cs="Arial"/>
        </w:rPr>
        <w:t xml:space="preserve">Environmental audits of cleanliness and the healthcare environment. </w:t>
      </w:r>
    </w:p>
    <w:p w14:paraId="27E318F0" w14:textId="77777777" w:rsidR="00F620F9" w:rsidRPr="008E4A31" w:rsidRDefault="00F620F9" w:rsidP="00F620F9">
      <w:pPr>
        <w:pStyle w:val="ListParagraph"/>
        <w:numPr>
          <w:ilvl w:val="0"/>
          <w:numId w:val="7"/>
        </w:numPr>
        <w:rPr>
          <w:rFonts w:ascii="Arial" w:hAnsi="Arial" w:cs="Arial"/>
        </w:rPr>
      </w:pPr>
      <w:r w:rsidRPr="008E4A31">
        <w:rPr>
          <w:rFonts w:ascii="Arial" w:hAnsi="Arial" w:cs="Arial"/>
        </w:rPr>
        <w:t>Advising contractors/contract management on cleaning and domestic issues.</w:t>
      </w:r>
    </w:p>
    <w:p w14:paraId="4E40710D" w14:textId="77777777" w:rsidR="00F620F9" w:rsidRPr="008E4A31" w:rsidRDefault="00F620F9" w:rsidP="00F620F9">
      <w:pPr>
        <w:pStyle w:val="ListParagraph"/>
        <w:numPr>
          <w:ilvl w:val="0"/>
          <w:numId w:val="7"/>
        </w:numPr>
        <w:rPr>
          <w:rFonts w:ascii="Arial" w:hAnsi="Arial" w:cs="Arial"/>
        </w:rPr>
      </w:pPr>
      <w:r w:rsidRPr="008E4A31">
        <w:rPr>
          <w:rFonts w:ascii="Arial" w:hAnsi="Arial" w:cs="Arial"/>
        </w:rPr>
        <w:t>Day to day advice/intervention/escalation to facilities management as appropriate, with regard to cleaning issues.</w:t>
      </w:r>
    </w:p>
    <w:p w14:paraId="193DCC9A" w14:textId="77777777" w:rsidR="00F620F9" w:rsidRDefault="00F620F9" w:rsidP="00F620F9">
      <w:pPr>
        <w:pStyle w:val="ListParagraph"/>
        <w:numPr>
          <w:ilvl w:val="0"/>
          <w:numId w:val="7"/>
        </w:numPr>
        <w:rPr>
          <w:rFonts w:ascii="Arial" w:hAnsi="Arial" w:cs="Arial"/>
        </w:rPr>
      </w:pPr>
      <w:r w:rsidRPr="008E4A31">
        <w:rPr>
          <w:rFonts w:ascii="Arial" w:hAnsi="Arial" w:cs="Arial"/>
        </w:rPr>
        <w:t xml:space="preserve">Advising, with engineering colleagues from 2gether Support Solutions, through the site based and trust wide Water Safety Groups on the safe management of water supplies, to prevent risks associated with Legionella and, in augmented care settings, </w:t>
      </w:r>
      <w:r w:rsidRPr="008E4A31">
        <w:rPr>
          <w:rFonts w:ascii="Arial" w:hAnsi="Arial" w:cs="Arial"/>
          <w:i/>
        </w:rPr>
        <w:t>Pseudomonas aeruginosa</w:t>
      </w:r>
      <w:r w:rsidRPr="008E4A31">
        <w:rPr>
          <w:rFonts w:ascii="Arial" w:hAnsi="Arial" w:cs="Arial"/>
        </w:rPr>
        <w:t>.</w:t>
      </w:r>
    </w:p>
    <w:p w14:paraId="72DEF15B" w14:textId="77777777" w:rsidR="00F620F9" w:rsidRDefault="00F620F9" w:rsidP="00F620F9">
      <w:pPr>
        <w:pStyle w:val="ListParagraph"/>
        <w:numPr>
          <w:ilvl w:val="0"/>
          <w:numId w:val="7"/>
        </w:numPr>
        <w:rPr>
          <w:rFonts w:ascii="Arial" w:hAnsi="Arial" w:cs="Arial"/>
        </w:rPr>
      </w:pPr>
      <w:r>
        <w:rPr>
          <w:rFonts w:ascii="Arial" w:hAnsi="Arial" w:cs="Arial"/>
        </w:rPr>
        <w:t>Attending joint cleaning audit training to ensure parity of audit standards.</w:t>
      </w:r>
    </w:p>
    <w:p w14:paraId="6DDE1FD9" w14:textId="77777777" w:rsidR="00F620F9" w:rsidRPr="008E4A31" w:rsidRDefault="00F620F9" w:rsidP="00F620F9">
      <w:pPr>
        <w:pStyle w:val="ListParagraph"/>
        <w:numPr>
          <w:ilvl w:val="0"/>
          <w:numId w:val="7"/>
        </w:numPr>
        <w:rPr>
          <w:rFonts w:ascii="Arial" w:hAnsi="Arial" w:cs="Arial"/>
        </w:rPr>
      </w:pPr>
      <w:r w:rsidRPr="008E4A31">
        <w:rPr>
          <w:rFonts w:ascii="Arial" w:hAnsi="Arial" w:cs="Arial"/>
        </w:rPr>
        <w:t xml:space="preserve">Advising, with engineering colleagues from 2gether Support Solutions, through the </w:t>
      </w:r>
      <w:r>
        <w:rPr>
          <w:rFonts w:ascii="Arial" w:hAnsi="Arial" w:cs="Arial"/>
        </w:rPr>
        <w:t>T</w:t>
      </w:r>
      <w:r w:rsidRPr="008E4A31">
        <w:rPr>
          <w:rFonts w:ascii="Arial" w:hAnsi="Arial" w:cs="Arial"/>
        </w:rPr>
        <w:t xml:space="preserve">rust wide </w:t>
      </w:r>
      <w:r>
        <w:rPr>
          <w:rFonts w:ascii="Arial" w:hAnsi="Arial" w:cs="Arial"/>
        </w:rPr>
        <w:t>Ventilation</w:t>
      </w:r>
      <w:r w:rsidRPr="008E4A31">
        <w:rPr>
          <w:rFonts w:ascii="Arial" w:hAnsi="Arial" w:cs="Arial"/>
        </w:rPr>
        <w:t xml:space="preserve"> Safety Groups</w:t>
      </w:r>
    </w:p>
    <w:p w14:paraId="7D78C855" w14:textId="77777777" w:rsidR="00F620F9" w:rsidRPr="008E4A31" w:rsidRDefault="00F620F9" w:rsidP="00F620F9">
      <w:pPr>
        <w:pStyle w:val="ListParagraph"/>
        <w:rPr>
          <w:rFonts w:ascii="Arial" w:hAnsi="Arial" w:cs="Arial"/>
        </w:rPr>
      </w:pPr>
    </w:p>
    <w:p w14:paraId="7E061A7A" w14:textId="77777777" w:rsidR="00300E77" w:rsidRDefault="00F620F9" w:rsidP="00F620F9">
      <w:pPr>
        <w:jc w:val="both"/>
        <w:rPr>
          <w:rFonts w:ascii="Arial" w:hAnsi="Arial" w:cs="Arial"/>
        </w:rPr>
      </w:pPr>
      <w:r>
        <w:rPr>
          <w:rFonts w:ascii="Arial" w:hAnsi="Arial" w:cs="Arial"/>
        </w:rPr>
        <w:t xml:space="preserve">During 2024-2025 the IPC team has continued to work with 2gether colleagues to review and manage cleanliness standards across the organisation. The Trust has, with a small number of </w:t>
      </w:r>
      <w:r>
        <w:rPr>
          <w:rFonts w:ascii="Arial" w:hAnsi="Arial" w:cs="Arial"/>
        </w:rPr>
        <w:lastRenderedPageBreak/>
        <w:t xml:space="preserve">exceptions, a very old estate and a very significant backlog of maintenance and need for refurbishment of clinical environments. This creates a major challenge to effective cleanliness as a large amount of the estate is beyond the scope of cleaning and therefore does not support good IPC practice or lead to a good patient experience. The DIPC and DDIPC work with the trust and 2gether to prioritise the very limited capital investment available, taking into consideration the range of patient and safety risks, not limited to IPC risks. These challenges are reflected in the trust’s corporate risk register. </w:t>
      </w:r>
      <w:r w:rsidRPr="0003164C">
        <w:rPr>
          <w:rFonts w:ascii="Arial" w:hAnsi="Arial" w:cs="Arial"/>
        </w:rPr>
        <w:t xml:space="preserve"> </w:t>
      </w:r>
      <w:r>
        <w:rPr>
          <w:rFonts w:ascii="Arial" w:hAnsi="Arial" w:cs="Arial"/>
        </w:rPr>
        <w:t xml:space="preserve">2024-2025 has seen a significant joint trust and 2gether focus on cleaning standards with stakeholder groups engaged in both strategic and operational planning to drive increased standards of cleanliness. This has led to a review of the cleaning standards in place, commencing initially with looking at all published cleaning arrangements and reviewing accountability and understanding of the detail surrounding those arrangements. </w:t>
      </w:r>
    </w:p>
    <w:p w14:paraId="71225B57" w14:textId="77777777" w:rsidR="00300E77" w:rsidRPr="00300E77" w:rsidRDefault="00300E77" w:rsidP="00F620F9">
      <w:pPr>
        <w:jc w:val="both"/>
        <w:rPr>
          <w:rFonts w:ascii="Arial" w:hAnsi="Arial" w:cs="Arial"/>
        </w:rPr>
      </w:pPr>
    </w:p>
    <w:p w14:paraId="79EDCB4D" w14:textId="77777777" w:rsidR="00300E77" w:rsidRPr="008C273E" w:rsidRDefault="00300E77" w:rsidP="00300E77">
      <w:pPr>
        <w:jc w:val="both"/>
        <w:rPr>
          <w:rFonts w:ascii="Arial" w:hAnsi="Arial" w:cs="Arial"/>
        </w:rPr>
      </w:pPr>
      <w:r w:rsidRPr="008C273E">
        <w:rPr>
          <w:rFonts w:ascii="Arial" w:hAnsi="Arial" w:cs="Arial"/>
        </w:rPr>
        <w:t xml:space="preserve">All 50 cleaning elements listed in the New Cleaning Standards have been reviewed in relation to whether the element has an estates, facilities or clinical responsibility, traced back to review of relevant IPC/Trust policies and then the method and frequency of clean has been appraised and agreed by all parties. Whilst this piece of work had been done previously at a high-level during mobilisation of the standards, the detailed evaluation of “local protocol arrangements” had not yet been fully formalised. Particular focus has been paid to areas that provide risk in relation to potential infection such as vents, grilles, sluices and related equipment, commodes, but there has also been a robust review of items such as mobility aids, all types of trolley (crash, linen, drugs), lighting and so on, with any element that may have had any ambiguity surrounded the context of the item being split into a subsection of the standards to ensure absolute clarity. It is important not to underestimate the volume and detail of the work that has been needed to ensure all elements are agreed and clear for staff across all services. </w:t>
      </w:r>
    </w:p>
    <w:p w14:paraId="329D4C40" w14:textId="77777777" w:rsidR="00300E77" w:rsidRPr="008C273E" w:rsidRDefault="00300E77" w:rsidP="00300E77">
      <w:pPr>
        <w:jc w:val="both"/>
        <w:rPr>
          <w:rFonts w:ascii="Arial" w:hAnsi="Arial" w:cs="Arial"/>
        </w:rPr>
      </w:pPr>
    </w:p>
    <w:p w14:paraId="5782EFB7" w14:textId="77777777" w:rsidR="00300E77" w:rsidRPr="008C273E" w:rsidRDefault="00300E77" w:rsidP="00300E77">
      <w:pPr>
        <w:jc w:val="both"/>
        <w:rPr>
          <w:rFonts w:ascii="Arial" w:hAnsi="Arial" w:cs="Arial"/>
        </w:rPr>
      </w:pPr>
      <w:r w:rsidRPr="008C273E">
        <w:rPr>
          <w:rFonts w:ascii="Arial" w:hAnsi="Arial" w:cs="Arial"/>
        </w:rPr>
        <w:t xml:space="preserve">The ongoing work between IPC and 2gether has led to the CLEAN 2 campaign being planned in for 2025, working jointly with 2gether to ensure clinical and 2gether staff have this clarity on their own responsibility for cleaning but also to ensure there is work carried out co-operatively on cleaning standards. Work has also focused on providing information for staff on how to log concerns, report estates issues, record items that are condemned and request the right type of cleaning for their areas – these items have been focused on based on feedback from staff. </w:t>
      </w:r>
    </w:p>
    <w:p w14:paraId="55332FB9" w14:textId="77777777" w:rsidR="00300E77" w:rsidRPr="008C273E" w:rsidRDefault="00300E77" w:rsidP="00300E77">
      <w:pPr>
        <w:jc w:val="both"/>
        <w:rPr>
          <w:rFonts w:ascii="Arial" w:hAnsi="Arial" w:cs="Arial"/>
        </w:rPr>
      </w:pPr>
    </w:p>
    <w:p w14:paraId="681F635C" w14:textId="5B6EC318" w:rsidR="00300E77" w:rsidRPr="00300E77" w:rsidRDefault="00300E77" w:rsidP="00300E77">
      <w:pPr>
        <w:jc w:val="both"/>
        <w:rPr>
          <w:rFonts w:ascii="Arial" w:hAnsi="Arial" w:cs="Arial"/>
        </w:rPr>
      </w:pPr>
      <w:r w:rsidRPr="008C273E">
        <w:rPr>
          <w:rFonts w:ascii="Arial" w:hAnsi="Arial" w:cs="Arial"/>
        </w:rPr>
        <w:t>All areas of the Hospital are audited in accordance with the national cleaning standards requirements. All staff are BICS trained auditors and have been trained independently by the Chair of the British Cleaning Council is partnership with representatives from IPC. The average scores from the audits are highlighted below</w:t>
      </w:r>
      <w:r>
        <w:rPr>
          <w:rFonts w:ascii="Arial" w:hAnsi="Arial" w:cs="Arial"/>
        </w:rPr>
        <w:t>:</w:t>
      </w:r>
    </w:p>
    <w:p w14:paraId="5672458B" w14:textId="35B06F6D" w:rsidR="00B316C9" w:rsidRDefault="00B316C9" w:rsidP="00F671DF">
      <w:pPr>
        <w:jc w:val="both"/>
        <w:rPr>
          <w:rFonts w:ascii="Arial" w:hAnsi="Arial" w:cs="Arial"/>
        </w:rPr>
      </w:pPr>
      <w:r>
        <w:rPr>
          <w:noProof/>
          <w:lang w:eastAsia="en-GB"/>
        </w:rPr>
        <w:lastRenderedPageBreak/>
        <w:drawing>
          <wp:inline distT="0" distB="0" distL="0" distR="0" wp14:anchorId="4CAF7360" wp14:editId="7FF1D059">
            <wp:extent cx="5878286" cy="4415155"/>
            <wp:effectExtent l="0" t="0" r="8255" b="4445"/>
            <wp:docPr id="12" name="Chart 12">
              <a:extLst xmlns:a="http://schemas.openxmlformats.org/drawingml/2006/main">
                <a:ext uri="{FF2B5EF4-FFF2-40B4-BE49-F238E27FC236}">
                  <a16:creationId xmlns:a16="http://schemas.microsoft.com/office/drawing/2014/main" id="{E0E683F6-C3F9-4A95-8D12-78A0048FDAA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68794E" w14:textId="60D1F7D0" w:rsidR="00625393" w:rsidRPr="0003164C" w:rsidRDefault="00625393" w:rsidP="00F671DF">
      <w:pPr>
        <w:jc w:val="both"/>
        <w:rPr>
          <w:rFonts w:ascii="Arial" w:hAnsi="Arial" w:cs="Arial"/>
        </w:rPr>
      </w:pPr>
    </w:p>
    <w:p w14:paraId="3FDA3A4C" w14:textId="77777777" w:rsidR="00F620F9" w:rsidRDefault="00F620F9" w:rsidP="00F620F9">
      <w:pPr>
        <w:jc w:val="both"/>
        <w:rPr>
          <w:rFonts w:ascii="Arial" w:hAnsi="Arial" w:cs="Arial"/>
        </w:rPr>
      </w:pPr>
      <w:bookmarkStart w:id="12" w:name="Other_Work"/>
      <w:bookmarkEnd w:id="11"/>
      <w:bookmarkEnd w:id="12"/>
      <w:r>
        <w:rPr>
          <w:rFonts w:ascii="Arial" w:hAnsi="Arial" w:cs="Arial"/>
        </w:rPr>
        <w:t xml:space="preserve">Throughout the year, as issues are identified, action plans are put in place, these action plans are reviewed, discussed at local committees and then any escalations are taken to the IPC committee. </w:t>
      </w:r>
    </w:p>
    <w:p w14:paraId="3DCF1941" w14:textId="77777777" w:rsidR="00A73F1B" w:rsidRPr="008E4A31" w:rsidRDefault="00A73F1B" w:rsidP="00C752D3">
      <w:pPr>
        <w:jc w:val="both"/>
        <w:rPr>
          <w:rFonts w:ascii="Arial" w:hAnsi="Arial" w:cs="Arial"/>
        </w:rPr>
      </w:pPr>
    </w:p>
    <w:p w14:paraId="783B9BB7" w14:textId="1767CF10" w:rsidR="00875201" w:rsidRPr="008E4A31" w:rsidRDefault="004F5B58" w:rsidP="004F5B58">
      <w:pPr>
        <w:pStyle w:val="Heading2"/>
      </w:pPr>
      <w:bookmarkStart w:id="13" w:name="Water_Quality"/>
      <w:bookmarkStart w:id="14" w:name="Incidents_Outbreaks"/>
      <w:bookmarkEnd w:id="13"/>
      <w:bookmarkEnd w:id="14"/>
      <w:r>
        <w:t xml:space="preserve">9. </w:t>
      </w:r>
      <w:r w:rsidR="005651BB" w:rsidRPr="008E4A31">
        <w:t>Incidents/Outbreaks of Healthcare</w:t>
      </w:r>
      <w:r w:rsidR="00D44630">
        <w:t xml:space="preserve"> </w:t>
      </w:r>
      <w:r w:rsidR="005651BB" w:rsidRPr="008E4A31">
        <w:t>Associated Infectio</w:t>
      </w:r>
      <w:r w:rsidR="000A2ECB" w:rsidRPr="008E4A31">
        <w:t>n</w:t>
      </w:r>
    </w:p>
    <w:p w14:paraId="7339374E" w14:textId="46D6B797" w:rsidR="007D2D06" w:rsidRPr="008E4A31" w:rsidRDefault="007D2D06" w:rsidP="00225A67">
      <w:pPr>
        <w:rPr>
          <w:rFonts w:ascii="Arial" w:hAnsi="Arial" w:cs="Arial"/>
          <w:b/>
        </w:rPr>
      </w:pPr>
    </w:p>
    <w:p w14:paraId="7D8AC536" w14:textId="5E7A69EA" w:rsidR="00D44630" w:rsidRPr="003F36AB" w:rsidRDefault="00D44630" w:rsidP="00D44630">
      <w:pPr>
        <w:contextualSpacing/>
        <w:rPr>
          <w:rFonts w:ascii="Arial" w:hAnsi="Arial" w:cs="Arial"/>
        </w:rPr>
      </w:pPr>
      <w:r>
        <w:rPr>
          <w:rFonts w:ascii="Arial" w:hAnsi="Arial" w:cs="Arial"/>
          <w:szCs w:val="24"/>
        </w:rPr>
        <w:t xml:space="preserve">Throughout the year there was a significant number of COVID-19 and Influenza outbreaks, mainly contained within individual wards, however the impact on patient flow at all the sites had been significant. A Hospital wide outbreak of Norovirus in QEQM in January 2025 closed many wards to admission, requiring novel ways of utilising the remaining estate, Norovirus continued to circulate and impacting patient flow.  In 2025/26, a review of testing procedures will take place summer 2025, in order to ensure we have </w:t>
      </w:r>
      <w:r w:rsidRPr="003F36AB">
        <w:rPr>
          <w:rFonts w:ascii="Arial" w:hAnsi="Arial" w:cs="Arial"/>
        </w:rPr>
        <w:t>adequate rapid testing facilities and capabilities for 2025/26 winter, as this was a key learning output from the outbreaks.</w:t>
      </w:r>
    </w:p>
    <w:p w14:paraId="4FBC944A" w14:textId="77777777" w:rsidR="00D44630" w:rsidRPr="003F36AB" w:rsidRDefault="00D44630" w:rsidP="00D44630">
      <w:pPr>
        <w:contextualSpacing/>
        <w:rPr>
          <w:rFonts w:ascii="Arial" w:hAnsi="Arial" w:cs="Arial"/>
        </w:rPr>
      </w:pPr>
    </w:p>
    <w:p w14:paraId="1091B579" w14:textId="311D4431" w:rsidR="00D44630" w:rsidRDefault="00D44630" w:rsidP="00D44630">
      <w:pPr>
        <w:contextualSpacing/>
        <w:rPr>
          <w:rFonts w:ascii="Arial" w:eastAsia="Times New Roman" w:hAnsi="Arial" w:cs="Arial"/>
          <w:lang w:eastAsia="en-GB"/>
        </w:rPr>
      </w:pPr>
      <w:r w:rsidRPr="003F36AB">
        <w:rPr>
          <w:rFonts w:ascii="Arial" w:eastAsia="Times New Roman" w:hAnsi="Arial" w:cs="Arial"/>
          <w:lang w:eastAsia="en-GB"/>
        </w:rPr>
        <w:t xml:space="preserve">The Trust </w:t>
      </w:r>
      <w:r>
        <w:rPr>
          <w:rFonts w:ascii="Arial" w:eastAsia="Times New Roman" w:hAnsi="Arial" w:cs="Arial"/>
          <w:lang w:eastAsia="en-GB"/>
        </w:rPr>
        <w:t xml:space="preserve">identified cases </w:t>
      </w:r>
      <w:r w:rsidRPr="003F36AB">
        <w:rPr>
          <w:rFonts w:ascii="Arial" w:eastAsia="Times New Roman" w:hAnsi="Arial" w:cs="Arial"/>
          <w:lang w:eastAsia="en-GB"/>
        </w:rPr>
        <w:t>of Candid</w:t>
      </w:r>
      <w:r w:rsidR="00914899">
        <w:rPr>
          <w:rFonts w:ascii="Arial" w:eastAsia="Times New Roman" w:hAnsi="Arial" w:cs="Arial"/>
          <w:lang w:eastAsia="en-GB"/>
        </w:rPr>
        <w:t>ozyma</w:t>
      </w:r>
      <w:r w:rsidRPr="003F36AB">
        <w:rPr>
          <w:rFonts w:ascii="Arial" w:eastAsia="Times New Roman" w:hAnsi="Arial" w:cs="Arial"/>
          <w:lang w:eastAsia="en-GB"/>
        </w:rPr>
        <w:t xml:space="preserve"> Auris, from patients identified as contacts at Guys hospital</w:t>
      </w:r>
      <w:r>
        <w:rPr>
          <w:rFonts w:ascii="Arial" w:eastAsia="Times New Roman" w:hAnsi="Arial" w:cs="Arial"/>
          <w:lang w:eastAsia="en-GB"/>
        </w:rPr>
        <w:t xml:space="preserve"> </w:t>
      </w:r>
      <w:r w:rsidRPr="003F36AB">
        <w:rPr>
          <w:rFonts w:ascii="Arial" w:eastAsia="Times New Roman" w:hAnsi="Arial" w:cs="Arial"/>
          <w:lang w:eastAsia="en-GB"/>
        </w:rPr>
        <w:t xml:space="preserve">renal transplant units. Internal guidelines and policies were amended, and </w:t>
      </w:r>
      <w:r>
        <w:rPr>
          <w:rFonts w:ascii="Arial" w:eastAsia="Times New Roman" w:hAnsi="Arial" w:cs="Arial"/>
          <w:lang w:eastAsia="en-GB"/>
        </w:rPr>
        <w:t xml:space="preserve">will </w:t>
      </w:r>
      <w:r>
        <w:rPr>
          <w:rFonts w:ascii="Arial" w:eastAsia="Times New Roman" w:hAnsi="Arial" w:cs="Arial"/>
          <w:lang w:eastAsia="en-GB"/>
        </w:rPr>
        <w:lastRenderedPageBreak/>
        <w:t xml:space="preserve">be reviewed again throughout 2025/26 </w:t>
      </w:r>
      <w:r w:rsidRPr="003F36AB">
        <w:rPr>
          <w:rFonts w:ascii="Arial" w:eastAsia="Times New Roman" w:hAnsi="Arial" w:cs="Arial"/>
          <w:lang w:eastAsia="en-GB"/>
        </w:rPr>
        <w:t xml:space="preserve">owing </w:t>
      </w:r>
      <w:r>
        <w:rPr>
          <w:rFonts w:ascii="Arial" w:eastAsia="Times New Roman" w:hAnsi="Arial" w:cs="Arial"/>
          <w:lang w:eastAsia="en-GB"/>
        </w:rPr>
        <w:t xml:space="preserve">to </w:t>
      </w:r>
      <w:r w:rsidRPr="003F36AB">
        <w:rPr>
          <w:rFonts w:ascii="Arial" w:eastAsia="Times New Roman" w:hAnsi="Arial" w:cs="Arial"/>
          <w:lang w:eastAsia="en-GB"/>
        </w:rPr>
        <w:t>a change in national guidance due to a national increase in cases and outbreaks.</w:t>
      </w:r>
    </w:p>
    <w:p w14:paraId="40EBAD96" w14:textId="77777777" w:rsidR="00D44630" w:rsidRDefault="00D44630" w:rsidP="00D44630">
      <w:pPr>
        <w:contextualSpacing/>
        <w:rPr>
          <w:rFonts w:ascii="Arial" w:eastAsia="Times New Roman" w:hAnsi="Arial" w:cs="Arial"/>
          <w:lang w:eastAsia="en-GB"/>
        </w:rPr>
      </w:pPr>
    </w:p>
    <w:p w14:paraId="54E7B26C" w14:textId="4755626C" w:rsidR="00D44630" w:rsidRPr="004F5B58" w:rsidRDefault="00D44630" w:rsidP="00225A67">
      <w:pPr>
        <w:contextualSpacing/>
        <w:rPr>
          <w:rFonts w:ascii="Arial" w:eastAsia="Times New Roman" w:hAnsi="Arial" w:cs="Arial"/>
          <w:lang w:eastAsia="en-GB"/>
        </w:rPr>
      </w:pPr>
      <w:r>
        <w:rPr>
          <w:rFonts w:ascii="Arial" w:eastAsia="Times New Roman" w:hAnsi="Arial" w:cs="Arial"/>
          <w:lang w:eastAsia="en-GB"/>
        </w:rPr>
        <w:t>There were 5 Tuberculosis positive results that required risk assessment and contact tracing, in all cases, those identified as at risk were either notified by letter and followed up by the community Tuberculosis team, or our occupational health team. There were no onward transmission cases identified.</w:t>
      </w:r>
    </w:p>
    <w:p w14:paraId="2923A310" w14:textId="13D56BDD" w:rsidR="00942B6C" w:rsidRPr="000B24D6" w:rsidRDefault="004F5B58" w:rsidP="00225A67">
      <w:pPr>
        <w:pStyle w:val="Heading2"/>
      </w:pPr>
      <w:r>
        <w:t xml:space="preserve">10. </w:t>
      </w:r>
      <w:r w:rsidR="00942B6C" w:rsidRPr="00AA1910">
        <w:t>Surveillance and Epidemiology</w:t>
      </w:r>
    </w:p>
    <w:p w14:paraId="4C6BC4CB" w14:textId="182D9EA5" w:rsidR="002E0656" w:rsidRPr="008E4A31" w:rsidRDefault="002E0656" w:rsidP="000B24D6">
      <w:pPr>
        <w:pStyle w:val="Heading3"/>
      </w:pPr>
      <w:r w:rsidRPr="00AA1910">
        <w:t>Reportable Infections</w:t>
      </w:r>
    </w:p>
    <w:p w14:paraId="292BDE6F" w14:textId="13010E89" w:rsidR="002E0656" w:rsidRPr="008E4A31" w:rsidRDefault="002E0656" w:rsidP="00225A67">
      <w:pPr>
        <w:rPr>
          <w:rFonts w:ascii="Arial" w:hAnsi="Arial" w:cs="Arial"/>
          <w:b/>
        </w:rPr>
      </w:pPr>
    </w:p>
    <w:p w14:paraId="12418F23" w14:textId="7D97B52E" w:rsidR="00E32B1C" w:rsidRPr="000B24D6" w:rsidRDefault="00F257E1" w:rsidP="00AF2783">
      <w:pPr>
        <w:jc w:val="both"/>
        <w:rPr>
          <w:rFonts w:ascii="Arial" w:hAnsi="Arial" w:cs="Arial"/>
        </w:rPr>
      </w:pPr>
      <w:r>
        <w:rPr>
          <w:rFonts w:ascii="Arial" w:hAnsi="Arial" w:cs="Arial"/>
        </w:rPr>
        <w:t xml:space="preserve">Thresholds for </w:t>
      </w:r>
      <w:r>
        <w:rPr>
          <w:rFonts w:ascii="Arial" w:hAnsi="Arial" w:cs="Arial"/>
          <w:i/>
        </w:rPr>
        <w:t>Clostridioides difficile</w:t>
      </w:r>
      <w:r>
        <w:t xml:space="preserve"> </w:t>
      </w:r>
      <w:r w:rsidRPr="00F257E1">
        <w:rPr>
          <w:rFonts w:ascii="Arial" w:hAnsi="Arial" w:cs="Arial"/>
        </w:rPr>
        <w:t xml:space="preserve">and </w:t>
      </w:r>
      <w:r w:rsidR="005F1FCE" w:rsidRPr="00F257E1">
        <w:rPr>
          <w:rFonts w:ascii="Arial" w:hAnsi="Arial" w:cs="Arial"/>
        </w:rPr>
        <w:t>Gram</w:t>
      </w:r>
      <w:r w:rsidR="005F1FCE">
        <w:rPr>
          <w:rFonts w:ascii="Arial" w:hAnsi="Arial" w:cs="Arial"/>
        </w:rPr>
        <w:t>-negative</w:t>
      </w:r>
      <w:r>
        <w:rPr>
          <w:rFonts w:ascii="Arial" w:hAnsi="Arial" w:cs="Arial"/>
        </w:rPr>
        <w:t xml:space="preserve"> bloodstream infections (see below for details) were published for the year </w:t>
      </w:r>
      <w:r w:rsidR="005F1FCE">
        <w:rPr>
          <w:rFonts w:ascii="Arial" w:hAnsi="Arial" w:cs="Arial"/>
        </w:rPr>
        <w:t>2024/25</w:t>
      </w:r>
      <w:r w:rsidR="00C13760">
        <w:rPr>
          <w:rFonts w:ascii="Arial" w:hAnsi="Arial" w:cs="Arial"/>
        </w:rPr>
        <w:t xml:space="preserve">, </w:t>
      </w:r>
      <w:r w:rsidR="00E32B1C" w:rsidRPr="00F257E1">
        <w:rPr>
          <w:rFonts w:ascii="Arial" w:hAnsi="Arial" w:cs="Arial"/>
        </w:rPr>
        <w:t xml:space="preserve">Trust performance against these thresholds and data for those infections where no threshold has been set are given below. </w:t>
      </w:r>
    </w:p>
    <w:p w14:paraId="7EE16EA4" w14:textId="501E96F5" w:rsidR="00942B6C" w:rsidRPr="008E4A31" w:rsidRDefault="0039792E" w:rsidP="000B24D6">
      <w:pPr>
        <w:pStyle w:val="Heading3"/>
      </w:pPr>
      <w:r>
        <w:t xml:space="preserve">10.1 </w:t>
      </w:r>
      <w:r w:rsidR="00942B6C" w:rsidRPr="008E4A31">
        <w:t>Clostridioides difficile (previously known as Clostridium difficile)</w:t>
      </w:r>
    </w:p>
    <w:p w14:paraId="352E1DED" w14:textId="4D62075B" w:rsidR="002B4982" w:rsidRPr="008E4A31" w:rsidRDefault="002B4982" w:rsidP="00225A67">
      <w:pPr>
        <w:rPr>
          <w:rFonts w:ascii="Arial" w:hAnsi="Arial" w:cs="Arial"/>
          <w:i/>
        </w:rPr>
      </w:pPr>
    </w:p>
    <w:p w14:paraId="7750E5BF" w14:textId="2E404F06" w:rsidR="003D2D7F" w:rsidRDefault="003D2D7F" w:rsidP="00AF2783">
      <w:pPr>
        <w:jc w:val="both"/>
        <w:rPr>
          <w:rFonts w:ascii="Arial" w:eastAsia="Times New Roman" w:hAnsi="Arial" w:cs="Arial"/>
          <w:lang w:eastAsia="en-GB"/>
        </w:rPr>
      </w:pPr>
      <w:r w:rsidRPr="008E4A31">
        <w:rPr>
          <w:rFonts w:ascii="Arial" w:eastAsia="Times New Roman" w:hAnsi="Arial" w:cs="Arial"/>
          <w:lang w:eastAsia="en-GB"/>
        </w:rPr>
        <w:t xml:space="preserve">All cases of </w:t>
      </w:r>
      <w:r w:rsidRPr="008E4A31">
        <w:rPr>
          <w:rFonts w:ascii="Arial" w:eastAsia="Times New Roman" w:hAnsi="Arial" w:cs="Arial"/>
          <w:i/>
          <w:lang w:eastAsia="en-GB"/>
        </w:rPr>
        <w:t>C</w:t>
      </w:r>
      <w:r w:rsidR="009854C2">
        <w:rPr>
          <w:rFonts w:ascii="Arial" w:eastAsia="Times New Roman" w:hAnsi="Arial" w:cs="Arial"/>
          <w:i/>
          <w:lang w:eastAsia="en-GB"/>
        </w:rPr>
        <w:t>lostridioides</w:t>
      </w:r>
      <w:r w:rsidRPr="008E4A31">
        <w:rPr>
          <w:rFonts w:ascii="Arial" w:eastAsia="Times New Roman" w:hAnsi="Arial" w:cs="Arial"/>
          <w:i/>
          <w:lang w:eastAsia="en-GB"/>
        </w:rPr>
        <w:t xml:space="preserve"> difficile</w:t>
      </w:r>
      <w:r w:rsidRPr="008E4A31">
        <w:rPr>
          <w:rFonts w:ascii="Arial" w:eastAsia="Times New Roman" w:hAnsi="Arial" w:cs="Arial"/>
          <w:lang w:eastAsia="en-GB"/>
        </w:rPr>
        <w:t xml:space="preserve"> identified from samples taken on day 2 of admission (where the day of admission is day 0) are hospital attributable. </w:t>
      </w:r>
    </w:p>
    <w:p w14:paraId="56DE0CFE" w14:textId="77777777" w:rsidR="00225A67" w:rsidRPr="008E4A31" w:rsidRDefault="00225A67" w:rsidP="00AF2783">
      <w:pPr>
        <w:jc w:val="both"/>
        <w:rPr>
          <w:rFonts w:ascii="Arial" w:eastAsia="Times New Roman" w:hAnsi="Arial" w:cs="Arial"/>
          <w:lang w:eastAsia="en-GB"/>
        </w:rPr>
      </w:pPr>
    </w:p>
    <w:p w14:paraId="3EE45A65" w14:textId="0407AF88" w:rsidR="00A53F12" w:rsidRDefault="003D2D7F" w:rsidP="00AF2783">
      <w:pPr>
        <w:jc w:val="both"/>
        <w:rPr>
          <w:rFonts w:ascii="Arial" w:eastAsia="Times New Roman" w:hAnsi="Arial" w:cs="Arial"/>
          <w:lang w:eastAsia="en-GB"/>
        </w:rPr>
      </w:pPr>
      <w:r w:rsidRPr="008E4A31">
        <w:rPr>
          <w:rFonts w:ascii="Arial" w:eastAsia="Times New Roman" w:hAnsi="Arial" w:cs="Arial"/>
          <w:lang w:eastAsia="en-GB"/>
        </w:rPr>
        <w:t xml:space="preserve">These cases are described as Hospital Onset Healthcare Associated (HOHA). In addition, any patient discharged from hospital in the 28 days prior to a positive test for </w:t>
      </w:r>
      <w:r w:rsidRPr="008E4A31">
        <w:rPr>
          <w:rFonts w:ascii="Arial" w:eastAsia="Times New Roman" w:hAnsi="Arial" w:cs="Arial"/>
          <w:i/>
          <w:lang w:eastAsia="en-GB"/>
        </w:rPr>
        <w:t>C. difficile</w:t>
      </w:r>
      <w:r w:rsidRPr="008E4A31">
        <w:rPr>
          <w:rFonts w:ascii="Arial" w:eastAsia="Times New Roman" w:hAnsi="Arial" w:cs="Arial"/>
          <w:lang w:eastAsia="en-GB"/>
        </w:rPr>
        <w:t xml:space="preserve"> are also hospital attributable. These cases are described as Community Onset Healthcare Associated (COHA). These two categories are combined in figure </w:t>
      </w:r>
      <w:r w:rsidR="00F257E1">
        <w:rPr>
          <w:rFonts w:ascii="Arial" w:eastAsia="Times New Roman" w:hAnsi="Arial" w:cs="Arial"/>
          <w:lang w:eastAsia="en-GB"/>
        </w:rPr>
        <w:t>4</w:t>
      </w:r>
      <w:r w:rsidRPr="008E4A31">
        <w:rPr>
          <w:rFonts w:ascii="Arial" w:eastAsia="Times New Roman" w:hAnsi="Arial" w:cs="Arial"/>
          <w:lang w:eastAsia="en-GB"/>
        </w:rPr>
        <w:t xml:space="preserve"> showing performance compared with 202</w:t>
      </w:r>
      <w:r w:rsidR="009021F8">
        <w:rPr>
          <w:rFonts w:ascii="Arial" w:eastAsia="Times New Roman" w:hAnsi="Arial" w:cs="Arial"/>
          <w:lang w:eastAsia="en-GB"/>
        </w:rPr>
        <w:t>3</w:t>
      </w:r>
      <w:r w:rsidRPr="008E4A31">
        <w:rPr>
          <w:rFonts w:ascii="Arial" w:eastAsia="Times New Roman" w:hAnsi="Arial" w:cs="Arial"/>
          <w:lang w:eastAsia="en-GB"/>
        </w:rPr>
        <w:t>-202</w:t>
      </w:r>
      <w:r w:rsidR="009021F8">
        <w:rPr>
          <w:rFonts w:ascii="Arial" w:eastAsia="Times New Roman" w:hAnsi="Arial" w:cs="Arial"/>
          <w:lang w:eastAsia="en-GB"/>
        </w:rPr>
        <w:t>4</w:t>
      </w:r>
      <w:r w:rsidRPr="008E4A31">
        <w:rPr>
          <w:rFonts w:ascii="Arial" w:eastAsia="Times New Roman" w:hAnsi="Arial" w:cs="Arial"/>
          <w:lang w:eastAsia="en-GB"/>
        </w:rPr>
        <w:t xml:space="preserve"> and a linear trajectory to the externally set threshold.</w:t>
      </w:r>
    </w:p>
    <w:p w14:paraId="21C7A07C" w14:textId="77777777" w:rsidR="00225A67" w:rsidRPr="008E4A31" w:rsidRDefault="00225A67" w:rsidP="003D2D7F">
      <w:pPr>
        <w:jc w:val="both"/>
        <w:rPr>
          <w:rFonts w:ascii="Arial" w:hAnsi="Arial" w:cs="Arial"/>
          <w:b/>
        </w:rPr>
      </w:pPr>
    </w:p>
    <w:p w14:paraId="73126E0F" w14:textId="76A64034" w:rsidR="00A53F12" w:rsidRPr="008E4A31" w:rsidRDefault="005F1FCE" w:rsidP="00A53F12">
      <w:pPr>
        <w:jc w:val="both"/>
        <w:rPr>
          <w:rFonts w:ascii="Arial" w:hAnsi="Arial" w:cs="Arial"/>
          <w:b/>
        </w:rPr>
      </w:pPr>
      <w:r>
        <w:rPr>
          <w:noProof/>
          <w:lang w:eastAsia="en-GB"/>
        </w:rPr>
        <w:drawing>
          <wp:inline distT="0" distB="0" distL="0" distR="0" wp14:anchorId="62F9F4EA" wp14:editId="7AD2E076">
            <wp:extent cx="5610225" cy="2070100"/>
            <wp:effectExtent l="0" t="0" r="9525" b="6350"/>
            <wp:docPr id="13" name="Chart 13">
              <a:extLst xmlns:a="http://schemas.openxmlformats.org/drawingml/2006/main">
                <a:ext uri="{FF2B5EF4-FFF2-40B4-BE49-F238E27FC236}">
                  <a16:creationId xmlns:a16="http://schemas.microsoft.com/office/drawing/2014/main" id="{89908682-231D-46F4-A3F7-7439AE452AA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6CBC9E" w14:textId="5A291F65" w:rsidR="00A53F12" w:rsidRPr="008E4A31" w:rsidRDefault="00A53F12" w:rsidP="00A53F12">
      <w:pPr>
        <w:jc w:val="center"/>
        <w:rPr>
          <w:rFonts w:ascii="Arial" w:hAnsi="Arial" w:cs="Arial"/>
          <w:b/>
        </w:rPr>
      </w:pPr>
    </w:p>
    <w:p w14:paraId="5857D813" w14:textId="0D7F5A03" w:rsidR="005F1FCE" w:rsidRDefault="005F1FCE" w:rsidP="005F1FCE">
      <w:pPr>
        <w:jc w:val="both"/>
        <w:rPr>
          <w:rFonts w:ascii="Arial" w:hAnsi="Arial" w:cs="Arial"/>
        </w:rPr>
      </w:pPr>
      <w:r>
        <w:rPr>
          <w:rFonts w:ascii="Arial" w:hAnsi="Arial" w:cs="Arial"/>
        </w:rPr>
        <w:t>Following a significant focus on the reduction of</w:t>
      </w:r>
      <w:r w:rsidR="0087149F">
        <w:rPr>
          <w:rFonts w:ascii="Arial" w:hAnsi="Arial" w:cs="Arial"/>
        </w:rPr>
        <w:t xml:space="preserve"> C. diff</w:t>
      </w:r>
      <w:r>
        <w:rPr>
          <w:rFonts w:ascii="Arial" w:hAnsi="Arial" w:cs="Arial"/>
        </w:rPr>
        <w:t xml:space="preserve"> the total attributable cases in 2024/25 was 105 – which is a 25% decrease on the previous year. In total 241 patients tested positive for C. diff in EKHUFT, highlighting that once again the community burden is very high. 3 key focusses this year were environmental and cleaning improvements, antimicrobial stewardship and a trial of use of </w:t>
      </w:r>
      <w:r w:rsidR="00417DFE">
        <w:rPr>
          <w:rFonts w:ascii="Arial" w:hAnsi="Arial" w:cs="Arial"/>
        </w:rPr>
        <w:t>F</w:t>
      </w:r>
      <w:r>
        <w:rPr>
          <w:rFonts w:ascii="Arial" w:hAnsi="Arial" w:cs="Arial"/>
        </w:rPr>
        <w:t>idaxomicin as first line treatment.</w:t>
      </w:r>
    </w:p>
    <w:p w14:paraId="69ACEC45" w14:textId="29F10256" w:rsidR="00417DFE" w:rsidRDefault="00417DFE" w:rsidP="005F1FCE">
      <w:pPr>
        <w:jc w:val="both"/>
        <w:rPr>
          <w:rFonts w:ascii="Arial" w:hAnsi="Arial" w:cs="Arial"/>
        </w:rPr>
      </w:pPr>
    </w:p>
    <w:p w14:paraId="1DF36CF8" w14:textId="1EA823C3" w:rsidR="00417DFE" w:rsidRDefault="00417DFE" w:rsidP="005F1FCE">
      <w:pPr>
        <w:jc w:val="both"/>
        <w:rPr>
          <w:rFonts w:ascii="Arial" w:hAnsi="Arial" w:cs="Arial"/>
        </w:rPr>
      </w:pPr>
      <w:r>
        <w:rPr>
          <w:noProof/>
          <w:lang w:eastAsia="en-GB"/>
        </w:rPr>
        <w:lastRenderedPageBreak/>
        <w:drawing>
          <wp:inline distT="0" distB="0" distL="0" distR="0" wp14:anchorId="3370B620" wp14:editId="06FA1212">
            <wp:extent cx="5638800" cy="2347595"/>
            <wp:effectExtent l="0" t="0" r="0" b="14605"/>
            <wp:docPr id="16" name="Chart 16">
              <a:extLst xmlns:a="http://schemas.openxmlformats.org/drawingml/2006/main">
                <a:ext uri="{FF2B5EF4-FFF2-40B4-BE49-F238E27FC236}">
                  <a16:creationId xmlns:a16="http://schemas.microsoft.com/office/drawing/2014/main" id="{1696A3BD-FB4F-4279-AC1A-8EFA437B5B7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A1481A" w14:textId="77777777" w:rsidR="005F1FCE" w:rsidRDefault="005F1FCE" w:rsidP="009021F8">
      <w:pPr>
        <w:suppressAutoHyphens w:val="0"/>
        <w:autoSpaceDN/>
        <w:contextualSpacing/>
        <w:textAlignment w:val="auto"/>
        <w:rPr>
          <w:rFonts w:ascii="Arial" w:eastAsia="Times New Roman" w:hAnsi="Arial" w:cs="Arial"/>
          <w:lang w:eastAsia="en-GB"/>
        </w:rPr>
      </w:pPr>
    </w:p>
    <w:p w14:paraId="1D0FD3B7" w14:textId="5CCA2C08" w:rsidR="001676C6" w:rsidRDefault="001676C6" w:rsidP="001676C6">
      <w:pPr>
        <w:rPr>
          <w:rFonts w:ascii="Arial" w:hAnsi="Arial" w:cs="Arial"/>
        </w:rPr>
      </w:pPr>
      <w:r>
        <w:rPr>
          <w:rFonts w:ascii="Arial" w:hAnsi="Arial" w:cs="Arial"/>
        </w:rPr>
        <w:t>All cases reviewed following PSIRF methodology, with a rapid review initially, followed by SWARM if required, and all cases reviewed by a multidisciplinary panel every 2 months to identify themes, and ensure any learning added to Trust Wide Improvement Programme (TWIP). Themes remain similar to the previous year, but significant improvements have been noted:</w:t>
      </w:r>
    </w:p>
    <w:p w14:paraId="7509A881" w14:textId="53082811" w:rsidR="009021F8" w:rsidRDefault="009021F8" w:rsidP="009021F8">
      <w:pPr>
        <w:suppressAutoHyphens w:val="0"/>
        <w:autoSpaceDN/>
        <w:contextualSpacing/>
        <w:textAlignment w:val="auto"/>
        <w:rPr>
          <w:rFonts w:ascii="Arial" w:eastAsiaTheme="minorEastAsia" w:hAnsi="Arial" w:cs="Arial"/>
          <w:color w:val="000000" w:themeColor="text1"/>
          <w:kern w:val="24"/>
          <w:szCs w:val="24"/>
        </w:rPr>
      </w:pPr>
      <w:r w:rsidRPr="009021F8">
        <w:rPr>
          <w:rFonts w:ascii="Arial" w:eastAsiaTheme="minorEastAsia" w:hAnsi="Arial" w:cs="Arial"/>
          <w:color w:val="000000" w:themeColor="text1"/>
          <w:kern w:val="24"/>
          <w:szCs w:val="24"/>
        </w:rPr>
        <w:t xml:space="preserve"> </w:t>
      </w:r>
    </w:p>
    <w:tbl>
      <w:tblPr>
        <w:tblStyle w:val="TableGrid"/>
        <w:tblW w:w="0" w:type="auto"/>
        <w:tblLook w:val="04A0" w:firstRow="1" w:lastRow="0" w:firstColumn="1" w:lastColumn="0" w:noHBand="0" w:noVBand="1"/>
      </w:tblPr>
      <w:tblGrid>
        <w:gridCol w:w="6374"/>
        <w:gridCol w:w="1134"/>
        <w:gridCol w:w="1276"/>
      </w:tblGrid>
      <w:tr w:rsidR="001676C6" w14:paraId="10AD8970" w14:textId="77777777" w:rsidTr="001676C6">
        <w:tc>
          <w:tcPr>
            <w:tcW w:w="6374" w:type="dxa"/>
          </w:tcPr>
          <w:p w14:paraId="02AF6FDD" w14:textId="413CFD23" w:rsidR="001676C6" w:rsidRPr="001676C6" w:rsidRDefault="001676C6" w:rsidP="007110BD">
            <w:pPr>
              <w:rPr>
                <w:rFonts w:ascii="Arial" w:hAnsi="Arial" w:cs="Arial"/>
                <w:b/>
              </w:rPr>
            </w:pPr>
            <w:r w:rsidRPr="001676C6">
              <w:rPr>
                <w:rFonts w:ascii="Arial" w:hAnsi="Arial" w:cs="Arial"/>
                <w:b/>
              </w:rPr>
              <w:t>Likely Source/Indication</w:t>
            </w:r>
          </w:p>
        </w:tc>
        <w:tc>
          <w:tcPr>
            <w:tcW w:w="1134" w:type="dxa"/>
          </w:tcPr>
          <w:p w14:paraId="1F632523" w14:textId="77777777" w:rsidR="001676C6" w:rsidRPr="000904CA" w:rsidRDefault="001676C6" w:rsidP="007110BD">
            <w:pPr>
              <w:rPr>
                <w:rFonts w:ascii="Arial" w:hAnsi="Arial" w:cs="Arial"/>
                <w:b/>
              </w:rPr>
            </w:pPr>
            <w:r w:rsidRPr="000904CA">
              <w:rPr>
                <w:rFonts w:ascii="Arial" w:hAnsi="Arial" w:cs="Arial"/>
                <w:b/>
              </w:rPr>
              <w:t>2023/24</w:t>
            </w:r>
          </w:p>
        </w:tc>
        <w:tc>
          <w:tcPr>
            <w:tcW w:w="1276" w:type="dxa"/>
          </w:tcPr>
          <w:p w14:paraId="39947DDE" w14:textId="77777777" w:rsidR="001676C6" w:rsidRPr="000904CA" w:rsidRDefault="001676C6" w:rsidP="007110BD">
            <w:pPr>
              <w:rPr>
                <w:rFonts w:ascii="Arial" w:hAnsi="Arial" w:cs="Arial"/>
                <w:b/>
              </w:rPr>
            </w:pPr>
            <w:r w:rsidRPr="000904CA">
              <w:rPr>
                <w:rFonts w:ascii="Arial" w:hAnsi="Arial" w:cs="Arial"/>
                <w:b/>
              </w:rPr>
              <w:t>2024/25</w:t>
            </w:r>
          </w:p>
        </w:tc>
      </w:tr>
      <w:tr w:rsidR="001676C6" w14:paraId="21FBF637" w14:textId="77777777" w:rsidTr="001676C6">
        <w:tc>
          <w:tcPr>
            <w:tcW w:w="6374" w:type="dxa"/>
          </w:tcPr>
          <w:p w14:paraId="6C7E54B8" w14:textId="77777777" w:rsidR="001676C6" w:rsidRDefault="001676C6" w:rsidP="007110BD">
            <w:pPr>
              <w:rPr>
                <w:rFonts w:ascii="Arial" w:hAnsi="Arial" w:cs="Arial"/>
              </w:rPr>
            </w:pPr>
            <w:r>
              <w:rPr>
                <w:rFonts w:ascii="Arial" w:hAnsi="Arial" w:cs="Arial"/>
              </w:rPr>
              <w:t>Cross infection</w:t>
            </w:r>
          </w:p>
        </w:tc>
        <w:tc>
          <w:tcPr>
            <w:tcW w:w="1134" w:type="dxa"/>
          </w:tcPr>
          <w:p w14:paraId="4584F82D" w14:textId="77777777" w:rsidR="001676C6" w:rsidRDefault="001676C6" w:rsidP="007110BD">
            <w:pPr>
              <w:rPr>
                <w:rFonts w:ascii="Arial" w:hAnsi="Arial" w:cs="Arial"/>
              </w:rPr>
            </w:pPr>
            <w:r>
              <w:rPr>
                <w:rFonts w:ascii="Arial" w:hAnsi="Arial" w:cs="Arial"/>
              </w:rPr>
              <w:t xml:space="preserve">10% </w:t>
            </w:r>
          </w:p>
        </w:tc>
        <w:tc>
          <w:tcPr>
            <w:tcW w:w="1276" w:type="dxa"/>
          </w:tcPr>
          <w:p w14:paraId="1931AE64" w14:textId="77777777" w:rsidR="001676C6" w:rsidRDefault="001676C6" w:rsidP="007110BD">
            <w:pPr>
              <w:rPr>
                <w:rFonts w:ascii="Arial" w:hAnsi="Arial" w:cs="Arial"/>
              </w:rPr>
            </w:pPr>
            <w:r>
              <w:rPr>
                <w:rFonts w:ascii="Arial" w:hAnsi="Arial" w:cs="Arial"/>
              </w:rPr>
              <w:t xml:space="preserve">2.5% </w:t>
            </w:r>
          </w:p>
        </w:tc>
      </w:tr>
      <w:tr w:rsidR="001676C6" w14:paraId="54C90BB0" w14:textId="77777777" w:rsidTr="001676C6">
        <w:tc>
          <w:tcPr>
            <w:tcW w:w="6374" w:type="dxa"/>
          </w:tcPr>
          <w:p w14:paraId="5A21652F" w14:textId="77777777" w:rsidR="001676C6" w:rsidRDefault="001676C6" w:rsidP="007110BD">
            <w:pPr>
              <w:rPr>
                <w:rFonts w:ascii="Arial" w:hAnsi="Arial" w:cs="Arial"/>
              </w:rPr>
            </w:pPr>
            <w:r>
              <w:rPr>
                <w:rFonts w:ascii="Arial" w:hAnsi="Arial" w:cs="Arial"/>
              </w:rPr>
              <w:t>Antibiotic associated</w:t>
            </w:r>
          </w:p>
        </w:tc>
        <w:tc>
          <w:tcPr>
            <w:tcW w:w="1134" w:type="dxa"/>
          </w:tcPr>
          <w:p w14:paraId="4E33A7AC" w14:textId="77777777" w:rsidR="001676C6" w:rsidRDefault="001676C6" w:rsidP="007110BD">
            <w:pPr>
              <w:rPr>
                <w:rFonts w:ascii="Arial" w:hAnsi="Arial" w:cs="Arial"/>
              </w:rPr>
            </w:pPr>
            <w:r>
              <w:rPr>
                <w:rFonts w:ascii="Arial" w:hAnsi="Arial" w:cs="Arial"/>
              </w:rPr>
              <w:t>63%</w:t>
            </w:r>
          </w:p>
        </w:tc>
        <w:tc>
          <w:tcPr>
            <w:tcW w:w="1276" w:type="dxa"/>
          </w:tcPr>
          <w:p w14:paraId="2EB44508" w14:textId="77777777" w:rsidR="001676C6" w:rsidRDefault="001676C6" w:rsidP="007110BD">
            <w:pPr>
              <w:rPr>
                <w:rFonts w:ascii="Arial" w:hAnsi="Arial" w:cs="Arial"/>
              </w:rPr>
            </w:pPr>
            <w:r>
              <w:rPr>
                <w:rFonts w:ascii="Arial" w:hAnsi="Arial" w:cs="Arial"/>
              </w:rPr>
              <w:t xml:space="preserve">75% </w:t>
            </w:r>
          </w:p>
        </w:tc>
      </w:tr>
      <w:tr w:rsidR="001676C6" w14:paraId="0572B0C8" w14:textId="77777777" w:rsidTr="001676C6">
        <w:tc>
          <w:tcPr>
            <w:tcW w:w="6374" w:type="dxa"/>
          </w:tcPr>
          <w:p w14:paraId="3FD2393A" w14:textId="0E530FFB" w:rsidR="001676C6" w:rsidRDefault="001676C6" w:rsidP="007110BD">
            <w:pPr>
              <w:rPr>
                <w:rFonts w:ascii="Arial" w:hAnsi="Arial" w:cs="Arial"/>
              </w:rPr>
            </w:pPr>
            <w:r>
              <w:rPr>
                <w:rFonts w:ascii="Arial" w:hAnsi="Arial" w:cs="Arial"/>
              </w:rPr>
              <w:t>Of those antibiotic associated (percentage of non-compliance)</w:t>
            </w:r>
          </w:p>
        </w:tc>
        <w:tc>
          <w:tcPr>
            <w:tcW w:w="1134" w:type="dxa"/>
          </w:tcPr>
          <w:p w14:paraId="7EEA3B2F" w14:textId="77777777" w:rsidR="001676C6" w:rsidRDefault="001676C6" w:rsidP="007110BD">
            <w:pPr>
              <w:rPr>
                <w:rFonts w:ascii="Arial" w:hAnsi="Arial" w:cs="Arial"/>
              </w:rPr>
            </w:pPr>
            <w:r>
              <w:rPr>
                <w:rFonts w:ascii="Arial" w:hAnsi="Arial" w:cs="Arial"/>
              </w:rPr>
              <w:t>26%</w:t>
            </w:r>
          </w:p>
        </w:tc>
        <w:tc>
          <w:tcPr>
            <w:tcW w:w="1276" w:type="dxa"/>
          </w:tcPr>
          <w:p w14:paraId="7AED8776" w14:textId="77777777" w:rsidR="001676C6" w:rsidRDefault="001676C6" w:rsidP="007110BD">
            <w:pPr>
              <w:rPr>
                <w:rFonts w:ascii="Arial" w:hAnsi="Arial" w:cs="Arial"/>
              </w:rPr>
            </w:pPr>
            <w:r>
              <w:rPr>
                <w:rFonts w:ascii="Arial" w:hAnsi="Arial" w:cs="Arial"/>
              </w:rPr>
              <w:t>19%</w:t>
            </w:r>
          </w:p>
        </w:tc>
      </w:tr>
      <w:tr w:rsidR="001676C6" w14:paraId="047F73D8" w14:textId="77777777" w:rsidTr="001676C6">
        <w:tc>
          <w:tcPr>
            <w:tcW w:w="6374" w:type="dxa"/>
          </w:tcPr>
          <w:p w14:paraId="1BF4A653" w14:textId="77777777" w:rsidR="001676C6" w:rsidRDefault="001676C6" w:rsidP="007110BD">
            <w:pPr>
              <w:rPr>
                <w:rFonts w:ascii="Arial" w:hAnsi="Arial" w:cs="Arial"/>
              </w:rPr>
            </w:pPr>
            <w:r>
              <w:rPr>
                <w:rFonts w:ascii="Arial" w:hAnsi="Arial" w:cs="Arial"/>
              </w:rPr>
              <w:t>Samples that were actually community cases, but delay in sending made attributable to Trust</w:t>
            </w:r>
          </w:p>
        </w:tc>
        <w:tc>
          <w:tcPr>
            <w:tcW w:w="1134" w:type="dxa"/>
          </w:tcPr>
          <w:p w14:paraId="139D8470" w14:textId="77777777" w:rsidR="001676C6" w:rsidRDefault="001676C6" w:rsidP="007110BD">
            <w:pPr>
              <w:rPr>
                <w:rFonts w:ascii="Arial" w:hAnsi="Arial" w:cs="Arial"/>
              </w:rPr>
            </w:pPr>
            <w:r>
              <w:rPr>
                <w:rFonts w:ascii="Arial" w:hAnsi="Arial" w:cs="Arial"/>
              </w:rPr>
              <w:t>9%</w:t>
            </w:r>
          </w:p>
        </w:tc>
        <w:tc>
          <w:tcPr>
            <w:tcW w:w="1276" w:type="dxa"/>
          </w:tcPr>
          <w:p w14:paraId="1CEE7EB4" w14:textId="77777777" w:rsidR="001676C6" w:rsidRDefault="001676C6" w:rsidP="007110BD">
            <w:pPr>
              <w:rPr>
                <w:rFonts w:ascii="Arial" w:hAnsi="Arial" w:cs="Arial"/>
              </w:rPr>
            </w:pPr>
            <w:r>
              <w:rPr>
                <w:rFonts w:ascii="Arial" w:hAnsi="Arial" w:cs="Arial"/>
              </w:rPr>
              <w:t>3%</w:t>
            </w:r>
          </w:p>
        </w:tc>
      </w:tr>
      <w:tr w:rsidR="001676C6" w14:paraId="048357BE" w14:textId="77777777" w:rsidTr="001676C6">
        <w:tc>
          <w:tcPr>
            <w:tcW w:w="6374" w:type="dxa"/>
          </w:tcPr>
          <w:p w14:paraId="288BDEA4" w14:textId="77777777" w:rsidR="001676C6" w:rsidRDefault="001676C6" w:rsidP="007110BD">
            <w:pPr>
              <w:rPr>
                <w:rFonts w:ascii="Arial" w:hAnsi="Arial" w:cs="Arial"/>
              </w:rPr>
            </w:pPr>
            <w:r>
              <w:rPr>
                <w:rFonts w:ascii="Arial" w:hAnsi="Arial" w:cs="Arial"/>
              </w:rPr>
              <w:t>Relapse</w:t>
            </w:r>
          </w:p>
        </w:tc>
        <w:tc>
          <w:tcPr>
            <w:tcW w:w="1134" w:type="dxa"/>
          </w:tcPr>
          <w:p w14:paraId="18E903C3" w14:textId="77777777" w:rsidR="001676C6" w:rsidRDefault="001676C6" w:rsidP="007110BD">
            <w:pPr>
              <w:rPr>
                <w:rFonts w:ascii="Arial" w:hAnsi="Arial" w:cs="Arial"/>
              </w:rPr>
            </w:pPr>
            <w:r>
              <w:rPr>
                <w:rFonts w:ascii="Arial" w:hAnsi="Arial" w:cs="Arial"/>
              </w:rPr>
              <w:t>11%</w:t>
            </w:r>
          </w:p>
        </w:tc>
        <w:tc>
          <w:tcPr>
            <w:tcW w:w="1276" w:type="dxa"/>
          </w:tcPr>
          <w:p w14:paraId="3E41FC93" w14:textId="77777777" w:rsidR="001676C6" w:rsidRDefault="001676C6" w:rsidP="007110BD">
            <w:pPr>
              <w:rPr>
                <w:rFonts w:ascii="Arial" w:hAnsi="Arial" w:cs="Arial"/>
              </w:rPr>
            </w:pPr>
            <w:r>
              <w:rPr>
                <w:rFonts w:ascii="Arial" w:hAnsi="Arial" w:cs="Arial"/>
              </w:rPr>
              <w:t>2.5%</w:t>
            </w:r>
          </w:p>
        </w:tc>
      </w:tr>
    </w:tbl>
    <w:p w14:paraId="7AF5E2FF" w14:textId="77777777" w:rsidR="001676C6" w:rsidRPr="009021F8" w:rsidRDefault="001676C6" w:rsidP="009021F8">
      <w:pPr>
        <w:suppressAutoHyphens w:val="0"/>
        <w:autoSpaceDN/>
        <w:contextualSpacing/>
        <w:textAlignment w:val="auto"/>
        <w:rPr>
          <w:rFonts w:ascii="Arial" w:eastAsiaTheme="minorHAnsi" w:hAnsi="Arial" w:cs="Arial"/>
          <w:szCs w:val="24"/>
        </w:rPr>
      </w:pPr>
    </w:p>
    <w:p w14:paraId="2653A601" w14:textId="770F851F" w:rsidR="00616934" w:rsidRDefault="003F39E8" w:rsidP="00616934">
      <w:pPr>
        <w:suppressAutoHyphens w:val="0"/>
        <w:autoSpaceDN/>
        <w:spacing w:after="200" w:line="276" w:lineRule="auto"/>
        <w:contextualSpacing/>
        <w:textAlignment w:val="auto"/>
        <w:rPr>
          <w:rFonts w:ascii="Arial" w:eastAsiaTheme="minorHAnsi" w:hAnsi="Arial" w:cs="Arial"/>
          <w:szCs w:val="24"/>
        </w:rPr>
      </w:pPr>
      <w:r>
        <w:rPr>
          <w:rFonts w:ascii="Arial" w:eastAsiaTheme="minorHAnsi" w:hAnsi="Arial" w:cs="Arial"/>
          <w:szCs w:val="24"/>
        </w:rPr>
        <w:t>Actions focussed predominantly around antimicrobial stewardship (see section 11), environmental cleaning, and hand hygiene.</w:t>
      </w:r>
      <w:bookmarkStart w:id="15" w:name="MRSA_and_MSSA"/>
      <w:bookmarkEnd w:id="15"/>
    </w:p>
    <w:p w14:paraId="20A27903" w14:textId="7D9A8AD9" w:rsidR="00616934" w:rsidRPr="00616934" w:rsidRDefault="0039792E" w:rsidP="00616934">
      <w:pPr>
        <w:pStyle w:val="Heading2"/>
        <w:rPr>
          <w:rFonts w:eastAsiaTheme="minorHAnsi"/>
        </w:rPr>
      </w:pPr>
      <w:r w:rsidRPr="00616934">
        <w:rPr>
          <w:rFonts w:eastAsiaTheme="minorHAnsi"/>
        </w:rPr>
        <w:t>10.2</w:t>
      </w:r>
      <w:r w:rsidRPr="00616934">
        <w:rPr>
          <w:rFonts w:eastAsiaTheme="minorHAnsi"/>
          <w:i/>
        </w:rPr>
        <w:t xml:space="preserve"> </w:t>
      </w:r>
      <w:r w:rsidR="006C6DC8" w:rsidRPr="00616934">
        <w:rPr>
          <w:rFonts w:eastAsiaTheme="minorHAnsi"/>
          <w:i/>
        </w:rPr>
        <w:t>Staphylococcus aureus</w:t>
      </w:r>
      <w:r w:rsidR="006C6DC8" w:rsidRPr="00616934">
        <w:rPr>
          <w:rFonts w:eastAsiaTheme="minorHAnsi"/>
        </w:rPr>
        <w:t xml:space="preserve"> Infections (MRSA and MSSA)</w:t>
      </w:r>
      <w:r w:rsidR="00596C95" w:rsidRPr="00616934">
        <w:rPr>
          <w:rFonts w:eastAsiaTheme="minorHAnsi"/>
        </w:rPr>
        <w:t xml:space="preserve"> bloodstream infections</w:t>
      </w:r>
    </w:p>
    <w:p w14:paraId="008D4F07" w14:textId="39C476DC" w:rsidR="00875CD0" w:rsidRPr="0039792E" w:rsidRDefault="0039792E" w:rsidP="00616934">
      <w:pPr>
        <w:pStyle w:val="Heading3"/>
      </w:pPr>
      <w:r w:rsidRPr="0039792E">
        <w:t xml:space="preserve">10.2.1 </w:t>
      </w:r>
      <w:r w:rsidR="00875CD0" w:rsidRPr="0039792E">
        <w:t>MRSA</w:t>
      </w:r>
    </w:p>
    <w:p w14:paraId="6F36B44B" w14:textId="6081A37E" w:rsidR="00875CD0" w:rsidRPr="008E4A31" w:rsidRDefault="00875CD0" w:rsidP="00875CD0">
      <w:pPr>
        <w:jc w:val="both"/>
        <w:rPr>
          <w:rFonts w:ascii="Arial" w:hAnsi="Arial" w:cs="Arial"/>
        </w:rPr>
      </w:pPr>
    </w:p>
    <w:p w14:paraId="2E1957D6" w14:textId="3D84024F" w:rsidR="003F39E8" w:rsidRDefault="003F39E8" w:rsidP="003F39E8">
      <w:pPr>
        <w:suppressAutoHyphens w:val="0"/>
        <w:autoSpaceDN/>
        <w:textAlignment w:val="auto"/>
        <w:rPr>
          <w:rFonts w:ascii="Arial" w:hAnsi="Arial" w:cs="Arial"/>
        </w:rPr>
      </w:pPr>
      <w:r w:rsidRPr="008E4A31">
        <w:rPr>
          <w:rFonts w:ascii="Arial" w:hAnsi="Arial" w:cs="Arial"/>
        </w:rPr>
        <w:t>MRSA bloodstream infections should be extremely rare events</w:t>
      </w:r>
      <w:r w:rsidR="003B0004">
        <w:rPr>
          <w:rFonts w:ascii="Arial" w:hAnsi="Arial" w:cs="Arial"/>
        </w:rPr>
        <w:t>,</w:t>
      </w:r>
      <w:r w:rsidRPr="008E4A31">
        <w:rPr>
          <w:rFonts w:ascii="Arial" w:hAnsi="Arial" w:cs="Arial"/>
        </w:rPr>
        <w:t xml:space="preserve"> and avoidable healthcare onset cases should be regarded with </w:t>
      </w:r>
      <w:r w:rsidR="003B0004">
        <w:rPr>
          <w:rFonts w:ascii="Arial" w:hAnsi="Arial" w:cs="Arial"/>
        </w:rPr>
        <w:t>‘Z</w:t>
      </w:r>
      <w:r w:rsidRPr="008E4A31">
        <w:rPr>
          <w:rFonts w:ascii="Arial" w:hAnsi="Arial" w:cs="Arial"/>
        </w:rPr>
        <w:t xml:space="preserve">ero </w:t>
      </w:r>
      <w:r w:rsidR="003B0004">
        <w:rPr>
          <w:rFonts w:ascii="Arial" w:hAnsi="Arial" w:cs="Arial"/>
        </w:rPr>
        <w:t>T</w:t>
      </w:r>
      <w:r w:rsidRPr="008E4A31">
        <w:rPr>
          <w:rFonts w:ascii="Arial" w:hAnsi="Arial" w:cs="Arial"/>
        </w:rPr>
        <w:t>olerance</w:t>
      </w:r>
      <w:r w:rsidR="003B0004">
        <w:rPr>
          <w:rFonts w:ascii="Arial" w:hAnsi="Arial" w:cs="Arial"/>
        </w:rPr>
        <w:t>’</w:t>
      </w:r>
      <w:r w:rsidRPr="008E4A31">
        <w:rPr>
          <w:rFonts w:ascii="Arial" w:hAnsi="Arial" w:cs="Arial"/>
        </w:rPr>
        <w:t xml:space="preserve">. </w:t>
      </w:r>
    </w:p>
    <w:p w14:paraId="75659493" w14:textId="77777777" w:rsidR="003F39E8" w:rsidRDefault="003F39E8" w:rsidP="003F39E8">
      <w:pPr>
        <w:suppressAutoHyphens w:val="0"/>
        <w:autoSpaceDN/>
        <w:textAlignment w:val="auto"/>
        <w:rPr>
          <w:rFonts w:ascii="Arial" w:eastAsia="Times New Roman" w:hAnsi="Arial" w:cs="Arial"/>
          <w:lang w:eastAsia="en-GB"/>
        </w:rPr>
      </w:pPr>
    </w:p>
    <w:p w14:paraId="3E2FCB1D" w14:textId="77777777" w:rsidR="006E3751" w:rsidRDefault="007110BD" w:rsidP="003F39E8">
      <w:pPr>
        <w:suppressAutoHyphens w:val="0"/>
        <w:autoSpaceDN/>
        <w:textAlignment w:val="auto"/>
        <w:rPr>
          <w:rFonts w:ascii="Arial" w:eastAsia="Times New Roman" w:hAnsi="Arial" w:cs="Arial"/>
          <w:lang w:eastAsia="en-GB"/>
        </w:rPr>
      </w:pPr>
      <w:r w:rsidRPr="00432D79">
        <w:rPr>
          <w:rFonts w:ascii="Arial" w:eastAsia="Times New Roman" w:hAnsi="Arial" w:cs="Arial"/>
          <w:lang w:eastAsia="en-GB"/>
        </w:rPr>
        <w:t xml:space="preserve">In </w:t>
      </w:r>
      <w:r>
        <w:rPr>
          <w:rFonts w:ascii="Arial" w:eastAsia="Times New Roman" w:hAnsi="Arial" w:cs="Arial"/>
          <w:lang w:eastAsia="en-GB"/>
        </w:rPr>
        <w:t>2024/2025</w:t>
      </w:r>
      <w:r w:rsidRPr="00432D79">
        <w:rPr>
          <w:rFonts w:ascii="Arial" w:eastAsia="Times New Roman" w:hAnsi="Arial" w:cs="Arial"/>
          <w:lang w:eastAsia="en-GB"/>
        </w:rPr>
        <w:t xml:space="preserve"> </w:t>
      </w:r>
      <w:r>
        <w:rPr>
          <w:rFonts w:ascii="Arial" w:eastAsia="Times New Roman" w:hAnsi="Arial" w:cs="Arial"/>
          <w:lang w:eastAsia="en-GB"/>
        </w:rPr>
        <w:t xml:space="preserve">Compliance with MRSA screening for </w:t>
      </w:r>
      <w:r w:rsidR="006E3751">
        <w:rPr>
          <w:rFonts w:ascii="Arial" w:eastAsia="Times New Roman" w:hAnsi="Arial" w:cs="Arial"/>
          <w:lang w:eastAsia="en-GB"/>
        </w:rPr>
        <w:t>non-elective</w:t>
      </w:r>
      <w:r>
        <w:rPr>
          <w:rFonts w:ascii="Arial" w:eastAsia="Times New Roman" w:hAnsi="Arial" w:cs="Arial"/>
          <w:lang w:eastAsia="en-GB"/>
        </w:rPr>
        <w:t xml:space="preserve"> patients varied throughout the year with poor compliance of just 50% reported in May 2024, improving as months went by, with 75% compliance in Feb 25, and 100% in March 25. In this year </w:t>
      </w:r>
      <w:r w:rsidRPr="00432D79">
        <w:rPr>
          <w:rFonts w:ascii="Arial" w:eastAsia="Times New Roman" w:hAnsi="Arial" w:cs="Arial"/>
          <w:lang w:eastAsia="en-GB"/>
        </w:rPr>
        <w:t xml:space="preserve">the Trust reported </w:t>
      </w:r>
      <w:r>
        <w:rPr>
          <w:rFonts w:ascii="Arial" w:eastAsia="Times New Roman" w:hAnsi="Arial" w:cs="Arial"/>
          <w:lang w:eastAsia="en-GB"/>
        </w:rPr>
        <w:t xml:space="preserve">2 </w:t>
      </w:r>
      <w:r w:rsidRPr="00432D79">
        <w:rPr>
          <w:rFonts w:ascii="Arial" w:eastAsia="Times New Roman" w:hAnsi="Arial" w:cs="Arial"/>
          <w:lang w:eastAsia="en-GB"/>
        </w:rPr>
        <w:t xml:space="preserve">MRSA bacteraemia </w:t>
      </w:r>
      <w:r>
        <w:rPr>
          <w:rFonts w:ascii="Arial" w:eastAsia="Times New Roman" w:hAnsi="Arial" w:cs="Arial"/>
          <w:lang w:eastAsia="en-GB"/>
        </w:rPr>
        <w:t xml:space="preserve">cases, a 75% reduction on 2024/25. </w:t>
      </w:r>
    </w:p>
    <w:p w14:paraId="10C10F51" w14:textId="77777777" w:rsidR="006E3751" w:rsidRDefault="006E3751" w:rsidP="003F39E8">
      <w:pPr>
        <w:suppressAutoHyphens w:val="0"/>
        <w:autoSpaceDN/>
        <w:textAlignment w:val="auto"/>
        <w:rPr>
          <w:rFonts w:ascii="Arial" w:eastAsia="Times New Roman" w:hAnsi="Arial" w:cs="Arial"/>
          <w:lang w:eastAsia="en-GB"/>
        </w:rPr>
      </w:pPr>
    </w:p>
    <w:p w14:paraId="78F3FB3B" w14:textId="77777777" w:rsidR="00616934" w:rsidRDefault="007110BD" w:rsidP="003F39E8">
      <w:pPr>
        <w:suppressAutoHyphens w:val="0"/>
        <w:autoSpaceDN/>
        <w:textAlignment w:val="auto"/>
        <w:rPr>
          <w:rFonts w:ascii="Arial" w:eastAsia="Times New Roman" w:hAnsi="Arial" w:cs="Arial"/>
          <w:lang w:eastAsia="en-GB"/>
        </w:rPr>
      </w:pPr>
      <w:r>
        <w:rPr>
          <w:rFonts w:ascii="Arial" w:eastAsia="Times New Roman" w:hAnsi="Arial" w:cs="Arial"/>
          <w:lang w:eastAsia="en-GB"/>
        </w:rPr>
        <w:lastRenderedPageBreak/>
        <w:t xml:space="preserve">Both cases were </w:t>
      </w:r>
      <w:r w:rsidRPr="00432D79">
        <w:rPr>
          <w:rFonts w:ascii="Arial" w:eastAsia="Times New Roman" w:hAnsi="Arial" w:cs="Arial"/>
          <w:lang w:eastAsia="en-GB"/>
        </w:rPr>
        <w:t>COHA’s</w:t>
      </w:r>
      <w:r>
        <w:rPr>
          <w:rFonts w:ascii="Arial" w:eastAsia="Times New Roman" w:hAnsi="Arial" w:cs="Arial"/>
          <w:lang w:eastAsia="en-GB"/>
        </w:rPr>
        <w:t xml:space="preserve">, and were reviewed for good practice and or learning following PSIRF methodology. One case was deemed a contaminant, but learning identified regarding decolonisation of patients with higher risk factors for infection, such as those with a learning disability, and an updated protocol implemented. The second case identified learning in relation to education for </w:t>
      </w:r>
      <w:r w:rsidR="003C6233">
        <w:rPr>
          <w:rFonts w:ascii="Arial" w:eastAsia="Times New Roman" w:hAnsi="Arial" w:cs="Arial"/>
          <w:lang w:eastAsia="en-GB"/>
        </w:rPr>
        <w:t>patient’s</w:t>
      </w:r>
      <w:r>
        <w:rPr>
          <w:rFonts w:ascii="Arial" w:eastAsia="Times New Roman" w:hAnsi="Arial" w:cs="Arial"/>
          <w:lang w:eastAsia="en-GB"/>
        </w:rPr>
        <w:t xml:space="preserve"> </w:t>
      </w:r>
      <w:r w:rsidR="006E3751">
        <w:rPr>
          <w:rFonts w:ascii="Arial" w:eastAsia="Times New Roman" w:hAnsi="Arial" w:cs="Arial"/>
          <w:lang w:eastAsia="en-GB"/>
        </w:rPr>
        <w:t>post-surgery</w:t>
      </w:r>
      <w:r>
        <w:rPr>
          <w:rFonts w:ascii="Arial" w:eastAsia="Times New Roman" w:hAnsi="Arial" w:cs="Arial"/>
          <w:lang w:eastAsia="en-GB"/>
        </w:rPr>
        <w:t>, when caring for wounds at home, and the information provided to patients was updated.</w:t>
      </w:r>
    </w:p>
    <w:p w14:paraId="2FBAF633" w14:textId="5A188004" w:rsidR="006E3751" w:rsidRDefault="00616934" w:rsidP="003F39E8">
      <w:pPr>
        <w:suppressAutoHyphens w:val="0"/>
        <w:autoSpaceDN/>
        <w:textAlignment w:val="auto"/>
        <w:rPr>
          <w:rFonts w:ascii="Arial" w:eastAsia="Times New Roman" w:hAnsi="Arial" w:cs="Arial"/>
          <w:b/>
          <w:lang w:eastAsia="en-GB"/>
        </w:rPr>
      </w:pPr>
      <w:r>
        <w:rPr>
          <w:rFonts w:ascii="Arial" w:eastAsia="Times New Roman" w:hAnsi="Arial" w:cs="Arial"/>
          <w:b/>
          <w:lang w:eastAsia="en-GB"/>
        </w:rPr>
        <w:t xml:space="preserve"> </w:t>
      </w:r>
    </w:p>
    <w:p w14:paraId="488B0421" w14:textId="6288FBBD" w:rsidR="003F39E8" w:rsidRPr="003F39E8" w:rsidRDefault="003C6233" w:rsidP="003F39E8">
      <w:pPr>
        <w:suppressAutoHyphens w:val="0"/>
        <w:autoSpaceDN/>
        <w:textAlignment w:val="auto"/>
        <w:rPr>
          <w:rFonts w:ascii="Arial" w:eastAsia="Times New Roman" w:hAnsi="Arial" w:cs="Arial"/>
          <w:lang w:eastAsia="en-GB"/>
        </w:rPr>
      </w:pPr>
      <w:r>
        <w:rPr>
          <w:noProof/>
          <w:lang w:eastAsia="en-GB"/>
        </w:rPr>
        <w:drawing>
          <wp:inline distT="0" distB="0" distL="0" distR="0" wp14:anchorId="3C2E5E6C" wp14:editId="40BC1781">
            <wp:extent cx="5731510" cy="2147933"/>
            <wp:effectExtent l="0" t="0" r="2540" b="5080"/>
            <wp:docPr id="2" name="Chart 2">
              <a:extLst xmlns:a="http://schemas.openxmlformats.org/drawingml/2006/main">
                <a:ext uri="{FF2B5EF4-FFF2-40B4-BE49-F238E27FC236}">
                  <a16:creationId xmlns:a16="http://schemas.microsoft.com/office/drawing/2014/main" id="{192ECAD8-FFBF-4F2D-9BF8-8C4A809ADA8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0C3D17" w14:textId="77777777" w:rsidR="003F39E8" w:rsidRDefault="003F39E8" w:rsidP="00AF2783">
      <w:pPr>
        <w:jc w:val="both"/>
        <w:rPr>
          <w:rFonts w:ascii="Arial" w:hAnsi="Arial" w:cs="Arial"/>
        </w:rPr>
      </w:pPr>
    </w:p>
    <w:p w14:paraId="39B6C6DC" w14:textId="1F7CC184" w:rsidR="00596C95" w:rsidRPr="0039792E" w:rsidRDefault="0039792E" w:rsidP="00616934">
      <w:pPr>
        <w:pStyle w:val="Heading3"/>
      </w:pPr>
      <w:r w:rsidRPr="0039792E">
        <w:t xml:space="preserve">10.2.2 </w:t>
      </w:r>
      <w:r w:rsidR="00875CD0" w:rsidRPr="0039792E">
        <w:t>MSSA</w:t>
      </w:r>
    </w:p>
    <w:p w14:paraId="62F02004" w14:textId="7D4310DB" w:rsidR="00875CD0" w:rsidRPr="008E4A31" w:rsidRDefault="00875CD0" w:rsidP="00225A67">
      <w:pPr>
        <w:rPr>
          <w:rFonts w:ascii="Arial" w:hAnsi="Arial" w:cs="Arial"/>
        </w:rPr>
      </w:pPr>
    </w:p>
    <w:p w14:paraId="21C4D848" w14:textId="3D6DD2DD" w:rsidR="00875CD0" w:rsidRPr="008E4A31" w:rsidRDefault="00875CD0" w:rsidP="00AF2783">
      <w:pPr>
        <w:jc w:val="both"/>
        <w:rPr>
          <w:rFonts w:ascii="Arial" w:hAnsi="Arial" w:cs="Arial"/>
        </w:rPr>
      </w:pPr>
      <w:r w:rsidRPr="008E4A31">
        <w:rPr>
          <w:rFonts w:ascii="Arial" w:hAnsi="Arial" w:cs="Arial"/>
        </w:rPr>
        <w:t xml:space="preserve">Meticillin sensitive </w:t>
      </w:r>
      <w:r w:rsidRPr="008E4A31">
        <w:rPr>
          <w:rFonts w:ascii="Arial" w:hAnsi="Arial" w:cs="Arial"/>
          <w:i/>
        </w:rPr>
        <w:t xml:space="preserve">Staphylococcus aureus </w:t>
      </w:r>
      <w:r w:rsidRPr="008E4A31">
        <w:rPr>
          <w:rFonts w:ascii="Arial" w:hAnsi="Arial" w:cs="Arial"/>
        </w:rPr>
        <w:t xml:space="preserve">(MSSA) bloodstream infections are common in both community and hospital settings. Healthcare associated infections are commonly related to vascular access catheters or surgical site infection. There is no externally set objective for MSSA bloodstream infections. </w:t>
      </w:r>
    </w:p>
    <w:p w14:paraId="393F3AB5" w14:textId="77777777" w:rsidR="00875CD0" w:rsidRPr="008E4A31" w:rsidRDefault="00875CD0" w:rsidP="00AF2783">
      <w:pPr>
        <w:jc w:val="both"/>
        <w:rPr>
          <w:rFonts w:ascii="Arial" w:hAnsi="Arial" w:cs="Arial"/>
        </w:rPr>
      </w:pPr>
    </w:p>
    <w:p w14:paraId="56E27E6F" w14:textId="63680E8B" w:rsidR="00875CD0" w:rsidRDefault="003C6233" w:rsidP="00AF2783">
      <w:pPr>
        <w:jc w:val="both"/>
        <w:rPr>
          <w:rFonts w:ascii="Arial" w:eastAsia="Times New Roman" w:hAnsi="Arial" w:cs="Arial"/>
          <w:lang w:eastAsia="en-GB"/>
        </w:rPr>
      </w:pPr>
      <w:r w:rsidRPr="00281756">
        <w:rPr>
          <w:rFonts w:ascii="Arial" w:eastAsia="Times New Roman" w:hAnsi="Arial" w:cs="Arial"/>
          <w:lang w:eastAsia="en-GB"/>
        </w:rPr>
        <w:t>No threshold has been set for these infections</w:t>
      </w:r>
      <w:r>
        <w:rPr>
          <w:rFonts w:ascii="Arial" w:eastAsia="Times New Roman" w:hAnsi="Arial" w:cs="Arial"/>
          <w:lang w:eastAsia="en-GB"/>
        </w:rPr>
        <w:t>, however in the last quarter of the year, EKHUFT reported a sharp increase in MSSA cases (87) compared with last year’s cases (72). These were reviewed for learning, and are associated with devices and wounds, actions to help reduce these sources form part of the IPC TWIP for 2025/6.</w:t>
      </w:r>
    </w:p>
    <w:p w14:paraId="30181708" w14:textId="77777777" w:rsidR="003C6233" w:rsidRPr="008E4A31" w:rsidRDefault="003C6233" w:rsidP="00AF2783">
      <w:pPr>
        <w:jc w:val="both"/>
        <w:rPr>
          <w:rFonts w:ascii="Arial" w:hAnsi="Arial" w:cs="Arial"/>
        </w:rPr>
      </w:pPr>
    </w:p>
    <w:p w14:paraId="228EF00F" w14:textId="31614984" w:rsidR="003D2D7F" w:rsidRDefault="00B81EA6" w:rsidP="00AF2783">
      <w:pPr>
        <w:jc w:val="both"/>
        <w:rPr>
          <w:rFonts w:ascii="Arial" w:hAnsi="Arial" w:cs="Arial"/>
        </w:rPr>
      </w:pPr>
      <w:r>
        <w:rPr>
          <w:rFonts w:ascii="Arial" w:hAnsi="Arial" w:cs="Arial"/>
        </w:rPr>
        <w:t>All HOHA and COHA cases</w:t>
      </w:r>
      <w:r w:rsidR="00875CD0" w:rsidRPr="008E4A31">
        <w:rPr>
          <w:rFonts w:ascii="Arial" w:hAnsi="Arial" w:cs="Arial"/>
        </w:rPr>
        <w:t xml:space="preserve"> are investigated by </w:t>
      </w:r>
      <w:r>
        <w:rPr>
          <w:rFonts w:ascii="Arial" w:hAnsi="Arial" w:cs="Arial"/>
        </w:rPr>
        <w:t>the IPC team with</w:t>
      </w:r>
      <w:r w:rsidR="00875CD0" w:rsidRPr="008E4A31">
        <w:rPr>
          <w:rFonts w:ascii="Arial" w:hAnsi="Arial" w:cs="Arial"/>
        </w:rPr>
        <w:t xml:space="preserve"> associated action plan where learning is identified</w:t>
      </w:r>
      <w:r w:rsidR="003C6233">
        <w:rPr>
          <w:rFonts w:ascii="Arial" w:hAnsi="Arial" w:cs="Arial"/>
        </w:rPr>
        <w:t xml:space="preserve">, </w:t>
      </w:r>
      <w:r>
        <w:rPr>
          <w:rFonts w:ascii="Arial" w:hAnsi="Arial" w:cs="Arial"/>
        </w:rPr>
        <w:t>the learning for MSSA’s is similar to MRSA</w:t>
      </w:r>
      <w:r w:rsidR="003C6233">
        <w:rPr>
          <w:rFonts w:ascii="Arial" w:hAnsi="Arial" w:cs="Arial"/>
        </w:rPr>
        <w:t xml:space="preserve">, and </w:t>
      </w:r>
      <w:r>
        <w:rPr>
          <w:rFonts w:ascii="Arial" w:hAnsi="Arial" w:cs="Arial"/>
        </w:rPr>
        <w:t>predominantly wound care and line care focus.</w:t>
      </w:r>
    </w:p>
    <w:p w14:paraId="7C4E1C73" w14:textId="77777777" w:rsidR="002F178B" w:rsidRPr="008E4A31" w:rsidRDefault="002F178B" w:rsidP="00AF2783">
      <w:pPr>
        <w:jc w:val="both"/>
        <w:rPr>
          <w:rFonts w:ascii="Arial" w:hAnsi="Arial" w:cs="Arial"/>
        </w:rPr>
      </w:pPr>
    </w:p>
    <w:p w14:paraId="62A6BC3D" w14:textId="391EF3E5" w:rsidR="003D2D7F" w:rsidRPr="008E4A31" w:rsidRDefault="002F178B" w:rsidP="00875CD0">
      <w:pPr>
        <w:jc w:val="both"/>
        <w:rPr>
          <w:rFonts w:ascii="Arial" w:hAnsi="Arial" w:cs="Arial"/>
        </w:rPr>
      </w:pPr>
      <w:r>
        <w:rPr>
          <w:noProof/>
          <w:lang w:eastAsia="en-GB"/>
        </w:rPr>
        <w:lastRenderedPageBreak/>
        <w:drawing>
          <wp:inline distT="0" distB="0" distL="0" distR="0" wp14:anchorId="737F637E" wp14:editId="0ADE88F5">
            <wp:extent cx="5731510" cy="2438400"/>
            <wp:effectExtent l="0" t="0" r="2540" b="0"/>
            <wp:docPr id="18" name="Chart 18">
              <a:extLst xmlns:a="http://schemas.openxmlformats.org/drawingml/2006/main">
                <a:ext uri="{FF2B5EF4-FFF2-40B4-BE49-F238E27FC236}">
                  <a16:creationId xmlns:a16="http://schemas.microsoft.com/office/drawing/2014/main" id="{79E899BA-3281-4BE9-BDE6-C2FA8787B02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6D7F9D" w14:textId="15BC542F" w:rsidR="00875CD0" w:rsidRPr="008E4A31" w:rsidRDefault="003C6233" w:rsidP="003C6233">
      <w:pPr>
        <w:rPr>
          <w:rFonts w:ascii="Arial" w:hAnsi="Arial" w:cs="Arial"/>
        </w:rPr>
      </w:pPr>
      <w:r>
        <w:rPr>
          <w:noProof/>
          <w:lang w:eastAsia="en-GB"/>
        </w:rPr>
        <w:drawing>
          <wp:inline distT="0" distB="0" distL="0" distR="0" wp14:anchorId="0D984826" wp14:editId="4293F21D">
            <wp:extent cx="5705475" cy="2581275"/>
            <wp:effectExtent l="0" t="0" r="9525" b="9525"/>
            <wp:docPr id="19" name="Chart 19">
              <a:extLst xmlns:a="http://schemas.openxmlformats.org/drawingml/2006/main">
                <a:ext uri="{FF2B5EF4-FFF2-40B4-BE49-F238E27FC236}">
                  <a16:creationId xmlns:a16="http://schemas.microsoft.com/office/drawing/2014/main" id="{5B56864B-18F5-45E7-8E0D-3C93A08EB5F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2DA732" w14:textId="77777777" w:rsidR="00CE0550" w:rsidRPr="008E4A31" w:rsidRDefault="00CE0550" w:rsidP="00875CD0">
      <w:pPr>
        <w:jc w:val="both"/>
        <w:rPr>
          <w:rFonts w:ascii="Arial" w:hAnsi="Arial" w:cs="Arial"/>
        </w:rPr>
      </w:pPr>
    </w:p>
    <w:p w14:paraId="071C2505" w14:textId="5F5460F7" w:rsidR="00875CD0" w:rsidRPr="008E4A31" w:rsidRDefault="0039792E" w:rsidP="000B24D6">
      <w:pPr>
        <w:pStyle w:val="Heading3"/>
      </w:pPr>
      <w:r>
        <w:t xml:space="preserve">10.3 </w:t>
      </w:r>
      <w:r w:rsidR="00875CD0" w:rsidRPr="008E4A31">
        <w:t xml:space="preserve">Gram Negative Bloodstream Infections </w:t>
      </w:r>
    </w:p>
    <w:p w14:paraId="79F21E46" w14:textId="52E2D29D" w:rsidR="00875CD0" w:rsidRPr="008E4A31" w:rsidRDefault="00875CD0" w:rsidP="00225A67">
      <w:pPr>
        <w:rPr>
          <w:rFonts w:ascii="Arial" w:hAnsi="Arial" w:cs="Arial"/>
        </w:rPr>
      </w:pPr>
    </w:p>
    <w:p w14:paraId="5B15928E" w14:textId="77777777" w:rsidR="006B0053" w:rsidRDefault="006B0053" w:rsidP="006B0053">
      <w:pPr>
        <w:rPr>
          <w:rFonts w:ascii="Arial" w:hAnsi="Arial" w:cs="Arial"/>
        </w:rPr>
      </w:pPr>
      <w:r w:rsidRPr="009A1499">
        <w:rPr>
          <w:rFonts w:ascii="Arial" w:hAnsi="Arial" w:cs="Arial"/>
          <w:lang w:val="en-US"/>
        </w:rPr>
        <w:t xml:space="preserve">The </w:t>
      </w:r>
      <w:hyperlink r:id="rId20" w:history="1">
        <w:r w:rsidRPr="009A1499">
          <w:rPr>
            <w:rStyle w:val="Hyperlink"/>
            <w:rFonts w:ascii="Arial" w:hAnsi="Arial" w:cs="Arial"/>
          </w:rPr>
          <w:t>UK 5-year action plan for antimicrobial resistance (AMR) 2024 to 2029</w:t>
        </w:r>
      </w:hyperlink>
      <w:r w:rsidRPr="009A1499">
        <w:rPr>
          <w:rFonts w:ascii="Arial" w:hAnsi="Arial" w:cs="Arial"/>
        </w:rPr>
        <w:t xml:space="preserve"> includes a target (1b) to prevent any increase in Gram-negative bloodstream infections in humans from the 2019 to 2020 financial year baseline by 2029. </w:t>
      </w:r>
    </w:p>
    <w:p w14:paraId="7CF46BD7" w14:textId="77777777" w:rsidR="00DA30AC" w:rsidRPr="00281756" w:rsidRDefault="00DA30AC" w:rsidP="00DA30AC">
      <w:pPr>
        <w:rPr>
          <w:rFonts w:ascii="Arial" w:hAnsi="Arial" w:cs="Arial"/>
        </w:rPr>
      </w:pPr>
    </w:p>
    <w:p w14:paraId="47DA1908" w14:textId="440B9B65" w:rsidR="00DA30AC" w:rsidRPr="00281756" w:rsidRDefault="00DA30AC" w:rsidP="00DA30AC">
      <w:pPr>
        <w:rPr>
          <w:rFonts w:ascii="Arial" w:hAnsi="Arial" w:cs="Arial"/>
          <w:szCs w:val="24"/>
        </w:rPr>
      </w:pPr>
      <w:r>
        <w:rPr>
          <w:rFonts w:ascii="Arial" w:hAnsi="Arial" w:cs="Arial"/>
        </w:rPr>
        <w:t>Results for reduction of gram negative bacteraemias varied this year, E. coli cases reduced, and reported less than the threshold of 160, with 147 cases, however, w</w:t>
      </w:r>
      <w:r w:rsidRPr="00281756">
        <w:rPr>
          <w:rFonts w:ascii="Arial" w:hAnsi="Arial" w:cs="Arial"/>
        </w:rPr>
        <w:t xml:space="preserve">e are over trajectory for both </w:t>
      </w:r>
      <w:r>
        <w:rPr>
          <w:rFonts w:ascii="Arial" w:hAnsi="Arial" w:cs="Arial"/>
        </w:rPr>
        <w:t>Klebsiella and pseudomonas.</w:t>
      </w:r>
      <w:r w:rsidRPr="00281756">
        <w:rPr>
          <w:rFonts w:ascii="Arial" w:hAnsi="Arial" w:cs="Arial"/>
        </w:rPr>
        <w:t xml:space="preserve"> Whilst there are actions continuing to focus on reduction of these cases, the targeted interventions for both </w:t>
      </w:r>
      <w:r>
        <w:rPr>
          <w:rFonts w:ascii="Arial" w:hAnsi="Arial" w:cs="Arial"/>
        </w:rPr>
        <w:t>E. coli and Klebsiella in</w:t>
      </w:r>
      <w:r w:rsidRPr="00281756">
        <w:rPr>
          <w:rFonts w:ascii="Arial" w:hAnsi="Arial" w:cs="Arial"/>
        </w:rPr>
        <w:t xml:space="preserve">fections are similar, therefore </w:t>
      </w:r>
      <w:r w:rsidR="00D90FA5">
        <w:rPr>
          <w:rFonts w:ascii="Arial" w:hAnsi="Arial" w:cs="Arial"/>
        </w:rPr>
        <w:t xml:space="preserve">it is </w:t>
      </w:r>
      <w:r w:rsidRPr="00281756">
        <w:rPr>
          <w:rFonts w:ascii="Arial" w:hAnsi="Arial" w:cs="Arial"/>
        </w:rPr>
        <w:t xml:space="preserve">hard to understand why </w:t>
      </w:r>
      <w:r>
        <w:rPr>
          <w:rFonts w:ascii="Arial" w:hAnsi="Arial" w:cs="Arial"/>
        </w:rPr>
        <w:t>the difference in cases, especially when the E. coli is reducing. Within the IPC TWIP for this year we continue to focus on environmental aspects of care provision and wound and bladder / catheter QI projects.</w:t>
      </w:r>
      <w:r w:rsidRPr="00281756">
        <w:rPr>
          <w:rFonts w:ascii="Arial" w:hAnsi="Arial" w:cs="Arial"/>
          <w:szCs w:val="24"/>
        </w:rPr>
        <w:t xml:space="preserve"> </w:t>
      </w:r>
    </w:p>
    <w:p w14:paraId="1F5D586A" w14:textId="77777777" w:rsidR="006B0053" w:rsidRDefault="006B0053" w:rsidP="00AF2783">
      <w:pPr>
        <w:suppressAutoHyphens w:val="0"/>
        <w:autoSpaceDN/>
        <w:jc w:val="both"/>
        <w:textAlignment w:val="auto"/>
        <w:rPr>
          <w:rFonts w:ascii="Arial" w:eastAsia="Times New Roman" w:hAnsi="Arial" w:cs="Arial"/>
          <w:lang w:eastAsia="en-GB"/>
        </w:rPr>
      </w:pPr>
    </w:p>
    <w:p w14:paraId="07C3874E" w14:textId="00853EBB" w:rsidR="003D2D7F" w:rsidRDefault="00645E90" w:rsidP="00AF2783">
      <w:pPr>
        <w:suppressAutoHyphens w:val="0"/>
        <w:autoSpaceDN/>
        <w:jc w:val="both"/>
        <w:textAlignment w:val="auto"/>
        <w:rPr>
          <w:rFonts w:ascii="Arial" w:eastAsia="Times New Roman" w:hAnsi="Arial" w:cs="Arial"/>
          <w:lang w:eastAsia="en-GB"/>
        </w:rPr>
      </w:pPr>
      <w:r>
        <w:rPr>
          <w:rFonts w:ascii="Arial" w:eastAsia="Times New Roman" w:hAnsi="Arial" w:cs="Arial"/>
          <w:lang w:eastAsia="en-GB"/>
        </w:rPr>
        <w:lastRenderedPageBreak/>
        <w:t xml:space="preserve">The data for the three nationally reportable </w:t>
      </w:r>
      <w:r w:rsidR="00DA30AC">
        <w:rPr>
          <w:rFonts w:ascii="Arial" w:eastAsia="Times New Roman" w:hAnsi="Arial" w:cs="Arial"/>
          <w:lang w:eastAsia="en-GB"/>
        </w:rPr>
        <w:t>Gram-negative</w:t>
      </w:r>
      <w:r>
        <w:rPr>
          <w:rFonts w:ascii="Arial" w:eastAsia="Times New Roman" w:hAnsi="Arial" w:cs="Arial"/>
          <w:lang w:eastAsia="en-GB"/>
        </w:rPr>
        <w:t xml:space="preserve"> bloodstream infections are given below</w:t>
      </w:r>
      <w:r w:rsidR="003A3376">
        <w:rPr>
          <w:rFonts w:ascii="Arial" w:eastAsia="Times New Roman" w:hAnsi="Arial" w:cs="Arial"/>
          <w:lang w:eastAsia="en-GB"/>
        </w:rPr>
        <w:t>:</w:t>
      </w:r>
    </w:p>
    <w:p w14:paraId="1EA17369" w14:textId="0F921324" w:rsidR="003A3376" w:rsidRDefault="003A3376" w:rsidP="003A3376">
      <w:pPr>
        <w:rPr>
          <w:rFonts w:ascii="Arial" w:hAnsi="Arial" w:cs="Arial"/>
        </w:rPr>
      </w:pPr>
    </w:p>
    <w:p w14:paraId="71F4FEE0" w14:textId="16DE900D" w:rsidR="00DA30AC" w:rsidRPr="00281756" w:rsidRDefault="00DA30AC" w:rsidP="003A3376">
      <w:pPr>
        <w:rPr>
          <w:rFonts w:ascii="Arial" w:hAnsi="Arial" w:cs="Arial"/>
        </w:rPr>
      </w:pPr>
      <w:r>
        <w:rPr>
          <w:noProof/>
          <w:lang w:eastAsia="en-GB"/>
        </w:rPr>
        <w:drawing>
          <wp:inline distT="0" distB="0" distL="0" distR="0" wp14:anchorId="7348F359" wp14:editId="1638D15C">
            <wp:extent cx="5972175" cy="3088005"/>
            <wp:effectExtent l="0" t="0" r="9525" b="17145"/>
            <wp:docPr id="20" name="Chart 20">
              <a:extLst xmlns:a="http://schemas.openxmlformats.org/drawingml/2006/main">
                <a:ext uri="{FF2B5EF4-FFF2-40B4-BE49-F238E27FC236}">
                  <a16:creationId xmlns:a16="http://schemas.microsoft.com/office/drawing/2014/main" id="{435D9BC0-41D1-46EB-90FA-A62653AA1FD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D548D4" w14:textId="42248F16" w:rsidR="003A3376" w:rsidRPr="00281756" w:rsidRDefault="003A3376" w:rsidP="003A3376">
      <w:pPr>
        <w:rPr>
          <w:rFonts w:ascii="Arial" w:hAnsi="Arial" w:cs="Arial"/>
        </w:rPr>
      </w:pPr>
    </w:p>
    <w:p w14:paraId="3B57C402" w14:textId="16B00E17" w:rsidR="003A3376" w:rsidRPr="00281756" w:rsidRDefault="00DA30AC" w:rsidP="00DA30AC">
      <w:pPr>
        <w:rPr>
          <w:rFonts w:ascii="Arial" w:hAnsi="Arial" w:cs="Arial"/>
        </w:rPr>
      </w:pPr>
      <w:r>
        <w:rPr>
          <w:noProof/>
          <w:lang w:eastAsia="en-GB"/>
        </w:rPr>
        <w:drawing>
          <wp:inline distT="0" distB="0" distL="0" distR="0" wp14:anchorId="7B193456" wp14:editId="1CC46C4C">
            <wp:extent cx="5991225" cy="2969260"/>
            <wp:effectExtent l="0" t="0" r="9525" b="2540"/>
            <wp:docPr id="24" name="Chart 24">
              <a:extLst xmlns:a="http://schemas.openxmlformats.org/drawingml/2006/main">
                <a:ext uri="{FF2B5EF4-FFF2-40B4-BE49-F238E27FC236}">
                  <a16:creationId xmlns:a16="http://schemas.microsoft.com/office/drawing/2014/main" id="{44B768E4-CB53-43DA-BE31-5C1B660BF24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075625" w14:textId="77777777" w:rsidR="003A3376" w:rsidRPr="00281756" w:rsidRDefault="003A3376" w:rsidP="00DA30AC">
      <w:pPr>
        <w:rPr>
          <w:rFonts w:ascii="Arial" w:hAnsi="Arial" w:cs="Arial"/>
        </w:rPr>
      </w:pPr>
    </w:p>
    <w:p w14:paraId="4853FEC5" w14:textId="0ABC0C20" w:rsidR="003A3376" w:rsidRPr="00281756" w:rsidRDefault="00DA30AC" w:rsidP="003A3376">
      <w:pPr>
        <w:rPr>
          <w:rFonts w:ascii="Arial" w:hAnsi="Arial" w:cs="Arial"/>
          <w:szCs w:val="24"/>
        </w:rPr>
      </w:pPr>
      <w:r>
        <w:rPr>
          <w:noProof/>
          <w:lang w:eastAsia="en-GB"/>
        </w:rPr>
        <w:lastRenderedPageBreak/>
        <w:drawing>
          <wp:inline distT="0" distB="0" distL="0" distR="0" wp14:anchorId="6B29E118" wp14:editId="367B6A17">
            <wp:extent cx="6010275" cy="2609850"/>
            <wp:effectExtent l="0" t="0" r="9525" b="0"/>
            <wp:docPr id="9" name="Chart 9">
              <a:extLst xmlns:a="http://schemas.openxmlformats.org/drawingml/2006/main">
                <a:ext uri="{FF2B5EF4-FFF2-40B4-BE49-F238E27FC236}">
                  <a16:creationId xmlns:a16="http://schemas.microsoft.com/office/drawing/2014/main" id="{A8DF13AF-4DC7-4662-AC7E-10B501951AB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EE3C57" w14:textId="77777777" w:rsidR="006A28C4" w:rsidRDefault="006A28C4" w:rsidP="003A3376">
      <w:pPr>
        <w:rPr>
          <w:rFonts w:ascii="Arial" w:hAnsi="Arial" w:cs="Arial"/>
          <w:szCs w:val="24"/>
        </w:rPr>
      </w:pPr>
    </w:p>
    <w:p w14:paraId="6143B757" w14:textId="77777777" w:rsidR="00645E90" w:rsidRPr="008E4A31" w:rsidRDefault="00645E90" w:rsidP="00875CD0">
      <w:pPr>
        <w:jc w:val="both"/>
        <w:rPr>
          <w:rFonts w:ascii="Arial" w:hAnsi="Arial" w:cs="Arial"/>
        </w:rPr>
      </w:pPr>
    </w:p>
    <w:p w14:paraId="6B09AE32" w14:textId="64496375" w:rsidR="00875CD0" w:rsidRPr="008E4A31" w:rsidRDefault="0039792E" w:rsidP="000B24D6">
      <w:pPr>
        <w:pStyle w:val="Heading3"/>
      </w:pPr>
      <w:r>
        <w:t xml:space="preserve">10.4 </w:t>
      </w:r>
      <w:r w:rsidR="00D14143" w:rsidRPr="008E4A31">
        <w:t>Carbapenemase Producing Organisms (C</w:t>
      </w:r>
      <w:r w:rsidR="00B36D61" w:rsidRPr="008E4A31">
        <w:t>P</w:t>
      </w:r>
      <w:r w:rsidR="00D14143" w:rsidRPr="008E4A31">
        <w:t>O)</w:t>
      </w:r>
    </w:p>
    <w:p w14:paraId="47D0467A" w14:textId="46941176" w:rsidR="00596C95" w:rsidRPr="008E4A31" w:rsidRDefault="00596C95" w:rsidP="00225A67">
      <w:pPr>
        <w:rPr>
          <w:rFonts w:ascii="Arial" w:hAnsi="Arial" w:cs="Arial"/>
        </w:rPr>
      </w:pPr>
    </w:p>
    <w:p w14:paraId="396EC1FF" w14:textId="67FB8E8E" w:rsidR="00D14143" w:rsidRPr="008E4A31" w:rsidRDefault="00D14143" w:rsidP="00AF2783">
      <w:pPr>
        <w:jc w:val="both"/>
        <w:rPr>
          <w:rFonts w:ascii="Arial" w:eastAsia="Times New Roman" w:hAnsi="Arial" w:cs="Arial"/>
          <w:lang w:eastAsia="en-GB"/>
        </w:rPr>
      </w:pPr>
      <w:r w:rsidRPr="008E4A31">
        <w:rPr>
          <w:rFonts w:ascii="Arial" w:eastAsia="Times New Roman" w:hAnsi="Arial" w:cs="Arial"/>
          <w:lang w:eastAsia="en-GB"/>
        </w:rPr>
        <w:t>C</w:t>
      </w:r>
      <w:r w:rsidR="00B36D61" w:rsidRPr="008E4A31">
        <w:rPr>
          <w:rFonts w:ascii="Arial" w:eastAsia="Times New Roman" w:hAnsi="Arial" w:cs="Arial"/>
          <w:lang w:eastAsia="en-GB"/>
        </w:rPr>
        <w:t>P</w:t>
      </w:r>
      <w:r w:rsidRPr="008E4A31">
        <w:rPr>
          <w:rFonts w:ascii="Arial" w:eastAsia="Times New Roman" w:hAnsi="Arial" w:cs="Arial"/>
          <w:lang w:eastAsia="en-GB"/>
        </w:rPr>
        <w:t>O are of concern as organisms producing Carbapen</w:t>
      </w:r>
      <w:r w:rsidR="00F65AF2">
        <w:rPr>
          <w:rFonts w:ascii="Arial" w:eastAsia="Times New Roman" w:hAnsi="Arial" w:cs="Arial"/>
          <w:lang w:eastAsia="en-GB"/>
        </w:rPr>
        <w:t>e</w:t>
      </w:r>
      <w:r w:rsidRPr="008E4A31">
        <w:rPr>
          <w:rFonts w:ascii="Arial" w:eastAsia="Times New Roman" w:hAnsi="Arial" w:cs="Arial"/>
          <w:lang w:eastAsia="en-GB"/>
        </w:rPr>
        <w:t>mases (enzymes that confer antimicrobial resistance) are resistant to many of the antimicrobials of last resort. In some areas of the UK, C</w:t>
      </w:r>
      <w:r w:rsidR="00B36D61" w:rsidRPr="008E4A31">
        <w:rPr>
          <w:rFonts w:ascii="Arial" w:eastAsia="Times New Roman" w:hAnsi="Arial" w:cs="Arial"/>
          <w:lang w:eastAsia="en-GB"/>
        </w:rPr>
        <w:t>P</w:t>
      </w:r>
      <w:r w:rsidRPr="008E4A31">
        <w:rPr>
          <w:rFonts w:ascii="Arial" w:eastAsia="Times New Roman" w:hAnsi="Arial" w:cs="Arial"/>
          <w:lang w:eastAsia="en-GB"/>
        </w:rPr>
        <w:t>O have become endemic and once established in a healthcare facility, they can be extremely difficult to eradicate. Management of C</w:t>
      </w:r>
      <w:r w:rsidR="00B36D61" w:rsidRPr="008E4A31">
        <w:rPr>
          <w:rFonts w:ascii="Arial" w:eastAsia="Times New Roman" w:hAnsi="Arial" w:cs="Arial"/>
          <w:lang w:eastAsia="en-GB"/>
        </w:rPr>
        <w:t>P</w:t>
      </w:r>
      <w:r w:rsidRPr="008E4A31">
        <w:rPr>
          <w:rFonts w:ascii="Arial" w:eastAsia="Times New Roman" w:hAnsi="Arial" w:cs="Arial"/>
          <w:lang w:eastAsia="en-GB"/>
        </w:rPr>
        <w:t xml:space="preserve">O follows published guidance from </w:t>
      </w:r>
      <w:r w:rsidR="00B36D61" w:rsidRPr="008E4A31">
        <w:rPr>
          <w:rFonts w:ascii="Arial" w:eastAsia="Times New Roman" w:hAnsi="Arial" w:cs="Arial"/>
          <w:lang w:eastAsia="en-GB"/>
        </w:rPr>
        <w:t>UKHSA</w:t>
      </w:r>
      <w:r w:rsidRPr="008E4A31">
        <w:rPr>
          <w:rFonts w:ascii="Arial" w:eastAsia="Times New Roman" w:hAnsi="Arial" w:cs="Arial"/>
          <w:lang w:eastAsia="en-GB"/>
        </w:rPr>
        <w:t>. For EKHUFT where C</w:t>
      </w:r>
      <w:r w:rsidR="00B36D61" w:rsidRPr="008E4A31">
        <w:rPr>
          <w:rFonts w:ascii="Arial" w:eastAsia="Times New Roman" w:hAnsi="Arial" w:cs="Arial"/>
          <w:lang w:eastAsia="en-GB"/>
        </w:rPr>
        <w:t>P</w:t>
      </w:r>
      <w:r w:rsidRPr="008E4A31">
        <w:rPr>
          <w:rFonts w:ascii="Arial" w:eastAsia="Times New Roman" w:hAnsi="Arial" w:cs="Arial"/>
          <w:lang w:eastAsia="en-GB"/>
        </w:rPr>
        <w:t>O are not endemic this is based on targeted screening of certain patient groups. Although this screening has identified sporadic cases, no cluster or outbreaks have been identified. Vigilance remains high</w:t>
      </w:r>
      <w:r w:rsidR="00DA30AC">
        <w:rPr>
          <w:rFonts w:ascii="Arial" w:eastAsia="Times New Roman" w:hAnsi="Arial" w:cs="Arial"/>
          <w:lang w:eastAsia="en-GB"/>
        </w:rPr>
        <w:t>.</w:t>
      </w:r>
    </w:p>
    <w:p w14:paraId="720D5B28" w14:textId="092385EF" w:rsidR="00875CD0" w:rsidRPr="008E4A31" w:rsidRDefault="00875CD0" w:rsidP="00225A67">
      <w:pPr>
        <w:rPr>
          <w:rFonts w:ascii="Arial" w:hAnsi="Arial" w:cs="Arial"/>
        </w:rPr>
      </w:pPr>
    </w:p>
    <w:p w14:paraId="0D235AF8" w14:textId="315E6C67" w:rsidR="009769EC" w:rsidRPr="0039792E" w:rsidRDefault="000B24D6" w:rsidP="0039792E">
      <w:pPr>
        <w:pStyle w:val="Heading2"/>
      </w:pPr>
      <w:bookmarkStart w:id="16" w:name="MRSA"/>
      <w:bookmarkStart w:id="17" w:name="E_coli"/>
      <w:bookmarkStart w:id="18" w:name="CRO"/>
      <w:bookmarkStart w:id="19" w:name="ESBL"/>
      <w:bookmarkStart w:id="20" w:name="Antimicrobial"/>
      <w:bookmarkEnd w:id="16"/>
      <w:bookmarkEnd w:id="17"/>
      <w:bookmarkEnd w:id="18"/>
      <w:bookmarkEnd w:id="19"/>
      <w:bookmarkEnd w:id="20"/>
      <w:r>
        <w:t xml:space="preserve">11. </w:t>
      </w:r>
      <w:r w:rsidR="009769EC" w:rsidRPr="009769EC">
        <w:t xml:space="preserve">Antimicrobial Stewardship </w:t>
      </w:r>
    </w:p>
    <w:p w14:paraId="2065A4C7" w14:textId="52BE2318" w:rsidR="009769EC" w:rsidRPr="0039792E" w:rsidRDefault="0039792E" w:rsidP="0039792E">
      <w:pPr>
        <w:pStyle w:val="Heading3"/>
      </w:pPr>
      <w:r>
        <w:t xml:space="preserve">11.1 </w:t>
      </w:r>
      <w:r w:rsidR="009769EC" w:rsidRPr="0039792E">
        <w:t>Current Antimicrobial Stewardship Team</w:t>
      </w:r>
    </w:p>
    <w:p w14:paraId="766F211C" w14:textId="77777777" w:rsidR="009769EC" w:rsidRPr="009769EC" w:rsidRDefault="009769EC" w:rsidP="009769EC">
      <w:pPr>
        <w:rPr>
          <w:rFonts w:ascii="Arial" w:hAnsi="Arial" w:cs="Arial"/>
        </w:rPr>
      </w:pPr>
    </w:p>
    <w:p w14:paraId="20561F91" w14:textId="77777777" w:rsidR="009769EC" w:rsidRPr="009769EC" w:rsidRDefault="009769EC" w:rsidP="009769EC">
      <w:pPr>
        <w:jc w:val="both"/>
        <w:rPr>
          <w:rFonts w:ascii="Arial" w:hAnsi="Arial" w:cs="Arial"/>
        </w:rPr>
      </w:pPr>
      <w:r w:rsidRPr="009769EC">
        <w:rPr>
          <w:rFonts w:ascii="Arial" w:hAnsi="Arial" w:cs="Arial"/>
        </w:rPr>
        <w:t xml:space="preserve">Consultant Medical Microbiologist (Lead Consultant for AMS) – with </w:t>
      </w:r>
      <w:r w:rsidRPr="009769EC">
        <w:rPr>
          <w:rFonts w:ascii="Arial" w:hAnsi="Arial" w:cs="Arial"/>
          <w:u w:val="single"/>
        </w:rPr>
        <w:t>&lt;</w:t>
      </w:r>
      <w:r w:rsidRPr="009769EC">
        <w:rPr>
          <w:rFonts w:ascii="Arial" w:hAnsi="Arial" w:cs="Arial"/>
        </w:rPr>
        <w:t>0.2 wte for AMS</w:t>
      </w:r>
    </w:p>
    <w:p w14:paraId="2305C2D6" w14:textId="77777777" w:rsidR="009769EC" w:rsidRPr="009769EC" w:rsidRDefault="009769EC" w:rsidP="009769EC">
      <w:pPr>
        <w:jc w:val="both"/>
        <w:rPr>
          <w:rFonts w:ascii="Arial" w:hAnsi="Arial" w:cs="Arial"/>
        </w:rPr>
      </w:pPr>
      <w:r w:rsidRPr="009769EC">
        <w:rPr>
          <w:rFonts w:ascii="Arial" w:hAnsi="Arial" w:cs="Arial"/>
        </w:rPr>
        <w:t>Consultant Pharmacist (AMS) – 0.6WTE – in post</w:t>
      </w:r>
    </w:p>
    <w:p w14:paraId="2F105852" w14:textId="77777777" w:rsidR="009769EC" w:rsidRPr="009769EC" w:rsidRDefault="009769EC" w:rsidP="009769EC">
      <w:pPr>
        <w:jc w:val="both"/>
        <w:rPr>
          <w:rFonts w:ascii="Arial" w:hAnsi="Arial" w:cs="Arial"/>
        </w:rPr>
      </w:pPr>
      <w:r w:rsidRPr="009769EC">
        <w:rPr>
          <w:rFonts w:ascii="Arial" w:hAnsi="Arial" w:cs="Arial"/>
        </w:rPr>
        <w:t>Advanced Pharmacist (AMS) based at WHH– 0.64 WTE – in post</w:t>
      </w:r>
    </w:p>
    <w:p w14:paraId="21190DB2" w14:textId="77777777" w:rsidR="009769EC" w:rsidRPr="009769EC" w:rsidRDefault="009769EC" w:rsidP="009769EC">
      <w:pPr>
        <w:jc w:val="both"/>
        <w:rPr>
          <w:rFonts w:ascii="Arial" w:hAnsi="Arial" w:cs="Arial"/>
        </w:rPr>
      </w:pPr>
      <w:r w:rsidRPr="009769EC">
        <w:rPr>
          <w:rFonts w:ascii="Arial" w:hAnsi="Arial" w:cs="Arial"/>
        </w:rPr>
        <w:t>Advanced Pharmacist (AMS) based at QEQM– 0.6 WTE- in post from September 2024</w:t>
      </w:r>
    </w:p>
    <w:p w14:paraId="7EE72B9E" w14:textId="52A5643E" w:rsidR="009769EC" w:rsidRDefault="009769EC" w:rsidP="009769EC">
      <w:pPr>
        <w:jc w:val="both"/>
        <w:rPr>
          <w:rFonts w:ascii="Arial" w:hAnsi="Arial" w:cs="Arial"/>
        </w:rPr>
      </w:pPr>
      <w:r w:rsidRPr="009769EC">
        <w:rPr>
          <w:rFonts w:ascii="Arial" w:hAnsi="Arial" w:cs="Arial"/>
        </w:rPr>
        <w:t>Other Consultant Medical Microbiologists and Clinical Fellows are available for advice/ward rounds if needed.</w:t>
      </w:r>
    </w:p>
    <w:p w14:paraId="2E038B52" w14:textId="77777777" w:rsidR="0039792E" w:rsidRPr="009769EC" w:rsidRDefault="0039792E" w:rsidP="009769EC">
      <w:pPr>
        <w:jc w:val="both"/>
        <w:rPr>
          <w:rFonts w:ascii="Arial" w:hAnsi="Arial" w:cs="Arial"/>
        </w:rPr>
      </w:pPr>
    </w:p>
    <w:p w14:paraId="4BB529A8" w14:textId="159B6837" w:rsidR="009769EC" w:rsidRPr="0039792E" w:rsidRDefault="0039792E" w:rsidP="0039792E">
      <w:pPr>
        <w:pStyle w:val="Heading4"/>
        <w:rPr>
          <w:szCs w:val="24"/>
        </w:rPr>
      </w:pPr>
      <w:r w:rsidRPr="0039792E">
        <w:rPr>
          <w:szCs w:val="24"/>
        </w:rPr>
        <w:t xml:space="preserve">11.1.1 </w:t>
      </w:r>
      <w:r w:rsidR="009769EC" w:rsidRPr="0039792E">
        <w:rPr>
          <w:szCs w:val="24"/>
        </w:rPr>
        <w:t>Expectations from clinical staff</w:t>
      </w:r>
    </w:p>
    <w:p w14:paraId="059DB166" w14:textId="77777777" w:rsidR="000B24D6" w:rsidRPr="000B24D6" w:rsidRDefault="000B24D6" w:rsidP="000B24D6">
      <w:pPr>
        <w:rPr>
          <w:lang w:eastAsia="zh-CN"/>
        </w:rPr>
      </w:pPr>
    </w:p>
    <w:p w14:paraId="000BE834" w14:textId="72441EEE" w:rsidR="009769EC" w:rsidRDefault="009769EC" w:rsidP="009769EC">
      <w:pPr>
        <w:rPr>
          <w:rFonts w:ascii="Arial" w:hAnsi="Arial" w:cs="Arial"/>
        </w:rPr>
      </w:pPr>
      <w:r w:rsidRPr="009769EC">
        <w:rPr>
          <w:rFonts w:ascii="Arial" w:hAnsi="Arial" w:cs="Arial"/>
        </w:rPr>
        <w:t>Prescribers are asked to refer any patients they are concerned about to the Consultant Microbiologists/Clinical Fellows via the Careflow app. A response can be added to the referral recommending a treatment plan and duration.</w:t>
      </w:r>
    </w:p>
    <w:p w14:paraId="3A63740B" w14:textId="77777777" w:rsidR="006455EC" w:rsidRPr="009769EC" w:rsidRDefault="006455EC" w:rsidP="009769EC">
      <w:pPr>
        <w:rPr>
          <w:rFonts w:ascii="Arial" w:hAnsi="Arial" w:cs="Arial"/>
        </w:rPr>
      </w:pPr>
    </w:p>
    <w:p w14:paraId="63D7C205" w14:textId="74246C4F" w:rsidR="009769EC" w:rsidRPr="009769EC" w:rsidRDefault="009769EC" w:rsidP="009769EC">
      <w:pPr>
        <w:rPr>
          <w:rFonts w:ascii="Arial" w:hAnsi="Arial" w:cs="Arial"/>
        </w:rPr>
      </w:pPr>
      <w:r w:rsidRPr="009769EC">
        <w:rPr>
          <w:rFonts w:ascii="Arial" w:hAnsi="Arial" w:cs="Arial"/>
        </w:rPr>
        <w:t xml:space="preserve">Clinical ward pharmacists are asked to review all antibiotic prescriptions </w:t>
      </w:r>
      <w:r w:rsidR="006455EC">
        <w:rPr>
          <w:rFonts w:ascii="Arial" w:hAnsi="Arial" w:cs="Arial"/>
        </w:rPr>
        <w:t>to</w:t>
      </w:r>
      <w:r w:rsidRPr="009769EC">
        <w:rPr>
          <w:rFonts w:ascii="Arial" w:hAnsi="Arial" w:cs="Arial"/>
        </w:rPr>
        <w:t xml:space="preserve"> ensure that:</w:t>
      </w:r>
    </w:p>
    <w:p w14:paraId="673B1D52" w14:textId="77777777" w:rsidR="009769EC" w:rsidRPr="009769EC" w:rsidRDefault="009769EC" w:rsidP="009769EC">
      <w:pPr>
        <w:pStyle w:val="ListParagraph"/>
        <w:numPr>
          <w:ilvl w:val="0"/>
          <w:numId w:val="8"/>
        </w:numPr>
        <w:suppressAutoHyphens w:val="0"/>
        <w:autoSpaceDN/>
        <w:spacing w:after="160" w:line="259" w:lineRule="auto"/>
        <w:contextualSpacing/>
        <w:textAlignment w:val="auto"/>
        <w:rPr>
          <w:rFonts w:ascii="Arial" w:hAnsi="Arial" w:cs="Arial"/>
        </w:rPr>
      </w:pPr>
      <w:r w:rsidRPr="009769EC">
        <w:rPr>
          <w:rFonts w:ascii="Arial" w:hAnsi="Arial" w:cs="Arial"/>
        </w:rPr>
        <w:t>there is an accurate indication and stop/review date on the Sunrise chart</w:t>
      </w:r>
    </w:p>
    <w:p w14:paraId="61E0C2A8" w14:textId="345C1410" w:rsidR="009769EC" w:rsidRPr="009769EC" w:rsidRDefault="009769EC" w:rsidP="009769EC">
      <w:pPr>
        <w:pStyle w:val="ListParagraph"/>
        <w:numPr>
          <w:ilvl w:val="0"/>
          <w:numId w:val="8"/>
        </w:numPr>
        <w:suppressAutoHyphens w:val="0"/>
        <w:autoSpaceDN/>
        <w:spacing w:after="160" w:line="259" w:lineRule="auto"/>
        <w:contextualSpacing/>
        <w:textAlignment w:val="auto"/>
        <w:rPr>
          <w:rFonts w:ascii="Arial" w:hAnsi="Arial" w:cs="Arial"/>
        </w:rPr>
      </w:pPr>
      <w:r w:rsidRPr="009769EC">
        <w:rPr>
          <w:rFonts w:ascii="Arial" w:hAnsi="Arial" w:cs="Arial"/>
        </w:rPr>
        <w:t>they are prescribed as per guidelines, microbiology advice or as per culture and sensitivity results</w:t>
      </w:r>
      <w:r w:rsidR="006455EC">
        <w:rPr>
          <w:rFonts w:ascii="Arial" w:hAnsi="Arial" w:cs="Arial"/>
        </w:rPr>
        <w:t xml:space="preserve"> (and t</w:t>
      </w:r>
      <w:r w:rsidRPr="009769EC">
        <w:rPr>
          <w:rFonts w:ascii="Arial" w:hAnsi="Arial" w:cs="Arial"/>
        </w:rPr>
        <w:t>hey are asked to challenge anything that does not fit these criteria</w:t>
      </w:r>
      <w:r w:rsidR="006455EC">
        <w:rPr>
          <w:rFonts w:ascii="Arial" w:hAnsi="Arial" w:cs="Arial"/>
        </w:rPr>
        <w:t>)</w:t>
      </w:r>
      <w:r w:rsidRPr="009769EC">
        <w:rPr>
          <w:rFonts w:ascii="Arial" w:hAnsi="Arial" w:cs="Arial"/>
        </w:rPr>
        <w:t xml:space="preserve"> </w:t>
      </w:r>
    </w:p>
    <w:p w14:paraId="64C57E5B" w14:textId="1BAEDB91" w:rsidR="009769EC" w:rsidRPr="000B24D6" w:rsidRDefault="006455EC" w:rsidP="000B24D6">
      <w:pPr>
        <w:pStyle w:val="ListParagraph"/>
        <w:numPr>
          <w:ilvl w:val="0"/>
          <w:numId w:val="8"/>
        </w:numPr>
        <w:suppressAutoHyphens w:val="0"/>
        <w:autoSpaceDN/>
        <w:spacing w:after="160" w:line="259" w:lineRule="auto"/>
        <w:contextualSpacing/>
        <w:textAlignment w:val="auto"/>
        <w:rPr>
          <w:rFonts w:ascii="Arial" w:hAnsi="Arial" w:cs="Arial"/>
        </w:rPr>
      </w:pPr>
      <w:r>
        <w:rPr>
          <w:rFonts w:ascii="Arial" w:hAnsi="Arial" w:cs="Arial"/>
        </w:rPr>
        <w:t xml:space="preserve">they </w:t>
      </w:r>
      <w:r w:rsidR="009769EC" w:rsidRPr="009769EC">
        <w:rPr>
          <w:rFonts w:ascii="Arial" w:hAnsi="Arial" w:cs="Arial"/>
        </w:rPr>
        <w:t xml:space="preserve">prompt clinical teams to refer patients to Microbiology via Careflow if duration of treatment is at 10 days or more or if the antibiotic choice is a restricted antibiotic </w:t>
      </w:r>
      <w:r>
        <w:rPr>
          <w:rFonts w:ascii="Arial" w:hAnsi="Arial" w:cs="Arial"/>
        </w:rPr>
        <w:t xml:space="preserve">/ </w:t>
      </w:r>
      <w:r w:rsidR="009769EC" w:rsidRPr="009769EC">
        <w:rPr>
          <w:rFonts w:ascii="Arial" w:hAnsi="Arial" w:cs="Arial"/>
        </w:rPr>
        <w:t xml:space="preserve">not as per guidelines or microbiology advice </w:t>
      </w:r>
    </w:p>
    <w:p w14:paraId="078D5BA1" w14:textId="54ED892B" w:rsidR="009769EC" w:rsidRPr="009769EC" w:rsidRDefault="007877C7" w:rsidP="0039792E">
      <w:pPr>
        <w:pStyle w:val="Heading4"/>
      </w:pPr>
      <w:r>
        <w:t>11.</w:t>
      </w:r>
      <w:r w:rsidR="009769EC" w:rsidRPr="009769EC">
        <w:t>1.2 Main aims of the AMS Team for 2024-25</w:t>
      </w:r>
    </w:p>
    <w:p w14:paraId="5500D88C" w14:textId="77777777" w:rsidR="009769EC" w:rsidRPr="009769EC" w:rsidRDefault="009769EC" w:rsidP="009769EC">
      <w:pPr>
        <w:jc w:val="both"/>
        <w:rPr>
          <w:rFonts w:ascii="Arial" w:hAnsi="Arial" w:cs="Arial"/>
        </w:rPr>
      </w:pPr>
    </w:p>
    <w:p w14:paraId="1C806162" w14:textId="77777777" w:rsidR="009769EC" w:rsidRPr="009769EC" w:rsidRDefault="009769EC" w:rsidP="009769EC">
      <w:pPr>
        <w:pStyle w:val="ListParagraph"/>
        <w:numPr>
          <w:ilvl w:val="0"/>
          <w:numId w:val="9"/>
        </w:numPr>
        <w:suppressAutoHyphens w:val="0"/>
        <w:autoSpaceDN/>
        <w:spacing w:after="160" w:line="259" w:lineRule="auto"/>
        <w:contextualSpacing/>
        <w:jc w:val="both"/>
        <w:textAlignment w:val="auto"/>
        <w:rPr>
          <w:rFonts w:ascii="Arial" w:hAnsi="Arial" w:cs="Arial"/>
        </w:rPr>
      </w:pPr>
      <w:r w:rsidRPr="009769EC">
        <w:rPr>
          <w:rFonts w:ascii="Arial" w:hAnsi="Arial" w:cs="Arial"/>
        </w:rPr>
        <w:t xml:space="preserve">Reduce inappropriate antimicrobial prescribing; total consumption, broad spectrum and high </w:t>
      </w:r>
      <w:r w:rsidRPr="009769EC">
        <w:rPr>
          <w:rFonts w:ascii="Arial" w:hAnsi="Arial" w:cs="Arial"/>
          <w:i/>
        </w:rPr>
        <w:t>Clostridioides difficile</w:t>
      </w:r>
      <w:r w:rsidRPr="009769EC">
        <w:rPr>
          <w:rFonts w:ascii="Arial" w:hAnsi="Arial" w:cs="Arial"/>
        </w:rPr>
        <w:t xml:space="preserve"> risk antibiotics (in particular: co-amoxiclav, piperacillin/tazobactam, fluoroquinolones, clindamycin, carbapenems and 3</w:t>
      </w:r>
      <w:r w:rsidRPr="009769EC">
        <w:rPr>
          <w:rFonts w:ascii="Arial" w:hAnsi="Arial" w:cs="Arial"/>
          <w:vertAlign w:val="superscript"/>
        </w:rPr>
        <w:t>rd</w:t>
      </w:r>
      <w:r w:rsidRPr="009769EC">
        <w:rPr>
          <w:rFonts w:ascii="Arial" w:hAnsi="Arial" w:cs="Arial"/>
        </w:rPr>
        <w:t xml:space="preserve"> generation cephalosporins)</w:t>
      </w:r>
    </w:p>
    <w:p w14:paraId="04249D02" w14:textId="77777777" w:rsidR="009769EC" w:rsidRPr="009769EC" w:rsidRDefault="009769EC" w:rsidP="009769EC">
      <w:pPr>
        <w:pStyle w:val="ListParagraph"/>
        <w:numPr>
          <w:ilvl w:val="0"/>
          <w:numId w:val="9"/>
        </w:numPr>
        <w:suppressAutoHyphens w:val="0"/>
        <w:autoSpaceDN/>
        <w:spacing w:after="160" w:line="259" w:lineRule="auto"/>
        <w:contextualSpacing/>
        <w:jc w:val="both"/>
        <w:textAlignment w:val="auto"/>
        <w:rPr>
          <w:rFonts w:ascii="Arial" w:hAnsi="Arial" w:cs="Arial"/>
        </w:rPr>
      </w:pPr>
      <w:r w:rsidRPr="009769EC">
        <w:rPr>
          <w:rFonts w:ascii="Arial" w:hAnsi="Arial" w:cs="Arial"/>
        </w:rPr>
        <w:t xml:space="preserve">Work pro-actively to prevent increasing antimicrobial resistance and healthcare associated infections e.g. </w:t>
      </w:r>
      <w:r w:rsidRPr="009769EC">
        <w:rPr>
          <w:rFonts w:ascii="Arial" w:hAnsi="Arial" w:cs="Arial"/>
          <w:i/>
        </w:rPr>
        <w:t>C. difficile</w:t>
      </w:r>
      <w:r w:rsidRPr="009769EC">
        <w:rPr>
          <w:rFonts w:ascii="Arial" w:hAnsi="Arial" w:cs="Arial"/>
        </w:rPr>
        <w:t xml:space="preserve">. </w:t>
      </w:r>
    </w:p>
    <w:p w14:paraId="613723AD" w14:textId="2729F026" w:rsidR="009769EC" w:rsidRPr="009769EC" w:rsidRDefault="009769EC" w:rsidP="009769EC">
      <w:pPr>
        <w:suppressAutoHyphens w:val="0"/>
        <w:autoSpaceDN/>
        <w:spacing w:after="160" w:line="259" w:lineRule="auto"/>
        <w:contextualSpacing/>
        <w:jc w:val="both"/>
        <w:textAlignment w:val="auto"/>
        <w:rPr>
          <w:rFonts w:ascii="Arial" w:hAnsi="Arial" w:cs="Arial"/>
        </w:rPr>
      </w:pPr>
      <w:r w:rsidRPr="009769EC">
        <w:rPr>
          <w:rFonts w:ascii="Arial" w:hAnsi="Arial" w:cs="Arial"/>
        </w:rPr>
        <w:t>The pharmacy AMS team produced a monthly highlight report summarising activities conducted during 2024 whilst ASG was occurring quarterly. ASG has now been moved to monthly meetings with a split agenda.</w:t>
      </w:r>
    </w:p>
    <w:p w14:paraId="1B608CE6" w14:textId="1524F236" w:rsidR="009769EC" w:rsidRDefault="007877C7" w:rsidP="0039792E">
      <w:pPr>
        <w:pStyle w:val="Heading4"/>
        <w:rPr>
          <w:rStyle w:val="apple-converted-space"/>
        </w:rPr>
      </w:pPr>
      <w:r w:rsidRPr="0039792E">
        <w:t>11.</w:t>
      </w:r>
      <w:r w:rsidR="009769EC" w:rsidRPr="0039792E">
        <w:t xml:space="preserve">1.3 </w:t>
      </w:r>
      <w:r w:rsidR="009769EC" w:rsidRPr="0039792E">
        <w:rPr>
          <w:rStyle w:val="apple-converted-space"/>
        </w:rPr>
        <w:t>Data</w:t>
      </w:r>
    </w:p>
    <w:p w14:paraId="456CD0F7" w14:textId="77777777" w:rsidR="0039792E" w:rsidRPr="0039792E" w:rsidRDefault="0039792E" w:rsidP="0039792E">
      <w:pPr>
        <w:rPr>
          <w:lang w:eastAsia="en-GB"/>
        </w:rPr>
      </w:pPr>
    </w:p>
    <w:p w14:paraId="620A205B" w14:textId="77777777" w:rsidR="009769EC" w:rsidRPr="009769EC" w:rsidRDefault="009769EC" w:rsidP="009769EC">
      <w:pPr>
        <w:jc w:val="both"/>
        <w:rPr>
          <w:rFonts w:ascii="Arial" w:hAnsi="Arial" w:cs="Arial"/>
        </w:rPr>
      </w:pPr>
      <w:r w:rsidRPr="009769EC">
        <w:rPr>
          <w:rFonts w:ascii="Arial" w:hAnsi="Arial" w:cs="Arial"/>
        </w:rPr>
        <w:t>Unless stated otherwise, the graphs and tables presented in this report uses data collected from the RxInfo database. In order to compare data across different timeframes, the data is presented as Defined Daily Doses (DDDs/1000 admissions).</w:t>
      </w:r>
    </w:p>
    <w:p w14:paraId="398823DE" w14:textId="77777777" w:rsidR="009769EC" w:rsidRPr="009769EC" w:rsidRDefault="009769EC" w:rsidP="009769EC">
      <w:pPr>
        <w:jc w:val="both"/>
        <w:rPr>
          <w:rFonts w:ascii="Arial" w:hAnsi="Arial" w:cs="Arial"/>
        </w:rPr>
      </w:pPr>
      <w:r w:rsidRPr="009769EC">
        <w:rPr>
          <w:rFonts w:ascii="Arial" w:hAnsi="Arial" w:cs="Arial"/>
        </w:rPr>
        <w:t xml:space="preserve">It should be noted that since April 2020, admissions for the Emergency Department (ED) is not complete. The effect this has on the data presented, is not known. </w:t>
      </w:r>
    </w:p>
    <w:p w14:paraId="36D4C933" w14:textId="1871DF58" w:rsidR="009769EC" w:rsidRDefault="009769EC" w:rsidP="009769EC">
      <w:pPr>
        <w:jc w:val="both"/>
        <w:rPr>
          <w:rFonts w:ascii="Arial" w:hAnsi="Arial" w:cs="Arial"/>
        </w:rPr>
      </w:pPr>
      <w:r w:rsidRPr="009769EC">
        <w:rPr>
          <w:rFonts w:ascii="Arial" w:hAnsi="Arial" w:cs="Arial"/>
        </w:rPr>
        <w:t>FP10s have been included in the usage data. ED use a lot of FP10 prescriptions to facilitate discharge. To not include them would potentially skew the data and not give a true representation of the prescribing patterns within ED.</w:t>
      </w:r>
    </w:p>
    <w:p w14:paraId="6391EF95" w14:textId="77777777" w:rsidR="0039792E" w:rsidRPr="009769EC" w:rsidRDefault="0039792E" w:rsidP="009769EC">
      <w:pPr>
        <w:jc w:val="both"/>
        <w:rPr>
          <w:rFonts w:ascii="Arial" w:hAnsi="Arial" w:cs="Arial"/>
        </w:rPr>
      </w:pPr>
    </w:p>
    <w:p w14:paraId="1C37834B" w14:textId="70A1254E" w:rsidR="009769EC" w:rsidRDefault="007877C7" w:rsidP="0039792E">
      <w:pPr>
        <w:pStyle w:val="Heading4"/>
        <w:rPr>
          <w:rFonts w:eastAsiaTheme="minorEastAsia"/>
          <w:smallCaps/>
        </w:rPr>
      </w:pPr>
      <w:r>
        <w:rPr>
          <w:rFonts w:eastAsiaTheme="minorEastAsia"/>
          <w:smallCaps/>
        </w:rPr>
        <w:t>11.</w:t>
      </w:r>
      <w:r w:rsidR="009769EC" w:rsidRPr="009769EC">
        <w:rPr>
          <w:rFonts w:eastAsiaTheme="minorEastAsia"/>
          <w:smallCaps/>
        </w:rPr>
        <w:t xml:space="preserve">1.4 </w:t>
      </w:r>
      <w:r w:rsidR="009769EC" w:rsidRPr="009769EC">
        <w:rPr>
          <w:rStyle w:val="apple-converted-space"/>
          <w:color w:val="auto"/>
          <w:sz w:val="22"/>
          <w:szCs w:val="22"/>
        </w:rPr>
        <w:t>Standard Contract</w:t>
      </w:r>
      <w:r w:rsidR="009769EC" w:rsidRPr="009769EC">
        <w:rPr>
          <w:rFonts w:eastAsiaTheme="minorEastAsia"/>
          <w:smallCaps/>
        </w:rPr>
        <w:t xml:space="preserve"> 2024/25</w:t>
      </w:r>
    </w:p>
    <w:p w14:paraId="71211D0A" w14:textId="77777777" w:rsidR="0039792E" w:rsidRPr="0039792E" w:rsidRDefault="0039792E" w:rsidP="0039792E">
      <w:pPr>
        <w:rPr>
          <w:lang w:eastAsia="en-GB"/>
        </w:rPr>
      </w:pPr>
    </w:p>
    <w:p w14:paraId="6442ADC9" w14:textId="7E12D2BA" w:rsidR="009769EC" w:rsidRDefault="009769EC" w:rsidP="0039792E">
      <w:pPr>
        <w:rPr>
          <w:rFonts w:ascii="Arial" w:hAnsi="Arial" w:cs="Arial"/>
        </w:rPr>
      </w:pPr>
      <w:r w:rsidRPr="009769EC">
        <w:rPr>
          <w:rFonts w:ascii="Arial" w:eastAsiaTheme="minorEastAsia" w:hAnsi="Arial" w:cs="Arial"/>
        </w:rPr>
        <w:t xml:space="preserve">The consumption of antibiotics in the Watch and Reserve categories of the AWaRe list is monitored under the NHS Standard Contract. All the ‘High </w:t>
      </w:r>
      <w:r w:rsidRPr="009769EC">
        <w:rPr>
          <w:rFonts w:ascii="Arial" w:eastAsiaTheme="minorEastAsia" w:hAnsi="Arial" w:cs="Arial"/>
          <w:i/>
        </w:rPr>
        <w:t>C. difficile</w:t>
      </w:r>
      <w:r w:rsidRPr="009769EC">
        <w:rPr>
          <w:rFonts w:ascii="Arial" w:eastAsiaTheme="minorEastAsia" w:hAnsi="Arial" w:cs="Arial"/>
        </w:rPr>
        <w:t xml:space="preserve"> risk antibiotics’ monitored by the AMS team in the list above fall under the Watch and Reserve categories. </w:t>
      </w:r>
      <w:r w:rsidRPr="009769EC">
        <w:rPr>
          <w:rFonts w:ascii="Arial" w:eastAsiaTheme="minorEastAsia" w:hAnsi="Arial" w:cs="Arial"/>
          <w:b/>
        </w:rPr>
        <w:t xml:space="preserve"> </w:t>
      </w:r>
      <w:r w:rsidRPr="009769EC">
        <w:rPr>
          <w:rFonts w:ascii="Arial" w:hAnsi="Arial" w:cs="Arial"/>
        </w:rPr>
        <w:t xml:space="preserve">A full list of WHO AWaRe (Access, Watch and Reserve) category antibiotics can be found at the following link: </w:t>
      </w:r>
      <w:hyperlink r:id="rId24" w:history="1">
        <w:r w:rsidRPr="009769EC">
          <w:rPr>
            <w:rStyle w:val="Hyperlink"/>
            <w:rFonts w:ascii="Arial" w:hAnsi="Arial" w:cs="Arial"/>
          </w:rPr>
          <w:t>https://www.who.int/publications/i/item/2021-aware-classification</w:t>
        </w:r>
      </w:hyperlink>
      <w:r w:rsidRPr="009769EC">
        <w:rPr>
          <w:rFonts w:ascii="Arial" w:hAnsi="Arial" w:cs="Arial"/>
        </w:rPr>
        <w:t xml:space="preserve"> </w:t>
      </w:r>
    </w:p>
    <w:p w14:paraId="332B30E4" w14:textId="77777777" w:rsidR="0039792E" w:rsidRPr="009769EC" w:rsidRDefault="0039792E" w:rsidP="0039792E">
      <w:pPr>
        <w:rPr>
          <w:rFonts w:ascii="Arial" w:hAnsi="Arial" w:cs="Arial"/>
        </w:rPr>
      </w:pPr>
    </w:p>
    <w:p w14:paraId="6D11EC3B" w14:textId="77777777" w:rsidR="009769EC" w:rsidRPr="009769EC" w:rsidRDefault="009769EC" w:rsidP="009769EC">
      <w:pPr>
        <w:rPr>
          <w:rFonts w:ascii="Arial" w:hAnsi="Arial" w:cs="Arial"/>
        </w:rPr>
      </w:pPr>
      <w:r w:rsidRPr="009769EC">
        <w:rPr>
          <w:rFonts w:ascii="Arial" w:hAnsi="Arial" w:cs="Arial"/>
        </w:rPr>
        <w:t xml:space="preserve">In previous years, the contract has included a provision requiring Trusts to use all reasonable endeavours to reduce their broad-spectrum (UK Watch and Reserve category) antibiotic usage by a specific percentage each year, in accordance with the overall target reduction set out in the UK five-year action plan for antimicrobial resistance 2019 to 2024. This is now coming to an end and the Contract provisions need to be revised. </w:t>
      </w:r>
    </w:p>
    <w:p w14:paraId="63A08912" w14:textId="1AFF7678" w:rsidR="009769EC" w:rsidRDefault="009769EC" w:rsidP="009769EC">
      <w:pPr>
        <w:rPr>
          <w:rFonts w:ascii="Arial" w:hAnsi="Arial" w:cs="Arial"/>
        </w:rPr>
      </w:pPr>
      <w:r w:rsidRPr="009769EC">
        <w:rPr>
          <w:rFonts w:ascii="Arial" w:hAnsi="Arial" w:cs="Arial"/>
        </w:rPr>
        <w:lastRenderedPageBreak/>
        <w:t xml:space="preserve">As the new Action Plan had not been published in time for the start of the 2024/25 Standard Contract, there were no specific percentage targets for annual reduction in 2024/25, but is expected to be reviewed for the 2025/26 contract. </w:t>
      </w:r>
    </w:p>
    <w:p w14:paraId="557092B0" w14:textId="77777777" w:rsidR="0039792E" w:rsidRPr="009769EC" w:rsidRDefault="0039792E" w:rsidP="009769EC">
      <w:pPr>
        <w:rPr>
          <w:rFonts w:ascii="Arial" w:hAnsi="Arial" w:cs="Arial"/>
        </w:rPr>
      </w:pPr>
    </w:p>
    <w:p w14:paraId="20B75846" w14:textId="5AB85383" w:rsidR="009769EC" w:rsidRDefault="009769EC" w:rsidP="009769EC">
      <w:pPr>
        <w:rPr>
          <w:rFonts w:ascii="Arial" w:hAnsi="Arial" w:cs="Arial"/>
        </w:rPr>
      </w:pPr>
      <w:r w:rsidRPr="009769EC">
        <w:rPr>
          <w:rFonts w:ascii="Arial" w:hAnsi="Arial" w:cs="Arial"/>
        </w:rPr>
        <w:t>The new National Action Plan (NAP) for 2024-29 has a theme related to AMS and 2 objectives to achieve by 2029:</w:t>
      </w:r>
    </w:p>
    <w:p w14:paraId="6C689FCE" w14:textId="77777777" w:rsidR="0039792E" w:rsidRPr="009769EC" w:rsidRDefault="0039792E" w:rsidP="009769EC">
      <w:pPr>
        <w:rPr>
          <w:rFonts w:ascii="Arial" w:hAnsi="Arial" w:cs="Arial"/>
        </w:rPr>
      </w:pPr>
    </w:p>
    <w:p w14:paraId="34C23C03" w14:textId="77777777" w:rsidR="009769EC" w:rsidRPr="009769EC" w:rsidRDefault="009769EC" w:rsidP="009769EC">
      <w:pPr>
        <w:pStyle w:val="ListParagraph"/>
        <w:numPr>
          <w:ilvl w:val="0"/>
          <w:numId w:val="21"/>
        </w:numPr>
        <w:suppressAutoHyphens w:val="0"/>
        <w:autoSpaceDN/>
        <w:spacing w:after="160" w:line="259" w:lineRule="auto"/>
        <w:contextualSpacing/>
        <w:textAlignment w:val="auto"/>
        <w:rPr>
          <w:rFonts w:ascii="Arial" w:hAnsi="Arial" w:cs="Arial"/>
        </w:rPr>
      </w:pPr>
      <w:r w:rsidRPr="009769EC">
        <w:rPr>
          <w:rFonts w:ascii="Arial" w:hAnsi="Arial" w:cs="Arial"/>
        </w:rPr>
        <w:t>Reduce the total antibiotic usage in humans by 5% on 2019 baseline data</w:t>
      </w:r>
    </w:p>
    <w:p w14:paraId="7FB56D25" w14:textId="3C49E67B" w:rsidR="009769EC" w:rsidRPr="00EE239B" w:rsidRDefault="009769EC" w:rsidP="009769EC">
      <w:pPr>
        <w:pStyle w:val="ListParagraph"/>
        <w:numPr>
          <w:ilvl w:val="0"/>
          <w:numId w:val="21"/>
        </w:numPr>
        <w:suppressAutoHyphens w:val="0"/>
        <w:autoSpaceDN/>
        <w:spacing w:after="160" w:line="259" w:lineRule="auto"/>
        <w:contextualSpacing/>
        <w:textAlignment w:val="auto"/>
        <w:rPr>
          <w:rFonts w:ascii="Arial" w:hAnsi="Arial" w:cs="Arial"/>
        </w:rPr>
      </w:pPr>
      <w:r w:rsidRPr="009769EC">
        <w:rPr>
          <w:rFonts w:ascii="Arial" w:hAnsi="Arial" w:cs="Arial"/>
        </w:rPr>
        <w:t>Achieve 70% of antibiotic usage to be from ACCESS group</w:t>
      </w:r>
    </w:p>
    <w:p w14:paraId="3C839346" w14:textId="77777777" w:rsidR="009769EC" w:rsidRPr="009769EC" w:rsidRDefault="009769EC" w:rsidP="009769EC">
      <w:pPr>
        <w:rPr>
          <w:rFonts w:ascii="Arial" w:hAnsi="Arial" w:cs="Arial"/>
        </w:rPr>
      </w:pPr>
      <w:r w:rsidRPr="009769EC">
        <w:rPr>
          <w:rFonts w:ascii="Arial" w:hAnsi="Arial" w:cs="Arial"/>
        </w:rPr>
        <w:t xml:space="preserve">Co-amoxiclav is the most used Watch and Reserve antibiotic in the trust, followed by clarithromycin, ciprofloxacin, levofloxacin and Tazocin® (piperacillin/tazobactam).  Use of co-amoxiclav has tripled across the trust between 2014 and 2024 and from 2023-24 we see a probable plateau in the trend, however there is still an excess of Co-amoxiclav usage (these are standardised data). </w:t>
      </w:r>
    </w:p>
    <w:p w14:paraId="1EB5B8E0" w14:textId="77777777" w:rsidR="009769EC" w:rsidRPr="009769EC" w:rsidRDefault="009769EC" w:rsidP="009769EC">
      <w:pPr>
        <w:rPr>
          <w:rFonts w:ascii="Arial" w:hAnsi="Arial" w:cs="Arial"/>
        </w:rPr>
      </w:pPr>
    </w:p>
    <w:p w14:paraId="3C82380D" w14:textId="77777777" w:rsidR="009769EC" w:rsidRPr="009769EC" w:rsidRDefault="009769EC" w:rsidP="009769EC">
      <w:pPr>
        <w:rPr>
          <w:rFonts w:ascii="Arial" w:hAnsi="Arial" w:cs="Arial"/>
        </w:rPr>
      </w:pPr>
      <w:r w:rsidRPr="009769EC">
        <w:rPr>
          <w:rFonts w:ascii="Arial" w:hAnsi="Arial" w:cs="Arial"/>
          <w:noProof/>
          <w:lang w:eastAsia="en-GB"/>
        </w:rPr>
        <w:drawing>
          <wp:inline distT="0" distB="0" distL="0" distR="0" wp14:anchorId="00B33799" wp14:editId="757E279A">
            <wp:extent cx="5720080" cy="3002280"/>
            <wp:effectExtent l="0" t="0" r="13970" b="7620"/>
            <wp:docPr id="1" name="Chart 1">
              <a:extLst xmlns:a="http://schemas.openxmlformats.org/drawingml/2006/main">
                <a:ext uri="{FF2B5EF4-FFF2-40B4-BE49-F238E27FC236}">
                  <a16:creationId xmlns:a16="http://schemas.microsoft.com/office/drawing/2014/main" id="{B782CD2E-0A4D-4C61-8EE2-F728DA9ED99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AD19EB" w14:textId="77777777" w:rsidR="009769EC" w:rsidRPr="009769EC" w:rsidRDefault="009769EC" w:rsidP="009769EC">
      <w:pPr>
        <w:rPr>
          <w:rFonts w:ascii="Arial" w:hAnsi="Arial" w:cs="Arial"/>
        </w:rPr>
      </w:pPr>
    </w:p>
    <w:p w14:paraId="0DC84C5A" w14:textId="77777777" w:rsidR="009769EC" w:rsidRPr="009769EC" w:rsidRDefault="009769EC" w:rsidP="009769EC">
      <w:pPr>
        <w:rPr>
          <w:rFonts w:ascii="Arial" w:hAnsi="Arial" w:cs="Arial"/>
          <w:b/>
          <w:u w:val="single"/>
        </w:rPr>
      </w:pPr>
      <w:r w:rsidRPr="009769EC">
        <w:rPr>
          <w:rFonts w:ascii="Arial" w:hAnsi="Arial" w:cs="Arial"/>
          <w:u w:val="single"/>
        </w:rPr>
        <w:t>Figure 1: Consumption of Top 10 Watch and Reserve Antibiotics by drug in DDDs/1000 total admissions for 2014-2024 (</w:t>
      </w:r>
      <w:r w:rsidRPr="009769EC">
        <w:rPr>
          <w:rFonts w:ascii="Arial" w:hAnsi="Arial" w:cs="Arial"/>
          <w:b/>
          <w:u w:val="single"/>
        </w:rPr>
        <w:t>including FP10s)</w:t>
      </w:r>
    </w:p>
    <w:p w14:paraId="5825D576" w14:textId="77777777" w:rsidR="009769EC" w:rsidRPr="009769EC" w:rsidRDefault="009769EC" w:rsidP="009769EC">
      <w:pPr>
        <w:rPr>
          <w:rFonts w:ascii="Arial" w:hAnsi="Arial" w:cs="Arial"/>
        </w:rPr>
      </w:pPr>
    </w:p>
    <w:p w14:paraId="3E7AF59F" w14:textId="77777777" w:rsidR="009769EC" w:rsidRPr="009769EC" w:rsidRDefault="009769EC" w:rsidP="009769EC">
      <w:pPr>
        <w:pStyle w:val="BodyText"/>
        <w:rPr>
          <w:rFonts w:ascii="Arial" w:hAnsi="Arial" w:cs="Arial"/>
        </w:rPr>
      </w:pPr>
      <w:r w:rsidRPr="009769EC">
        <w:rPr>
          <w:rFonts w:ascii="Arial" w:hAnsi="Arial" w:cs="Arial"/>
        </w:rPr>
        <w:t xml:space="preserve">Figure 2 represents the Co-amoxiclav usage per specialty.  Please note: WHH AMU and QEQM AMU B is included in Emergency Medicine data point. Remainder of QEQM AMU is included in Acute Medicine data. </w:t>
      </w:r>
    </w:p>
    <w:p w14:paraId="0E2DA1DE" w14:textId="77777777" w:rsidR="009769EC" w:rsidRPr="009769EC" w:rsidRDefault="009769EC" w:rsidP="009769EC">
      <w:pPr>
        <w:pStyle w:val="BodyText"/>
        <w:rPr>
          <w:rFonts w:ascii="Arial" w:hAnsi="Arial" w:cs="Arial"/>
          <w:u w:val="single"/>
        </w:rPr>
      </w:pPr>
      <w:r w:rsidRPr="009769EC">
        <w:rPr>
          <w:rFonts w:ascii="Arial" w:hAnsi="Arial" w:cs="Arial"/>
          <w:noProof/>
          <w:lang w:eastAsia="en-GB"/>
        </w:rPr>
        <w:lastRenderedPageBreak/>
        <w:drawing>
          <wp:inline distT="0" distB="0" distL="0" distR="0" wp14:anchorId="25FE3FB6" wp14:editId="4AB60C50">
            <wp:extent cx="5720080" cy="2988310"/>
            <wp:effectExtent l="0" t="0" r="13970" b="2540"/>
            <wp:docPr id="3" name="Chart 3">
              <a:extLst xmlns:a="http://schemas.openxmlformats.org/drawingml/2006/main">
                <a:ext uri="{FF2B5EF4-FFF2-40B4-BE49-F238E27FC236}">
                  <a16:creationId xmlns:a16="http://schemas.microsoft.com/office/drawing/2014/main" id="{25DF0689-F532-413A-99FF-6D377ED0E7D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BE0460" w14:textId="04C78C2A" w:rsidR="009769EC" w:rsidRPr="009769EC" w:rsidRDefault="009769EC" w:rsidP="009769EC">
      <w:pPr>
        <w:pStyle w:val="BodyText"/>
        <w:rPr>
          <w:rFonts w:ascii="Arial" w:hAnsi="Arial" w:cs="Arial"/>
          <w:u w:val="single"/>
        </w:rPr>
      </w:pPr>
      <w:r w:rsidRPr="009769EC">
        <w:rPr>
          <w:rFonts w:ascii="Arial" w:hAnsi="Arial" w:cs="Arial"/>
          <w:u w:val="single"/>
        </w:rPr>
        <w:t>Figure 2: Consumption of Watch and Reserve Antibiotics by Top 5 local directorate in DDDs/1000 total admissions for 2014-2024 (</w:t>
      </w:r>
      <w:r w:rsidRPr="009769EC">
        <w:rPr>
          <w:rFonts w:ascii="Arial" w:hAnsi="Arial" w:cs="Arial"/>
          <w:b/>
          <w:u w:val="single"/>
        </w:rPr>
        <w:t>including FP10s</w:t>
      </w:r>
      <w:r w:rsidRPr="009769EC">
        <w:rPr>
          <w:rFonts w:ascii="Arial" w:hAnsi="Arial" w:cs="Arial"/>
          <w:u w:val="single"/>
        </w:rPr>
        <w:t>)</w:t>
      </w:r>
    </w:p>
    <w:p w14:paraId="316DC98F" w14:textId="77777777" w:rsidR="00616934" w:rsidRDefault="009769EC" w:rsidP="00616934">
      <w:pPr>
        <w:rPr>
          <w:rFonts w:ascii="Arial" w:hAnsi="Arial" w:cs="Arial"/>
          <w:u w:val="single"/>
        </w:rPr>
      </w:pPr>
      <w:r w:rsidRPr="009769EC">
        <w:rPr>
          <w:rFonts w:ascii="Arial" w:hAnsi="Arial" w:cs="Arial"/>
        </w:rPr>
        <w:t xml:space="preserve">Emergency Medicine is the biggest user of Watch and Reserve antibiotics (figure 2). ED uses three times as many antibiotics as the second highest user (Specialty Medicine) and more than the rest of the Top 5 combined, however </w:t>
      </w:r>
      <w:r w:rsidRPr="009769EC">
        <w:rPr>
          <w:rFonts w:ascii="Arial" w:hAnsi="Arial" w:cs="Arial"/>
          <w:u w:val="single"/>
        </w:rPr>
        <w:t>it should be noted that the admissions data for ED from 2020 onwards is not complete.</w:t>
      </w:r>
    </w:p>
    <w:p w14:paraId="3DBAB223" w14:textId="0D19CA2D" w:rsidR="009769EC" w:rsidRPr="009769EC" w:rsidRDefault="009769EC" w:rsidP="00616934">
      <w:pPr>
        <w:rPr>
          <w:rFonts w:ascii="Arial" w:hAnsi="Arial" w:cs="Arial"/>
          <w:u w:val="single"/>
        </w:rPr>
      </w:pPr>
      <w:r w:rsidRPr="009769EC">
        <w:rPr>
          <w:rFonts w:ascii="Arial" w:hAnsi="Arial" w:cs="Arial"/>
          <w:u w:val="single"/>
        </w:rPr>
        <w:t xml:space="preserve"> </w:t>
      </w:r>
    </w:p>
    <w:p w14:paraId="3E50CBB2" w14:textId="41EF0A43" w:rsidR="009769EC" w:rsidRDefault="009769EC" w:rsidP="009769EC">
      <w:pPr>
        <w:rPr>
          <w:rFonts w:ascii="Arial" w:hAnsi="Arial" w:cs="Arial"/>
        </w:rPr>
      </w:pPr>
      <w:r w:rsidRPr="009769EC">
        <w:rPr>
          <w:rFonts w:ascii="Arial" w:hAnsi="Arial" w:cs="Arial"/>
        </w:rPr>
        <w:t xml:space="preserve">Antibiotic usage has been steadily increasing in ED and across the trust since 2014, with co-amoxiclav and clarithromycin forming the largest portion. </w:t>
      </w:r>
    </w:p>
    <w:p w14:paraId="0A6978D8" w14:textId="77777777" w:rsidR="000B24D6" w:rsidRPr="009769EC" w:rsidRDefault="000B24D6" w:rsidP="009769EC">
      <w:pPr>
        <w:rPr>
          <w:rFonts w:ascii="Arial" w:hAnsi="Arial" w:cs="Arial"/>
        </w:rPr>
      </w:pPr>
    </w:p>
    <w:p w14:paraId="37542AA2" w14:textId="77777777" w:rsidR="00616934" w:rsidRDefault="009769EC" w:rsidP="009769EC">
      <w:pPr>
        <w:rPr>
          <w:rFonts w:ascii="Arial" w:hAnsi="Arial" w:cs="Arial"/>
        </w:rPr>
      </w:pPr>
      <w:r w:rsidRPr="009769EC">
        <w:rPr>
          <w:rFonts w:ascii="Arial" w:hAnsi="Arial" w:cs="Arial"/>
        </w:rPr>
        <w:t>ED and AMU AMS Key Performance Indicator audits were redefined for September and October 2024 to capture more information on which specialties are starting antibiotics in ED, for which indications and their compliance to guidelines.</w:t>
      </w:r>
    </w:p>
    <w:p w14:paraId="401B3C74" w14:textId="381FCEFA" w:rsidR="000B24D6" w:rsidRPr="009769EC" w:rsidRDefault="00616934" w:rsidP="009769EC">
      <w:pPr>
        <w:rPr>
          <w:rFonts w:ascii="Arial" w:hAnsi="Arial" w:cs="Arial"/>
        </w:rPr>
      </w:pPr>
      <w:r w:rsidRPr="009769EC">
        <w:rPr>
          <w:rFonts w:ascii="Arial" w:hAnsi="Arial" w:cs="Arial"/>
        </w:rPr>
        <w:t xml:space="preserve"> </w:t>
      </w:r>
    </w:p>
    <w:p w14:paraId="5E609B06" w14:textId="77777777" w:rsidR="009769EC" w:rsidRPr="009769EC" w:rsidRDefault="009769EC" w:rsidP="009769EC">
      <w:pPr>
        <w:rPr>
          <w:rFonts w:ascii="Arial" w:hAnsi="Arial" w:cs="Arial"/>
        </w:rPr>
      </w:pPr>
      <w:r w:rsidRPr="009769EC">
        <w:rPr>
          <w:rFonts w:ascii="Arial" w:hAnsi="Arial" w:cs="Arial"/>
        </w:rPr>
        <w:t xml:space="preserve">September data has been presented at ED clinical governance meetings and discussions have been started on how to address poor compliance to guidelines in this area. </w:t>
      </w:r>
    </w:p>
    <w:p w14:paraId="3B28311D" w14:textId="77777777" w:rsidR="009769EC" w:rsidRPr="009769EC" w:rsidRDefault="009769EC" w:rsidP="009769EC">
      <w:pPr>
        <w:rPr>
          <w:rFonts w:ascii="Arial" w:hAnsi="Arial" w:cs="Arial"/>
        </w:rPr>
      </w:pPr>
    </w:p>
    <w:p w14:paraId="0FF0E9A6" w14:textId="77777777" w:rsidR="009769EC" w:rsidRPr="009769EC" w:rsidRDefault="009769EC" w:rsidP="009769EC">
      <w:pPr>
        <w:pStyle w:val="BodyText"/>
        <w:rPr>
          <w:rFonts w:ascii="Arial" w:hAnsi="Arial" w:cs="Arial"/>
        </w:rPr>
      </w:pPr>
      <w:r w:rsidRPr="009769EC">
        <w:rPr>
          <w:rFonts w:ascii="Arial" w:hAnsi="Arial" w:cs="Arial"/>
        </w:rPr>
        <w:t xml:space="preserve">Figure 3 represents the Co-amoxiclav usage per in ED.  Please note: WHH AMU and QEQM AMU B is included in Emergency Medicine data point. Remainder of QEQM AMU is included in Acute Medicine data. This information is intrinsic to the how the systems have been set up. </w:t>
      </w:r>
    </w:p>
    <w:p w14:paraId="28403D0E" w14:textId="77777777" w:rsidR="009769EC" w:rsidRPr="00774AE2" w:rsidRDefault="009769EC" w:rsidP="009769EC">
      <w:pPr>
        <w:pStyle w:val="BodyText"/>
        <w:rPr>
          <w:rFonts w:asciiTheme="minorHAnsi" w:hAnsiTheme="minorHAnsi" w:cstheme="minorHAnsi"/>
          <w:u w:val="single"/>
        </w:rPr>
      </w:pPr>
    </w:p>
    <w:p w14:paraId="4372FAF5" w14:textId="77777777" w:rsidR="009769EC" w:rsidRPr="00774AE2" w:rsidRDefault="009769EC" w:rsidP="009769EC">
      <w:pPr>
        <w:rPr>
          <w:rFonts w:asciiTheme="minorHAnsi" w:hAnsiTheme="minorHAnsi" w:cstheme="minorHAnsi"/>
          <w:b/>
          <w:u w:val="single"/>
        </w:rPr>
      </w:pPr>
      <w:r w:rsidRPr="00774AE2">
        <w:rPr>
          <w:rFonts w:asciiTheme="minorHAnsi" w:hAnsiTheme="minorHAnsi" w:cstheme="minorHAnsi"/>
          <w:noProof/>
          <w:lang w:eastAsia="en-GB"/>
        </w:rPr>
        <w:lastRenderedPageBreak/>
        <w:drawing>
          <wp:inline distT="0" distB="0" distL="0" distR="0" wp14:anchorId="744567EB" wp14:editId="29DB1607">
            <wp:extent cx="5731510" cy="3261360"/>
            <wp:effectExtent l="0" t="0" r="2540" b="15240"/>
            <wp:docPr id="10" name="Chart 10">
              <a:extLst xmlns:a="http://schemas.openxmlformats.org/drawingml/2006/main">
                <a:ext uri="{FF2B5EF4-FFF2-40B4-BE49-F238E27FC236}">
                  <a16:creationId xmlns:a16="http://schemas.microsoft.com/office/drawing/2014/main" id="{5BC7B544-FEB3-41CF-BEB7-4CD1E805D0E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125DAD" w14:textId="77777777" w:rsidR="009769EC" w:rsidRPr="00774AE2" w:rsidRDefault="009769EC" w:rsidP="009769EC">
      <w:pPr>
        <w:rPr>
          <w:rFonts w:asciiTheme="minorHAnsi" w:hAnsiTheme="minorHAnsi" w:cstheme="minorHAnsi"/>
          <w:u w:val="single"/>
        </w:rPr>
      </w:pPr>
    </w:p>
    <w:p w14:paraId="34A07311" w14:textId="77777777" w:rsidR="009769EC" w:rsidRPr="00774AE2" w:rsidRDefault="009769EC" w:rsidP="009769EC">
      <w:pPr>
        <w:rPr>
          <w:rFonts w:asciiTheme="minorHAnsi" w:hAnsiTheme="minorHAnsi" w:cstheme="minorHAnsi"/>
        </w:rPr>
      </w:pPr>
    </w:p>
    <w:p w14:paraId="1B380E6E" w14:textId="6B8D8ED8" w:rsidR="009769EC" w:rsidRDefault="009769EC" w:rsidP="000B24D6">
      <w:pPr>
        <w:rPr>
          <w:rFonts w:ascii="Arial" w:hAnsi="Arial" w:cs="Arial"/>
          <w:b/>
          <w:u w:val="single"/>
        </w:rPr>
      </w:pPr>
      <w:r w:rsidRPr="009769EC">
        <w:rPr>
          <w:rFonts w:ascii="Arial" w:hAnsi="Arial" w:cs="Arial"/>
          <w:u w:val="single"/>
        </w:rPr>
        <w:t xml:space="preserve">Figure 3: Consumption of Top 5 Watch and Reserve Antibiotics in ED </w:t>
      </w:r>
      <w:r w:rsidRPr="009769EC">
        <w:rPr>
          <w:rFonts w:ascii="Arial" w:hAnsi="Arial" w:cs="Arial"/>
          <w:b/>
          <w:u w:val="single"/>
        </w:rPr>
        <w:t>(including FP10s) (excluding AMU units, but including UTCs)</w:t>
      </w:r>
    </w:p>
    <w:p w14:paraId="30ADDF8B" w14:textId="77777777" w:rsidR="0039792E" w:rsidRPr="009769EC" w:rsidRDefault="0039792E" w:rsidP="000B24D6">
      <w:pPr>
        <w:rPr>
          <w:rFonts w:ascii="Arial" w:hAnsi="Arial" w:cs="Arial"/>
        </w:rPr>
      </w:pPr>
    </w:p>
    <w:p w14:paraId="508E64AE" w14:textId="10B5E18A" w:rsidR="009769EC" w:rsidRPr="009769EC" w:rsidRDefault="007877C7" w:rsidP="0039792E">
      <w:pPr>
        <w:pStyle w:val="Heading4"/>
        <w:rPr>
          <w:rStyle w:val="apple-converted-space"/>
        </w:rPr>
      </w:pPr>
      <w:r>
        <w:rPr>
          <w:rStyle w:val="apple-converted-space"/>
        </w:rPr>
        <w:t>11.</w:t>
      </w:r>
      <w:r w:rsidR="009769EC" w:rsidRPr="009769EC">
        <w:rPr>
          <w:rStyle w:val="apple-converted-space"/>
        </w:rPr>
        <w:t>1.4 AMS Team audits/projects conducted</w:t>
      </w:r>
    </w:p>
    <w:p w14:paraId="01B9556F" w14:textId="77777777" w:rsidR="009769EC" w:rsidRPr="009769EC" w:rsidRDefault="009769EC" w:rsidP="009769EC">
      <w:pPr>
        <w:jc w:val="both"/>
        <w:rPr>
          <w:rStyle w:val="apple-converted-space"/>
          <w:rFonts w:ascii="Arial" w:hAnsi="Arial" w:cs="Arial"/>
        </w:rPr>
      </w:pPr>
    </w:p>
    <w:p w14:paraId="3E0F3E38" w14:textId="77777777" w:rsidR="009769EC" w:rsidRPr="009769EC" w:rsidRDefault="009769EC" w:rsidP="009769EC">
      <w:pPr>
        <w:pStyle w:val="ListParagraph"/>
        <w:numPr>
          <w:ilvl w:val="0"/>
          <w:numId w:val="22"/>
        </w:numPr>
        <w:jc w:val="both"/>
        <w:rPr>
          <w:rFonts w:ascii="Arial" w:hAnsi="Arial" w:cs="Arial"/>
        </w:rPr>
      </w:pPr>
      <w:r w:rsidRPr="009769EC">
        <w:rPr>
          <w:rFonts w:ascii="Arial" w:hAnsi="Arial" w:cs="Arial"/>
        </w:rPr>
        <w:t xml:space="preserve">KPI audits were defined with a link to risk of CDI and conducted during 2024-25 in each different ward regularly. KPI results have been discussed at different specialties. </w:t>
      </w:r>
    </w:p>
    <w:p w14:paraId="69D2BB57" w14:textId="77777777" w:rsidR="009769EC" w:rsidRPr="009769EC" w:rsidRDefault="009769EC" w:rsidP="009769EC">
      <w:pPr>
        <w:pStyle w:val="ListParagraph"/>
        <w:numPr>
          <w:ilvl w:val="0"/>
          <w:numId w:val="22"/>
        </w:numPr>
        <w:jc w:val="both"/>
        <w:rPr>
          <w:rFonts w:ascii="Arial" w:hAnsi="Arial" w:cs="Arial"/>
        </w:rPr>
      </w:pPr>
      <w:r w:rsidRPr="009769EC">
        <w:rPr>
          <w:rFonts w:ascii="Arial" w:hAnsi="Arial" w:cs="Arial"/>
        </w:rPr>
        <w:t xml:space="preserve">Tazocin usage monitoring started in 2024 due to an increase of its demand. This usage and the KPI results confirm the Trust has opportunities in improving following guidelines. </w:t>
      </w:r>
    </w:p>
    <w:p w14:paraId="3090CD07" w14:textId="4E517F8B" w:rsidR="009769EC" w:rsidRPr="000B24D6" w:rsidRDefault="009769EC" w:rsidP="009769EC">
      <w:pPr>
        <w:pStyle w:val="ListParagraph"/>
        <w:numPr>
          <w:ilvl w:val="0"/>
          <w:numId w:val="22"/>
        </w:numPr>
        <w:suppressAutoHyphens w:val="0"/>
        <w:autoSpaceDN/>
        <w:spacing w:after="160" w:line="259" w:lineRule="auto"/>
        <w:contextualSpacing/>
        <w:jc w:val="both"/>
        <w:textAlignment w:val="auto"/>
        <w:rPr>
          <w:rFonts w:ascii="Arial" w:hAnsi="Arial" w:cs="Arial"/>
        </w:rPr>
      </w:pPr>
      <w:r w:rsidRPr="009769EC">
        <w:rPr>
          <w:rFonts w:ascii="Arial" w:hAnsi="Arial" w:cs="Arial"/>
        </w:rPr>
        <w:t xml:space="preserve">Junior doctors were asked to participate in a snapshot of the IVTOS quality improvement project as an element of embedding AMS to their practice. </w:t>
      </w:r>
    </w:p>
    <w:p w14:paraId="3E164AC7" w14:textId="6A05EBBF" w:rsidR="009769EC" w:rsidRPr="009769EC" w:rsidRDefault="007877C7" w:rsidP="0039792E">
      <w:pPr>
        <w:pStyle w:val="Heading4"/>
      </w:pPr>
      <w:r>
        <w:t>11.</w:t>
      </w:r>
      <w:r w:rsidR="009769EC" w:rsidRPr="009769EC">
        <w:t>1.5. Next audits and AMS projects</w:t>
      </w:r>
    </w:p>
    <w:p w14:paraId="783F9639" w14:textId="77777777" w:rsidR="009769EC" w:rsidRPr="009769EC" w:rsidRDefault="009769EC" w:rsidP="009769EC">
      <w:pPr>
        <w:pStyle w:val="NoSpacing"/>
        <w:jc w:val="both"/>
        <w:rPr>
          <w:rFonts w:ascii="Arial" w:hAnsi="Arial" w:cs="Arial"/>
        </w:rPr>
      </w:pPr>
    </w:p>
    <w:p w14:paraId="3326B054" w14:textId="77777777" w:rsidR="0039792E" w:rsidRDefault="009769EC" w:rsidP="009769EC">
      <w:pPr>
        <w:pStyle w:val="NoSpacing"/>
        <w:jc w:val="both"/>
        <w:rPr>
          <w:rFonts w:ascii="Arial" w:hAnsi="Arial" w:cs="Arial"/>
        </w:rPr>
      </w:pPr>
      <w:r w:rsidRPr="009769EC">
        <w:rPr>
          <w:rFonts w:ascii="Arial" w:hAnsi="Arial" w:cs="Arial"/>
        </w:rPr>
        <w:t>The KPI audits will continue less frequently whilst AMS team focusses in developing the junior workforce in pharmacy embedding AMS in their practice and escalate unoptimized use of antimicrobials to the AMS team.</w:t>
      </w:r>
    </w:p>
    <w:p w14:paraId="78B327E7" w14:textId="66C51E42" w:rsidR="009769EC" w:rsidRPr="009769EC" w:rsidRDefault="009769EC" w:rsidP="009769EC">
      <w:pPr>
        <w:pStyle w:val="NoSpacing"/>
        <w:jc w:val="both"/>
        <w:rPr>
          <w:rFonts w:ascii="Arial" w:hAnsi="Arial" w:cs="Arial"/>
        </w:rPr>
      </w:pPr>
      <w:r w:rsidRPr="009769EC">
        <w:rPr>
          <w:rFonts w:ascii="Arial" w:hAnsi="Arial" w:cs="Arial"/>
        </w:rPr>
        <w:t xml:space="preserve"> </w:t>
      </w:r>
    </w:p>
    <w:p w14:paraId="0C0EB618" w14:textId="091BAFD8" w:rsidR="009769EC" w:rsidRPr="009769EC" w:rsidRDefault="007877C7" w:rsidP="0039792E">
      <w:pPr>
        <w:pStyle w:val="Heading4"/>
      </w:pPr>
      <w:r>
        <w:t>11.</w:t>
      </w:r>
      <w:r w:rsidR="009769EC" w:rsidRPr="009769EC">
        <w:t xml:space="preserve">1.6. Highlights </w:t>
      </w:r>
    </w:p>
    <w:p w14:paraId="2B6C5CDC" w14:textId="77777777" w:rsidR="009769EC" w:rsidRPr="009769EC" w:rsidRDefault="009769EC" w:rsidP="009769EC">
      <w:pPr>
        <w:rPr>
          <w:rFonts w:ascii="Arial" w:hAnsi="Arial" w:cs="Arial"/>
        </w:rPr>
      </w:pPr>
    </w:p>
    <w:p w14:paraId="773328DA" w14:textId="77777777" w:rsidR="009769EC" w:rsidRPr="009769EC" w:rsidRDefault="009769EC" w:rsidP="009769EC">
      <w:pPr>
        <w:rPr>
          <w:rFonts w:ascii="Arial" w:hAnsi="Arial" w:cs="Arial"/>
        </w:rPr>
        <w:sectPr w:rsidR="009769EC" w:rsidRPr="009769EC">
          <w:headerReference w:type="default" r:id="rId28"/>
          <w:footerReference w:type="default" r:id="rId29"/>
          <w:pgSz w:w="11906" w:h="16838"/>
          <w:pgMar w:top="1440" w:right="1440" w:bottom="1440" w:left="1440" w:header="708" w:footer="708" w:gutter="0"/>
          <w:cols w:space="708"/>
          <w:docGrid w:linePitch="360"/>
        </w:sectPr>
      </w:pPr>
      <w:r w:rsidRPr="009769EC">
        <w:rPr>
          <w:rFonts w:ascii="Arial" w:hAnsi="Arial" w:cs="Arial"/>
        </w:rPr>
        <w:t>Next figure shows the highlights for AMS team during the establishing of the team post pandemic.</w:t>
      </w:r>
    </w:p>
    <w:p w14:paraId="2509C8E1" w14:textId="49FE6A86" w:rsidR="002126CC" w:rsidRDefault="002126CC" w:rsidP="002126CC">
      <w:pPr>
        <w:rPr>
          <w:rFonts w:ascii="Arial" w:hAnsi="Arial" w:cs="Arial"/>
        </w:rPr>
      </w:pPr>
    </w:p>
    <w:p w14:paraId="3E6E8F99" w14:textId="1113FF17" w:rsidR="00774776" w:rsidRDefault="001866B1" w:rsidP="002126CC">
      <w:pPr>
        <w:rPr>
          <w:rFonts w:ascii="Arial" w:hAnsi="Arial" w:cs="Arial"/>
        </w:rPr>
        <w:sectPr w:rsidR="00774776" w:rsidSect="008A1E15">
          <w:footerReference w:type="default" r:id="rId30"/>
          <w:pgSz w:w="16838" w:h="11906" w:orient="landscape"/>
          <w:pgMar w:top="1440" w:right="1440" w:bottom="1440" w:left="1440" w:header="709" w:footer="709" w:gutter="0"/>
          <w:cols w:space="708"/>
          <w:docGrid w:linePitch="360"/>
        </w:sectPr>
      </w:pPr>
      <w:r w:rsidRPr="001866B1">
        <w:rPr>
          <w:rFonts w:ascii="Arial" w:hAnsi="Arial" w:cs="Arial"/>
          <w:noProof/>
        </w:rPr>
        <w:drawing>
          <wp:inline distT="0" distB="0" distL="0" distR="0" wp14:anchorId="472DC3A9" wp14:editId="0B8B3FD5">
            <wp:extent cx="8345765" cy="4037991"/>
            <wp:effectExtent l="0" t="0" r="0" b="635"/>
            <wp:docPr id="22" name="Picture 22" descr="This timeline identifies key strategies and actions implemented to improve antimicrobial stewardship between January 2023 and March 202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345765" cy="4037991"/>
                    </a:xfrm>
                    <a:prstGeom prst="rect">
                      <a:avLst/>
                    </a:prstGeom>
                  </pic:spPr>
                </pic:pic>
              </a:graphicData>
            </a:graphic>
          </wp:inline>
        </w:drawing>
      </w:r>
    </w:p>
    <w:p w14:paraId="64EF74E8" w14:textId="028D46F4" w:rsidR="008F0E79" w:rsidRPr="000B24D6" w:rsidRDefault="000B24D6" w:rsidP="000B24D6">
      <w:pPr>
        <w:pStyle w:val="Heading2"/>
        <w:rPr>
          <w:rStyle w:val="apple-converted-space"/>
          <w:b w:val="0"/>
        </w:rPr>
      </w:pPr>
      <w:r>
        <w:rPr>
          <w:rStyle w:val="apple-converted-space"/>
        </w:rPr>
        <w:lastRenderedPageBreak/>
        <w:t xml:space="preserve">12. </w:t>
      </w:r>
      <w:r w:rsidR="008F0E79" w:rsidRPr="009E61FD">
        <w:rPr>
          <w:rStyle w:val="apple-converted-space"/>
        </w:rPr>
        <w:t>Decontamination</w:t>
      </w:r>
    </w:p>
    <w:p w14:paraId="2F5A054D" w14:textId="7F43EA92" w:rsidR="008F0E79" w:rsidRPr="009E61FD" w:rsidRDefault="008F0E79" w:rsidP="000B24D6">
      <w:pPr>
        <w:pStyle w:val="Heading3"/>
        <w:rPr>
          <w:rStyle w:val="apple-converted-space"/>
        </w:rPr>
      </w:pPr>
      <w:r w:rsidRPr="009E61FD">
        <w:rPr>
          <w:rStyle w:val="apple-converted-space"/>
        </w:rPr>
        <w:t>12.1</w:t>
      </w:r>
      <w:r w:rsidR="000B24D6">
        <w:rPr>
          <w:rStyle w:val="apple-converted-space"/>
        </w:rPr>
        <w:t xml:space="preserve"> </w:t>
      </w:r>
      <w:r w:rsidRPr="009E61FD">
        <w:rPr>
          <w:rStyle w:val="apple-converted-space"/>
        </w:rPr>
        <w:t>Sterile Supplies (CSSD)</w:t>
      </w:r>
    </w:p>
    <w:p w14:paraId="144DF1C5" w14:textId="77777777" w:rsidR="008F0E79" w:rsidRPr="009E61FD" w:rsidRDefault="008F0E79" w:rsidP="008F0E79">
      <w:pPr>
        <w:rPr>
          <w:rFonts w:ascii="Arial" w:hAnsi="Arial" w:cs="Arial"/>
        </w:rPr>
      </w:pPr>
    </w:p>
    <w:p w14:paraId="7B99DB41" w14:textId="22FE7F6B" w:rsidR="008A1E15" w:rsidRPr="009E61FD" w:rsidRDefault="009E61FD" w:rsidP="00782AD4">
      <w:pPr>
        <w:jc w:val="both"/>
        <w:rPr>
          <w:rFonts w:ascii="Arial" w:hAnsi="Arial" w:cs="Arial"/>
        </w:rPr>
      </w:pPr>
      <w:r w:rsidRPr="009E61FD">
        <w:rPr>
          <w:rFonts w:ascii="Arial" w:hAnsi="Arial" w:cs="Arial"/>
        </w:rPr>
        <w:t>The Trust has a Decontamination Committee that is chaired by the Dep</w:t>
      </w:r>
      <w:r w:rsidR="006E3D1F">
        <w:rPr>
          <w:rFonts w:ascii="Arial" w:hAnsi="Arial" w:cs="Arial"/>
        </w:rPr>
        <w:t>u</w:t>
      </w:r>
      <w:r w:rsidRPr="009E61FD">
        <w:rPr>
          <w:rFonts w:ascii="Arial" w:hAnsi="Arial" w:cs="Arial"/>
        </w:rPr>
        <w:t xml:space="preserve">ty DIPC as the designated decontamination lead for the Trust.  </w:t>
      </w:r>
      <w:r w:rsidR="008F0E79" w:rsidRPr="009E61FD">
        <w:rPr>
          <w:rFonts w:ascii="Arial" w:hAnsi="Arial" w:cs="Arial"/>
        </w:rPr>
        <w:t>Instrument reprocessing is outsourced to In House Sterile Services (IHSS)</w:t>
      </w:r>
      <w:r w:rsidR="00BE52CE">
        <w:rPr>
          <w:rFonts w:ascii="Arial" w:hAnsi="Arial" w:cs="Arial"/>
        </w:rPr>
        <w:t xml:space="preserve"> and the contract is managed through agreed key performance indicators.  In 2024/25 the turnaround performance was above 95%, with quality performance above 98%</w:t>
      </w:r>
      <w:r w:rsidR="009D33F1">
        <w:rPr>
          <w:rFonts w:ascii="Arial" w:hAnsi="Arial" w:cs="Arial"/>
        </w:rPr>
        <w:t>, and i</w:t>
      </w:r>
      <w:r w:rsidR="00BE52CE">
        <w:rPr>
          <w:rFonts w:ascii="Arial" w:hAnsi="Arial" w:cs="Arial"/>
        </w:rPr>
        <w:t>ssues identified related to potential contamination of sets</w:t>
      </w:r>
      <w:r w:rsidR="009D33F1">
        <w:rPr>
          <w:rFonts w:ascii="Arial" w:hAnsi="Arial" w:cs="Arial"/>
        </w:rPr>
        <w:t>.</w:t>
      </w:r>
      <w:r w:rsidR="00782AD4">
        <w:rPr>
          <w:rFonts w:ascii="Arial" w:hAnsi="Arial" w:cs="Arial"/>
        </w:rPr>
        <w:t xml:space="preserve">  A number of sets were switched to tins to reduce the risk of contamination and it was agreed to focus on orthopaedic instruments which has seen a reduction in cancellations of surgery.</w:t>
      </w:r>
    </w:p>
    <w:p w14:paraId="57411EF8" w14:textId="77777777" w:rsidR="008A1E15" w:rsidRPr="009E61FD" w:rsidRDefault="008A1E15" w:rsidP="00782AD4">
      <w:pPr>
        <w:jc w:val="both"/>
        <w:rPr>
          <w:rFonts w:ascii="Arial" w:hAnsi="Arial" w:cs="Arial"/>
        </w:rPr>
      </w:pPr>
    </w:p>
    <w:p w14:paraId="4A137159" w14:textId="3054B47B" w:rsidR="00782AD4" w:rsidRDefault="00782AD4" w:rsidP="00782AD4">
      <w:pPr>
        <w:jc w:val="both"/>
        <w:rPr>
          <w:rFonts w:ascii="Arial" w:hAnsi="Arial" w:cs="Arial"/>
        </w:rPr>
      </w:pPr>
      <w:r>
        <w:rPr>
          <w:rFonts w:ascii="Arial" w:hAnsi="Arial" w:cs="Arial"/>
        </w:rPr>
        <w:t xml:space="preserve">The deputy DIPC and deputy decontamination lead undertook an annual </w:t>
      </w:r>
      <w:r w:rsidR="002F6321">
        <w:rPr>
          <w:rFonts w:ascii="Arial" w:hAnsi="Arial" w:cs="Arial"/>
        </w:rPr>
        <w:t>review of</w:t>
      </w:r>
      <w:r>
        <w:rPr>
          <w:rFonts w:ascii="Arial" w:hAnsi="Arial" w:cs="Arial"/>
        </w:rPr>
        <w:t xml:space="preserve"> IHSS Aylesham branch in March</w:t>
      </w:r>
      <w:r w:rsidR="002F6321">
        <w:rPr>
          <w:rFonts w:ascii="Arial" w:hAnsi="Arial" w:cs="Arial"/>
        </w:rPr>
        <w:t xml:space="preserve"> 25</w:t>
      </w:r>
      <w:r>
        <w:rPr>
          <w:rFonts w:ascii="Arial" w:hAnsi="Arial" w:cs="Arial"/>
        </w:rPr>
        <w:t xml:space="preserve">. Full compliance with decontamination practices was identified, having reviewed their annual independent audit results which had identified </w:t>
      </w:r>
      <w:r w:rsidR="002F6321">
        <w:rPr>
          <w:rFonts w:ascii="Arial" w:hAnsi="Arial" w:cs="Arial"/>
        </w:rPr>
        <w:t>non-conformities</w:t>
      </w:r>
      <w:r>
        <w:rPr>
          <w:rFonts w:ascii="Arial" w:hAnsi="Arial" w:cs="Arial"/>
        </w:rPr>
        <w:t xml:space="preserve"> in other IHSS services, but not those that reprocess EKHUFT instruments.</w:t>
      </w:r>
      <w:r w:rsidR="002F6321">
        <w:rPr>
          <w:rFonts w:ascii="Arial" w:hAnsi="Arial" w:cs="Arial"/>
        </w:rPr>
        <w:t xml:space="preserve">  </w:t>
      </w:r>
      <w:r>
        <w:rPr>
          <w:rFonts w:ascii="Arial" w:hAnsi="Arial" w:cs="Arial"/>
        </w:rPr>
        <w:t xml:space="preserve">Local audits and reports from their independent </w:t>
      </w:r>
      <w:r w:rsidR="002F6321">
        <w:rPr>
          <w:rFonts w:ascii="Arial" w:hAnsi="Arial" w:cs="Arial"/>
        </w:rPr>
        <w:t>authorising</w:t>
      </w:r>
      <w:r>
        <w:rPr>
          <w:rFonts w:ascii="Arial" w:hAnsi="Arial" w:cs="Arial"/>
        </w:rPr>
        <w:t xml:space="preserve"> engineer and Andersen Caledonian were also reviewed, and any </w:t>
      </w:r>
      <w:r w:rsidR="002F6321">
        <w:rPr>
          <w:rFonts w:ascii="Arial" w:hAnsi="Arial" w:cs="Arial"/>
        </w:rPr>
        <w:t>non-conformities</w:t>
      </w:r>
      <w:r>
        <w:rPr>
          <w:rFonts w:ascii="Arial" w:hAnsi="Arial" w:cs="Arial"/>
        </w:rPr>
        <w:t xml:space="preserve"> had been rectified, and therefore no concerns were found.</w:t>
      </w:r>
    </w:p>
    <w:p w14:paraId="66F05033" w14:textId="77777777" w:rsidR="00782AD4" w:rsidRDefault="00782AD4" w:rsidP="00782AD4">
      <w:pPr>
        <w:jc w:val="both"/>
        <w:rPr>
          <w:rFonts w:ascii="Arial" w:hAnsi="Arial" w:cs="Arial"/>
        </w:rPr>
      </w:pPr>
    </w:p>
    <w:p w14:paraId="68A0EF7A" w14:textId="00E7B2B8" w:rsidR="008F0E79" w:rsidRDefault="00782AD4" w:rsidP="00782AD4">
      <w:pPr>
        <w:jc w:val="both"/>
        <w:rPr>
          <w:rStyle w:val="apple-converted-space"/>
          <w:rFonts w:ascii="Arial" w:hAnsi="Arial" w:cs="Arial"/>
        </w:rPr>
      </w:pPr>
      <w:r>
        <w:rPr>
          <w:rFonts w:ascii="Arial" w:hAnsi="Arial" w:cs="Arial"/>
        </w:rPr>
        <w:t xml:space="preserve">IHSS continue to work alongside </w:t>
      </w:r>
      <w:r w:rsidR="002F6321">
        <w:rPr>
          <w:rFonts w:ascii="Arial" w:hAnsi="Arial" w:cs="Arial"/>
        </w:rPr>
        <w:t>EKHUFT,</w:t>
      </w:r>
      <w:r>
        <w:rPr>
          <w:rFonts w:ascii="Arial" w:hAnsi="Arial" w:cs="Arial"/>
        </w:rPr>
        <w:t xml:space="preserve"> and aim to further increase the amount of tins they can reprocess, and continue to review the paper used on their shelving for ongoing improvements.</w:t>
      </w:r>
      <w:r w:rsidRPr="00764DC1">
        <w:rPr>
          <w:rFonts w:ascii="Arial" w:hAnsi="Arial" w:cs="Arial"/>
        </w:rPr>
        <w:t xml:space="preserve"> </w:t>
      </w:r>
      <w:r>
        <w:rPr>
          <w:rFonts w:ascii="Arial" w:hAnsi="Arial" w:cs="Arial"/>
        </w:rPr>
        <w:t>The unidentified contaminants have now significantly reduced, and monitoring remains in place through the contractual agreements</w:t>
      </w:r>
    </w:p>
    <w:p w14:paraId="2372A0EA" w14:textId="2D1C2720" w:rsidR="008F0E79" w:rsidRDefault="008F0E79" w:rsidP="000B24D6">
      <w:pPr>
        <w:pStyle w:val="Heading3"/>
        <w:rPr>
          <w:rStyle w:val="apple-converted-space"/>
        </w:rPr>
      </w:pPr>
      <w:r>
        <w:rPr>
          <w:rStyle w:val="apple-converted-space"/>
        </w:rPr>
        <w:t>12.2</w:t>
      </w:r>
      <w:r w:rsidR="000B24D6">
        <w:rPr>
          <w:rStyle w:val="apple-converted-space"/>
        </w:rPr>
        <w:t xml:space="preserve"> </w:t>
      </w:r>
      <w:r>
        <w:rPr>
          <w:rStyle w:val="apple-converted-space"/>
        </w:rPr>
        <w:t xml:space="preserve">Endoscope reprocessing </w:t>
      </w:r>
    </w:p>
    <w:p w14:paraId="6A2F5E02" w14:textId="77777777" w:rsidR="008F0E79" w:rsidRDefault="008F0E79" w:rsidP="008F0E79">
      <w:pPr>
        <w:jc w:val="both"/>
        <w:rPr>
          <w:rStyle w:val="apple-converted-space"/>
          <w:rFonts w:ascii="Arial" w:hAnsi="Arial" w:cs="Arial"/>
        </w:rPr>
      </w:pPr>
    </w:p>
    <w:p w14:paraId="083DEE4E" w14:textId="2C15C5D3" w:rsidR="008C2EB3" w:rsidRDefault="00711586" w:rsidP="000B24D6">
      <w:pPr>
        <w:rPr>
          <w:rStyle w:val="apple-converted-space"/>
          <w:rFonts w:ascii="Arial" w:hAnsi="Arial" w:cs="Arial"/>
        </w:rPr>
      </w:pPr>
      <w:r>
        <w:rPr>
          <w:rFonts w:ascii="Arial" w:hAnsi="Arial" w:cs="Arial"/>
        </w:rPr>
        <w:t xml:space="preserve">The </w:t>
      </w:r>
      <w:r w:rsidR="00446364">
        <w:rPr>
          <w:rFonts w:ascii="Arial" w:hAnsi="Arial" w:cs="Arial"/>
        </w:rPr>
        <w:t xml:space="preserve">EKHUFT authorising engineer for decontamination undertook the annual review of endoscopy units and overall general compliance was found, with some actions required relating to evidencing of ventilation and water reports. However two decontamination rooms (KCH urology and endoscopy) do not meet full </w:t>
      </w:r>
      <w:r w:rsidR="00E83D75">
        <w:rPr>
          <w:rFonts w:ascii="Arial" w:hAnsi="Arial" w:cs="Arial"/>
        </w:rPr>
        <w:t xml:space="preserve">best practice </w:t>
      </w:r>
      <w:r w:rsidR="00446364">
        <w:rPr>
          <w:rFonts w:ascii="Arial" w:hAnsi="Arial" w:cs="Arial"/>
        </w:rPr>
        <w:t xml:space="preserve">standards as they are built in one room, </w:t>
      </w:r>
      <w:r w:rsidR="00E83D75">
        <w:rPr>
          <w:rFonts w:ascii="Arial" w:hAnsi="Arial" w:cs="Arial"/>
        </w:rPr>
        <w:t xml:space="preserve">but they do meet the basic HTM requirements, through implementation of good dirty – clean flow utilising PPE and cleaning processes. </w:t>
      </w:r>
    </w:p>
    <w:p w14:paraId="65B35702" w14:textId="6A3C1FE7" w:rsidR="008C2EB3" w:rsidRPr="00157192" w:rsidRDefault="000B24D6" w:rsidP="000B24D6">
      <w:pPr>
        <w:pStyle w:val="Heading2"/>
        <w:rPr>
          <w:rStyle w:val="apple-converted-space"/>
          <w:b w:val="0"/>
        </w:rPr>
      </w:pPr>
      <w:r>
        <w:rPr>
          <w:rStyle w:val="apple-converted-space"/>
        </w:rPr>
        <w:t xml:space="preserve">13. </w:t>
      </w:r>
      <w:r w:rsidR="008C2EB3" w:rsidRPr="00157192">
        <w:rPr>
          <w:rStyle w:val="apple-converted-space"/>
        </w:rPr>
        <w:t xml:space="preserve">Surgical Site Surveillance </w:t>
      </w:r>
    </w:p>
    <w:p w14:paraId="4CE75439" w14:textId="5F05EDBF" w:rsidR="008C2EB3" w:rsidRDefault="008C2EB3" w:rsidP="008C2EB3">
      <w:pPr>
        <w:jc w:val="both"/>
        <w:rPr>
          <w:rStyle w:val="apple-converted-space"/>
          <w:rFonts w:ascii="Arial" w:hAnsi="Arial" w:cs="Arial"/>
        </w:rPr>
      </w:pPr>
    </w:p>
    <w:p w14:paraId="16276D69" w14:textId="77777777" w:rsidR="0088530F" w:rsidRPr="00734A3E" w:rsidRDefault="0088530F" w:rsidP="0088530F">
      <w:pPr>
        <w:jc w:val="both"/>
        <w:rPr>
          <w:rFonts w:ascii="Arial" w:hAnsi="Arial" w:cs="Arial"/>
        </w:rPr>
      </w:pPr>
      <w:r w:rsidRPr="00734A3E">
        <w:rPr>
          <w:rFonts w:ascii="Arial" w:hAnsi="Arial" w:cs="Arial"/>
        </w:rPr>
        <w:t>Surveillance of surgical site infection (SSI) following orthopaedic surgery is included in the mandatory healthcare-associated infection surveillance system.</w:t>
      </w:r>
    </w:p>
    <w:p w14:paraId="019D107E" w14:textId="77777777" w:rsidR="0088530F" w:rsidRPr="00734A3E" w:rsidRDefault="0088530F" w:rsidP="0088530F">
      <w:pPr>
        <w:jc w:val="both"/>
        <w:rPr>
          <w:rFonts w:ascii="Arial" w:hAnsi="Arial" w:cs="Arial"/>
        </w:rPr>
      </w:pPr>
    </w:p>
    <w:p w14:paraId="018E5FDC" w14:textId="77777777" w:rsidR="0088530F" w:rsidRPr="00734A3E" w:rsidRDefault="0088530F" w:rsidP="0088530F">
      <w:pPr>
        <w:jc w:val="both"/>
        <w:rPr>
          <w:rFonts w:ascii="Arial" w:hAnsi="Arial" w:cs="Arial"/>
        </w:rPr>
      </w:pPr>
      <w:r w:rsidRPr="00734A3E">
        <w:rPr>
          <w:rFonts w:ascii="Arial" w:hAnsi="Arial" w:cs="Arial"/>
        </w:rPr>
        <w:t>All NHS Trusts where orthopaedic surgical procedures are performed are expected to carry out a minimum of three months surveillance in at least one of the three orthopaedic categories:</w:t>
      </w:r>
    </w:p>
    <w:p w14:paraId="4E00233C" w14:textId="77777777" w:rsidR="0088530F" w:rsidRPr="00734A3E" w:rsidRDefault="0088530F" w:rsidP="0088530F">
      <w:pPr>
        <w:jc w:val="both"/>
        <w:rPr>
          <w:rFonts w:ascii="Arial" w:hAnsi="Arial" w:cs="Arial"/>
        </w:rPr>
      </w:pPr>
    </w:p>
    <w:p w14:paraId="76548F7E" w14:textId="77777777" w:rsidR="0088530F" w:rsidRPr="00734A3E" w:rsidRDefault="0088530F" w:rsidP="0056547A">
      <w:pPr>
        <w:pStyle w:val="ListParagraph"/>
        <w:numPr>
          <w:ilvl w:val="0"/>
          <w:numId w:val="3"/>
        </w:numPr>
        <w:jc w:val="both"/>
        <w:rPr>
          <w:rFonts w:ascii="Arial" w:hAnsi="Arial" w:cs="Arial"/>
        </w:rPr>
      </w:pPr>
      <w:r w:rsidRPr="00734A3E">
        <w:rPr>
          <w:rFonts w:ascii="Arial" w:hAnsi="Arial" w:cs="Arial"/>
        </w:rPr>
        <w:t>Total hip replacements</w:t>
      </w:r>
    </w:p>
    <w:p w14:paraId="2511CC70" w14:textId="77777777" w:rsidR="0088530F" w:rsidRPr="00734A3E" w:rsidRDefault="0088530F" w:rsidP="0088530F">
      <w:pPr>
        <w:pStyle w:val="ListParagraph"/>
        <w:jc w:val="both"/>
        <w:rPr>
          <w:rFonts w:ascii="Arial" w:hAnsi="Arial" w:cs="Arial"/>
        </w:rPr>
      </w:pPr>
    </w:p>
    <w:p w14:paraId="36DC9B50" w14:textId="77777777" w:rsidR="0088530F" w:rsidRPr="00734A3E" w:rsidRDefault="0088530F" w:rsidP="0056547A">
      <w:pPr>
        <w:pStyle w:val="ListParagraph"/>
        <w:numPr>
          <w:ilvl w:val="0"/>
          <w:numId w:val="3"/>
        </w:numPr>
        <w:jc w:val="both"/>
        <w:rPr>
          <w:rFonts w:ascii="Arial" w:hAnsi="Arial" w:cs="Arial"/>
        </w:rPr>
      </w:pPr>
      <w:r w:rsidRPr="00734A3E">
        <w:rPr>
          <w:rFonts w:ascii="Arial" w:hAnsi="Arial" w:cs="Arial"/>
        </w:rPr>
        <w:t>Knee replacements</w:t>
      </w:r>
    </w:p>
    <w:p w14:paraId="483F0F7F" w14:textId="77777777" w:rsidR="0088530F" w:rsidRPr="00734A3E" w:rsidRDefault="0088530F" w:rsidP="0088530F">
      <w:pPr>
        <w:pStyle w:val="ListParagraph"/>
        <w:jc w:val="both"/>
        <w:rPr>
          <w:rFonts w:ascii="Arial" w:hAnsi="Arial" w:cs="Arial"/>
        </w:rPr>
      </w:pPr>
    </w:p>
    <w:p w14:paraId="36426742" w14:textId="77777777" w:rsidR="0088530F" w:rsidRPr="00734A3E" w:rsidRDefault="0088530F" w:rsidP="0056547A">
      <w:pPr>
        <w:pStyle w:val="ListParagraph"/>
        <w:numPr>
          <w:ilvl w:val="0"/>
          <w:numId w:val="3"/>
        </w:numPr>
        <w:jc w:val="both"/>
        <w:rPr>
          <w:rFonts w:ascii="Arial" w:hAnsi="Arial" w:cs="Arial"/>
        </w:rPr>
      </w:pPr>
      <w:r w:rsidRPr="00734A3E">
        <w:rPr>
          <w:rFonts w:ascii="Arial" w:hAnsi="Arial" w:cs="Arial"/>
        </w:rPr>
        <w:lastRenderedPageBreak/>
        <w:t>Hip hemiarthroplasties</w:t>
      </w:r>
    </w:p>
    <w:p w14:paraId="2C802CF0" w14:textId="77777777" w:rsidR="0088530F" w:rsidRPr="00734A3E" w:rsidRDefault="0088530F" w:rsidP="0088530F">
      <w:pPr>
        <w:pStyle w:val="ListParagraph"/>
        <w:jc w:val="both"/>
        <w:rPr>
          <w:rFonts w:ascii="Arial" w:hAnsi="Arial" w:cs="Arial"/>
        </w:rPr>
      </w:pPr>
    </w:p>
    <w:p w14:paraId="29FD37B6" w14:textId="226EC0CA" w:rsidR="00F276BB" w:rsidRPr="00734A3E" w:rsidRDefault="0088530F" w:rsidP="0088530F">
      <w:pPr>
        <w:jc w:val="both"/>
        <w:rPr>
          <w:rFonts w:ascii="Arial" w:hAnsi="Arial" w:cs="Arial"/>
        </w:rPr>
      </w:pPr>
      <w:r w:rsidRPr="00734A3E">
        <w:rPr>
          <w:rFonts w:ascii="Arial" w:hAnsi="Arial" w:cs="Arial"/>
        </w:rPr>
        <w:t xml:space="preserve">EKHUFT undertake continuous surveillance in all </w:t>
      </w:r>
      <w:r w:rsidR="00556261" w:rsidRPr="00734A3E">
        <w:rPr>
          <w:rFonts w:ascii="Arial" w:hAnsi="Arial" w:cs="Arial"/>
        </w:rPr>
        <w:t>three</w:t>
      </w:r>
      <w:r w:rsidRPr="00734A3E">
        <w:rPr>
          <w:rFonts w:ascii="Arial" w:hAnsi="Arial" w:cs="Arial"/>
        </w:rPr>
        <w:t xml:space="preserve"> categories (rather than limiting participation to the mandatory single quarter per year). </w:t>
      </w:r>
    </w:p>
    <w:p w14:paraId="0DE6C48D" w14:textId="14E8C660" w:rsidR="00734A3E" w:rsidRPr="00734A3E" w:rsidRDefault="00734A3E" w:rsidP="0088530F">
      <w:pPr>
        <w:jc w:val="both"/>
        <w:rPr>
          <w:rFonts w:ascii="Arial" w:hAnsi="Arial" w:cs="Arial"/>
        </w:rPr>
      </w:pPr>
    </w:p>
    <w:p w14:paraId="1E885073" w14:textId="06D67C6D" w:rsidR="00734A3E" w:rsidRDefault="00734A3E" w:rsidP="00734A3E">
      <w:pPr>
        <w:jc w:val="both"/>
        <w:rPr>
          <w:rFonts w:ascii="Arial" w:hAnsi="Arial" w:cs="Arial"/>
        </w:rPr>
      </w:pPr>
      <w:r w:rsidRPr="00734A3E">
        <w:rPr>
          <w:rFonts w:ascii="Arial" w:hAnsi="Arial" w:cs="Arial"/>
        </w:rPr>
        <w:t>Every quarter, surgical site infection surveillance (SSIS) is carried for the following UKHSA orthopaedic procedures: Repair of NOF fracture, Hip and Knee replacements. These procedures are carried out in Queen Elizabeth Queen Mother (QEQM) Hospital, William Harvey Hospital (WHH) and the Elective Orthopaedic Centre (EOC) at Kent &amp; Canterbury Hospital (KCH).</w:t>
      </w:r>
    </w:p>
    <w:p w14:paraId="6D701CB7" w14:textId="77777777" w:rsidR="00734A3E" w:rsidRPr="00734A3E" w:rsidRDefault="00734A3E" w:rsidP="00734A3E">
      <w:pPr>
        <w:jc w:val="both"/>
        <w:rPr>
          <w:rFonts w:ascii="Arial" w:hAnsi="Arial" w:cs="Arial"/>
        </w:rPr>
      </w:pPr>
    </w:p>
    <w:p w14:paraId="6E831A60" w14:textId="6E26379A" w:rsidR="00734A3E" w:rsidRDefault="00734A3E" w:rsidP="00734A3E">
      <w:pPr>
        <w:jc w:val="both"/>
        <w:rPr>
          <w:rFonts w:ascii="Arial" w:hAnsi="Arial" w:cs="Arial"/>
        </w:rPr>
      </w:pPr>
      <w:r w:rsidRPr="00734A3E">
        <w:rPr>
          <w:rFonts w:ascii="Arial" w:hAnsi="Arial" w:cs="Arial"/>
        </w:rPr>
        <w:t xml:space="preserve">In addition, an internal trust-wide SSIS was carried out for elective and emergency caesarean sections between August and October, 2024. SSI rates were obtained using the patient-reported SSI method – patients whose wound complaints met a nationally defined criteria for patient-reported SSI. </w:t>
      </w:r>
    </w:p>
    <w:p w14:paraId="4B2FF812" w14:textId="77777777" w:rsidR="00734A3E" w:rsidRPr="00734A3E" w:rsidRDefault="00734A3E" w:rsidP="00734A3E">
      <w:pPr>
        <w:jc w:val="both"/>
        <w:rPr>
          <w:rFonts w:ascii="Arial" w:hAnsi="Arial" w:cs="Arial"/>
        </w:rPr>
      </w:pPr>
    </w:p>
    <w:p w14:paraId="6020438A" w14:textId="57863912" w:rsidR="00734A3E" w:rsidRPr="00734A3E" w:rsidRDefault="00734A3E" w:rsidP="00734A3E">
      <w:pPr>
        <w:jc w:val="both"/>
        <w:rPr>
          <w:rFonts w:ascii="Arial" w:hAnsi="Arial" w:cs="Arial"/>
        </w:rPr>
      </w:pPr>
      <w:r w:rsidRPr="00734A3E">
        <w:rPr>
          <w:rFonts w:ascii="Arial" w:hAnsi="Arial" w:cs="Arial"/>
        </w:rPr>
        <w:t>The table below illustrates the confirmed orthopaedic SSIs rates attributed to each hospital site since April 2024:</w:t>
      </w:r>
    </w:p>
    <w:p w14:paraId="7732B053" w14:textId="008E75BE" w:rsidR="00734A3E" w:rsidRPr="000B24D6" w:rsidRDefault="00734A3E" w:rsidP="000B24D6">
      <w:pPr>
        <w:pStyle w:val="Heading3"/>
      </w:pPr>
      <w:r w:rsidRPr="000B24D6">
        <w:t>SSI (Inpatient &amp; Readmission Data)</w:t>
      </w:r>
    </w:p>
    <w:p w14:paraId="7447B3CA" w14:textId="77777777" w:rsidR="000B24D6" w:rsidRPr="000B24D6" w:rsidRDefault="000B24D6" w:rsidP="000B24D6">
      <w:pPr>
        <w:rPr>
          <w:lang w:eastAsia="en-GB"/>
        </w:rPr>
      </w:pPr>
    </w:p>
    <w:p w14:paraId="6EA36945" w14:textId="77777777" w:rsidR="00734A3E" w:rsidRPr="00734A3E" w:rsidRDefault="00734A3E" w:rsidP="00734A3E">
      <w:pPr>
        <w:rPr>
          <w:rFonts w:ascii="Arial" w:hAnsi="Arial" w:cs="Arial"/>
        </w:rPr>
      </w:pPr>
      <w:bookmarkStart w:id="21" w:name="_Hlk203740137"/>
      <w:r w:rsidRPr="00734A3E">
        <w:rPr>
          <w:rFonts w:ascii="Arial" w:hAnsi="Arial" w:cs="Arial"/>
        </w:rPr>
        <w:t>National average in bracket ()</w:t>
      </w:r>
    </w:p>
    <w:tbl>
      <w:tblPr>
        <w:tblStyle w:val="TableGrid"/>
        <w:tblW w:w="9073" w:type="dxa"/>
        <w:tblLook w:val="04A0" w:firstRow="1" w:lastRow="0" w:firstColumn="1" w:lastColumn="0" w:noHBand="0" w:noVBand="1"/>
      </w:tblPr>
      <w:tblGrid>
        <w:gridCol w:w="1841"/>
        <w:gridCol w:w="2126"/>
        <w:gridCol w:w="1845"/>
        <w:gridCol w:w="1701"/>
        <w:gridCol w:w="1560"/>
      </w:tblGrid>
      <w:tr w:rsidR="005E3F0F" w:rsidRPr="00F44465" w14:paraId="719214CD" w14:textId="77777777" w:rsidTr="00616934">
        <w:tc>
          <w:tcPr>
            <w:tcW w:w="1841" w:type="dxa"/>
            <w:vMerge w:val="restart"/>
            <w:vAlign w:val="center"/>
          </w:tcPr>
          <w:p w14:paraId="158A1EA7" w14:textId="77777777" w:rsidR="005E3F0F" w:rsidRPr="00F44465" w:rsidRDefault="005E3F0F" w:rsidP="00616934">
            <w:pPr>
              <w:jc w:val="center"/>
              <w:rPr>
                <w:rFonts w:cstheme="minorHAnsi"/>
                <w:b/>
              </w:rPr>
            </w:pPr>
            <w:r>
              <w:rPr>
                <w:rFonts w:cstheme="minorHAnsi"/>
                <w:b/>
              </w:rPr>
              <w:t>Quarter</w:t>
            </w:r>
          </w:p>
        </w:tc>
        <w:tc>
          <w:tcPr>
            <w:tcW w:w="3971" w:type="dxa"/>
            <w:gridSpan w:val="2"/>
          </w:tcPr>
          <w:p w14:paraId="6EC6A05E" w14:textId="77777777" w:rsidR="005E3F0F" w:rsidRPr="00F44465" w:rsidRDefault="005E3F0F" w:rsidP="005E3F0F">
            <w:pPr>
              <w:jc w:val="center"/>
              <w:rPr>
                <w:rFonts w:cstheme="minorHAnsi"/>
                <w:b/>
              </w:rPr>
            </w:pPr>
            <w:r w:rsidRPr="00F44465">
              <w:rPr>
                <w:rFonts w:cstheme="minorHAnsi"/>
                <w:b/>
              </w:rPr>
              <w:t>EOC</w:t>
            </w:r>
          </w:p>
        </w:tc>
        <w:tc>
          <w:tcPr>
            <w:tcW w:w="1701" w:type="dxa"/>
          </w:tcPr>
          <w:p w14:paraId="55031CB9" w14:textId="77777777" w:rsidR="005E3F0F" w:rsidRPr="00F44465" w:rsidRDefault="005E3F0F" w:rsidP="005E3F0F">
            <w:pPr>
              <w:rPr>
                <w:rFonts w:cstheme="minorHAnsi"/>
                <w:b/>
              </w:rPr>
            </w:pPr>
            <w:r w:rsidRPr="00F44465">
              <w:rPr>
                <w:rFonts w:cstheme="minorHAnsi"/>
                <w:b/>
              </w:rPr>
              <w:t>QEQM</w:t>
            </w:r>
          </w:p>
        </w:tc>
        <w:tc>
          <w:tcPr>
            <w:tcW w:w="1560" w:type="dxa"/>
          </w:tcPr>
          <w:p w14:paraId="7371D8AB" w14:textId="77777777" w:rsidR="005E3F0F" w:rsidRPr="00F44465" w:rsidRDefault="005E3F0F" w:rsidP="005E3F0F">
            <w:pPr>
              <w:rPr>
                <w:rFonts w:cstheme="minorHAnsi"/>
                <w:b/>
              </w:rPr>
            </w:pPr>
            <w:r w:rsidRPr="00F44465">
              <w:rPr>
                <w:rFonts w:cstheme="minorHAnsi"/>
                <w:b/>
              </w:rPr>
              <w:t>WHH</w:t>
            </w:r>
          </w:p>
        </w:tc>
      </w:tr>
      <w:tr w:rsidR="005E3F0F" w:rsidRPr="00F44465" w14:paraId="2BCB6876" w14:textId="77777777" w:rsidTr="00616934">
        <w:tc>
          <w:tcPr>
            <w:tcW w:w="1841" w:type="dxa"/>
            <w:vMerge/>
          </w:tcPr>
          <w:p w14:paraId="0C34DFE8" w14:textId="77777777" w:rsidR="005E3F0F" w:rsidRPr="00F44465" w:rsidRDefault="005E3F0F" w:rsidP="005E3F0F">
            <w:pPr>
              <w:rPr>
                <w:rFonts w:cstheme="minorHAnsi"/>
                <w:b/>
              </w:rPr>
            </w:pPr>
          </w:p>
        </w:tc>
        <w:tc>
          <w:tcPr>
            <w:tcW w:w="2126" w:type="dxa"/>
          </w:tcPr>
          <w:p w14:paraId="637E7C41" w14:textId="77777777" w:rsidR="005E3F0F" w:rsidRPr="00F44465" w:rsidRDefault="005E3F0F" w:rsidP="005E3F0F">
            <w:pPr>
              <w:rPr>
                <w:rFonts w:cstheme="minorHAnsi"/>
                <w:b/>
              </w:rPr>
            </w:pPr>
            <w:r w:rsidRPr="00F44465">
              <w:rPr>
                <w:rFonts w:cstheme="minorHAnsi"/>
                <w:b/>
              </w:rPr>
              <w:t>Knee Replacement</w:t>
            </w:r>
          </w:p>
        </w:tc>
        <w:tc>
          <w:tcPr>
            <w:tcW w:w="1845" w:type="dxa"/>
          </w:tcPr>
          <w:p w14:paraId="0671B391" w14:textId="77777777" w:rsidR="005E3F0F" w:rsidRPr="00F44465" w:rsidRDefault="005E3F0F" w:rsidP="005E3F0F">
            <w:pPr>
              <w:rPr>
                <w:rFonts w:cstheme="minorHAnsi"/>
                <w:b/>
              </w:rPr>
            </w:pPr>
            <w:r w:rsidRPr="00F44465">
              <w:rPr>
                <w:rFonts w:cstheme="minorHAnsi"/>
                <w:b/>
              </w:rPr>
              <w:t>Hip Replacement</w:t>
            </w:r>
          </w:p>
        </w:tc>
        <w:tc>
          <w:tcPr>
            <w:tcW w:w="1701" w:type="dxa"/>
          </w:tcPr>
          <w:p w14:paraId="53026F02" w14:textId="77777777" w:rsidR="005E3F0F" w:rsidRPr="00F44465" w:rsidRDefault="005E3F0F" w:rsidP="005E3F0F">
            <w:pPr>
              <w:rPr>
                <w:rFonts w:cstheme="minorHAnsi"/>
                <w:b/>
              </w:rPr>
            </w:pPr>
            <w:r w:rsidRPr="00F44465">
              <w:rPr>
                <w:rFonts w:cstheme="minorHAnsi"/>
                <w:b/>
              </w:rPr>
              <w:t>Repair of NOF</w:t>
            </w:r>
          </w:p>
        </w:tc>
        <w:tc>
          <w:tcPr>
            <w:tcW w:w="1560" w:type="dxa"/>
          </w:tcPr>
          <w:p w14:paraId="1F697572" w14:textId="77777777" w:rsidR="005E3F0F" w:rsidRPr="00F44465" w:rsidRDefault="005E3F0F" w:rsidP="005E3F0F">
            <w:pPr>
              <w:rPr>
                <w:rFonts w:cstheme="minorHAnsi"/>
                <w:b/>
              </w:rPr>
            </w:pPr>
            <w:r w:rsidRPr="00F44465">
              <w:rPr>
                <w:rFonts w:cstheme="minorHAnsi"/>
                <w:b/>
              </w:rPr>
              <w:t>Repair of NOF</w:t>
            </w:r>
          </w:p>
        </w:tc>
      </w:tr>
      <w:tr w:rsidR="005E3F0F" w:rsidRPr="00F44465" w14:paraId="5B3CBE87" w14:textId="77777777" w:rsidTr="00616934">
        <w:tc>
          <w:tcPr>
            <w:tcW w:w="1841" w:type="dxa"/>
          </w:tcPr>
          <w:p w14:paraId="35734CBC" w14:textId="77777777" w:rsidR="005E3F0F" w:rsidRPr="00F44465" w:rsidRDefault="005E3F0F" w:rsidP="005E3F0F">
            <w:pPr>
              <w:rPr>
                <w:rFonts w:cstheme="minorHAnsi"/>
                <w:b/>
              </w:rPr>
            </w:pPr>
            <w:r w:rsidRPr="00F44465">
              <w:rPr>
                <w:rFonts w:cstheme="minorHAnsi"/>
                <w:b/>
              </w:rPr>
              <w:t>Apr – Jun</w:t>
            </w:r>
            <w:r>
              <w:rPr>
                <w:rFonts w:cstheme="minorHAnsi"/>
                <w:b/>
              </w:rPr>
              <w:t xml:space="preserve"> 2024</w:t>
            </w:r>
          </w:p>
        </w:tc>
        <w:tc>
          <w:tcPr>
            <w:tcW w:w="2126" w:type="dxa"/>
          </w:tcPr>
          <w:p w14:paraId="2353A848" w14:textId="77777777" w:rsidR="005E3F0F" w:rsidRPr="00F44465" w:rsidRDefault="005E3F0F" w:rsidP="005E3F0F">
            <w:pPr>
              <w:rPr>
                <w:rFonts w:cstheme="minorHAnsi"/>
              </w:rPr>
            </w:pPr>
            <w:r w:rsidRPr="00F44465">
              <w:rPr>
                <w:rFonts w:cstheme="minorHAnsi"/>
              </w:rPr>
              <w:t>0% (0.2%)</w:t>
            </w:r>
          </w:p>
        </w:tc>
        <w:tc>
          <w:tcPr>
            <w:tcW w:w="1845" w:type="dxa"/>
          </w:tcPr>
          <w:p w14:paraId="5B6B9FC8" w14:textId="77777777" w:rsidR="005E3F0F" w:rsidRPr="00F44465" w:rsidRDefault="005E3F0F" w:rsidP="005E3F0F">
            <w:pPr>
              <w:rPr>
                <w:rFonts w:cstheme="minorHAnsi"/>
              </w:rPr>
            </w:pPr>
            <w:r w:rsidRPr="00F44465">
              <w:rPr>
                <w:rFonts w:cstheme="minorHAnsi"/>
              </w:rPr>
              <w:t>1.8% (0.3%)</w:t>
            </w:r>
          </w:p>
        </w:tc>
        <w:tc>
          <w:tcPr>
            <w:tcW w:w="1701" w:type="dxa"/>
          </w:tcPr>
          <w:p w14:paraId="4ADD9C63" w14:textId="77777777" w:rsidR="005E3F0F" w:rsidRPr="00F44465" w:rsidRDefault="005E3F0F" w:rsidP="005E3F0F">
            <w:pPr>
              <w:rPr>
                <w:rFonts w:cstheme="minorHAnsi"/>
              </w:rPr>
            </w:pPr>
            <w:r w:rsidRPr="00F44465">
              <w:rPr>
                <w:rFonts w:cstheme="minorHAnsi"/>
              </w:rPr>
              <w:t>0% (0.9%)</w:t>
            </w:r>
          </w:p>
        </w:tc>
        <w:tc>
          <w:tcPr>
            <w:tcW w:w="1560" w:type="dxa"/>
          </w:tcPr>
          <w:p w14:paraId="32C56EE9" w14:textId="77777777" w:rsidR="005E3F0F" w:rsidRPr="00F44465" w:rsidRDefault="005E3F0F" w:rsidP="005E3F0F">
            <w:pPr>
              <w:rPr>
                <w:rFonts w:cstheme="minorHAnsi"/>
              </w:rPr>
            </w:pPr>
            <w:r w:rsidRPr="00F44465">
              <w:rPr>
                <w:rFonts w:cstheme="minorHAnsi"/>
              </w:rPr>
              <w:t>2% (0.9%)</w:t>
            </w:r>
          </w:p>
        </w:tc>
      </w:tr>
      <w:tr w:rsidR="005E3F0F" w:rsidRPr="00F44465" w14:paraId="151286B3" w14:textId="77777777" w:rsidTr="00616934">
        <w:tc>
          <w:tcPr>
            <w:tcW w:w="1841" w:type="dxa"/>
          </w:tcPr>
          <w:p w14:paraId="446631BC" w14:textId="77777777" w:rsidR="005E3F0F" w:rsidRPr="00F44465" w:rsidRDefault="005E3F0F" w:rsidP="005E3F0F">
            <w:pPr>
              <w:rPr>
                <w:rFonts w:cstheme="minorHAnsi"/>
                <w:b/>
              </w:rPr>
            </w:pPr>
            <w:r w:rsidRPr="00F44465">
              <w:rPr>
                <w:rFonts w:cstheme="minorHAnsi"/>
                <w:b/>
              </w:rPr>
              <w:t>Jul – Sept</w:t>
            </w:r>
            <w:r>
              <w:rPr>
                <w:rFonts w:cstheme="minorHAnsi"/>
                <w:b/>
              </w:rPr>
              <w:t xml:space="preserve"> 2024</w:t>
            </w:r>
          </w:p>
        </w:tc>
        <w:tc>
          <w:tcPr>
            <w:tcW w:w="2126" w:type="dxa"/>
          </w:tcPr>
          <w:p w14:paraId="1F8EDA55" w14:textId="77777777" w:rsidR="005E3F0F" w:rsidRPr="00F44465" w:rsidRDefault="005E3F0F" w:rsidP="005E3F0F">
            <w:pPr>
              <w:rPr>
                <w:rFonts w:cstheme="minorHAnsi"/>
              </w:rPr>
            </w:pPr>
            <w:r w:rsidRPr="00F44465">
              <w:rPr>
                <w:rFonts w:cstheme="minorHAnsi"/>
              </w:rPr>
              <w:t>1.4% (0.2%)</w:t>
            </w:r>
          </w:p>
        </w:tc>
        <w:tc>
          <w:tcPr>
            <w:tcW w:w="1845" w:type="dxa"/>
          </w:tcPr>
          <w:p w14:paraId="465AAAF9" w14:textId="77777777" w:rsidR="005E3F0F" w:rsidRPr="00F44465" w:rsidRDefault="005E3F0F" w:rsidP="005E3F0F">
            <w:pPr>
              <w:rPr>
                <w:rFonts w:cstheme="minorHAnsi"/>
              </w:rPr>
            </w:pPr>
            <w:r w:rsidRPr="00F44465">
              <w:rPr>
                <w:rFonts w:cstheme="minorHAnsi"/>
              </w:rPr>
              <w:t>0.9% (0.3%)</w:t>
            </w:r>
          </w:p>
        </w:tc>
        <w:tc>
          <w:tcPr>
            <w:tcW w:w="1701" w:type="dxa"/>
          </w:tcPr>
          <w:p w14:paraId="1F5DDFDC" w14:textId="77777777" w:rsidR="005E3F0F" w:rsidRPr="00F44465" w:rsidRDefault="005E3F0F" w:rsidP="005E3F0F">
            <w:pPr>
              <w:rPr>
                <w:rFonts w:cstheme="minorHAnsi"/>
              </w:rPr>
            </w:pPr>
            <w:r w:rsidRPr="00F44465">
              <w:rPr>
                <w:rFonts w:cstheme="minorHAnsi"/>
              </w:rPr>
              <w:t>1.5% (0.9%)</w:t>
            </w:r>
          </w:p>
        </w:tc>
        <w:tc>
          <w:tcPr>
            <w:tcW w:w="1560" w:type="dxa"/>
          </w:tcPr>
          <w:p w14:paraId="6F61C6BF" w14:textId="77777777" w:rsidR="005E3F0F" w:rsidRPr="00F44465" w:rsidRDefault="005E3F0F" w:rsidP="005E3F0F">
            <w:pPr>
              <w:rPr>
                <w:rFonts w:cstheme="minorHAnsi"/>
              </w:rPr>
            </w:pPr>
            <w:r w:rsidRPr="00F44465">
              <w:rPr>
                <w:rFonts w:cstheme="minorHAnsi"/>
              </w:rPr>
              <w:t>0% (0.9%)</w:t>
            </w:r>
          </w:p>
        </w:tc>
      </w:tr>
      <w:tr w:rsidR="005E3F0F" w:rsidRPr="00F44465" w14:paraId="6EB8DBEE" w14:textId="77777777" w:rsidTr="00616934">
        <w:tc>
          <w:tcPr>
            <w:tcW w:w="1841" w:type="dxa"/>
          </w:tcPr>
          <w:p w14:paraId="02C63781" w14:textId="77777777" w:rsidR="005E3F0F" w:rsidRPr="00F44465" w:rsidRDefault="005E3F0F" w:rsidP="005E3F0F">
            <w:pPr>
              <w:rPr>
                <w:rFonts w:cstheme="minorHAnsi"/>
                <w:b/>
              </w:rPr>
            </w:pPr>
            <w:r>
              <w:rPr>
                <w:rFonts w:cstheme="minorHAnsi"/>
                <w:b/>
              </w:rPr>
              <w:t>Oct – Dec 2024</w:t>
            </w:r>
          </w:p>
        </w:tc>
        <w:tc>
          <w:tcPr>
            <w:tcW w:w="2126" w:type="dxa"/>
          </w:tcPr>
          <w:p w14:paraId="094C055E" w14:textId="77777777" w:rsidR="005E3F0F" w:rsidRPr="00F44465" w:rsidRDefault="005E3F0F" w:rsidP="005E3F0F">
            <w:pPr>
              <w:rPr>
                <w:rFonts w:cstheme="minorHAnsi"/>
              </w:rPr>
            </w:pPr>
            <w:r>
              <w:rPr>
                <w:rFonts w:cstheme="minorHAnsi"/>
              </w:rPr>
              <w:t>0% (0.2%)</w:t>
            </w:r>
          </w:p>
        </w:tc>
        <w:tc>
          <w:tcPr>
            <w:tcW w:w="1845" w:type="dxa"/>
          </w:tcPr>
          <w:p w14:paraId="44768ECA" w14:textId="77777777" w:rsidR="005E3F0F" w:rsidRPr="00F44465" w:rsidRDefault="005E3F0F" w:rsidP="005E3F0F">
            <w:pPr>
              <w:rPr>
                <w:rFonts w:cstheme="minorHAnsi"/>
              </w:rPr>
            </w:pPr>
            <w:r>
              <w:rPr>
                <w:rFonts w:cstheme="minorHAnsi"/>
              </w:rPr>
              <w:t>0.9% (0.3%)</w:t>
            </w:r>
          </w:p>
        </w:tc>
        <w:tc>
          <w:tcPr>
            <w:tcW w:w="1701" w:type="dxa"/>
          </w:tcPr>
          <w:p w14:paraId="1350A93A" w14:textId="77777777" w:rsidR="005E3F0F" w:rsidRPr="00F44465" w:rsidRDefault="005E3F0F" w:rsidP="005E3F0F">
            <w:pPr>
              <w:rPr>
                <w:rFonts w:cstheme="minorHAnsi"/>
              </w:rPr>
            </w:pPr>
            <w:r>
              <w:rPr>
                <w:rFonts w:cstheme="minorHAnsi"/>
              </w:rPr>
              <w:t>1.6% (0.9%)</w:t>
            </w:r>
          </w:p>
        </w:tc>
        <w:tc>
          <w:tcPr>
            <w:tcW w:w="1560" w:type="dxa"/>
          </w:tcPr>
          <w:p w14:paraId="1878D610" w14:textId="77777777" w:rsidR="005E3F0F" w:rsidRPr="00F44465" w:rsidRDefault="005E3F0F" w:rsidP="005E3F0F">
            <w:pPr>
              <w:rPr>
                <w:rFonts w:cstheme="minorHAnsi"/>
              </w:rPr>
            </w:pPr>
            <w:r>
              <w:rPr>
                <w:rFonts w:cstheme="minorHAnsi"/>
              </w:rPr>
              <w:t>0% (0.9%)</w:t>
            </w:r>
          </w:p>
        </w:tc>
      </w:tr>
      <w:tr w:rsidR="005E3F0F" w:rsidRPr="00F44465" w14:paraId="4EB7306B" w14:textId="77777777" w:rsidTr="00616934">
        <w:tc>
          <w:tcPr>
            <w:tcW w:w="1841" w:type="dxa"/>
          </w:tcPr>
          <w:p w14:paraId="44DA3B89" w14:textId="77777777" w:rsidR="005E3F0F" w:rsidRDefault="005E3F0F" w:rsidP="005E3F0F">
            <w:pPr>
              <w:rPr>
                <w:rFonts w:cstheme="minorHAnsi"/>
                <w:b/>
              </w:rPr>
            </w:pPr>
            <w:r>
              <w:rPr>
                <w:rFonts w:cstheme="minorHAnsi"/>
                <w:b/>
              </w:rPr>
              <w:t>Jan- March 2025</w:t>
            </w:r>
          </w:p>
        </w:tc>
        <w:tc>
          <w:tcPr>
            <w:tcW w:w="2126" w:type="dxa"/>
          </w:tcPr>
          <w:p w14:paraId="032ADD33" w14:textId="77777777" w:rsidR="005E3F0F" w:rsidRDefault="005E3F0F" w:rsidP="005E3F0F">
            <w:pPr>
              <w:rPr>
                <w:rFonts w:cstheme="minorHAnsi"/>
              </w:rPr>
            </w:pPr>
            <w:r>
              <w:rPr>
                <w:rFonts w:cstheme="minorHAnsi"/>
              </w:rPr>
              <w:t>0.6% (0.2%)</w:t>
            </w:r>
          </w:p>
        </w:tc>
        <w:tc>
          <w:tcPr>
            <w:tcW w:w="1845" w:type="dxa"/>
          </w:tcPr>
          <w:p w14:paraId="1E74AC9F" w14:textId="77777777" w:rsidR="005E3F0F" w:rsidRDefault="005E3F0F" w:rsidP="005E3F0F">
            <w:pPr>
              <w:rPr>
                <w:rFonts w:cstheme="minorHAnsi"/>
              </w:rPr>
            </w:pPr>
            <w:r>
              <w:rPr>
                <w:rFonts w:cstheme="minorHAnsi"/>
              </w:rPr>
              <w:t>1.6 % (0.3%)</w:t>
            </w:r>
          </w:p>
        </w:tc>
        <w:tc>
          <w:tcPr>
            <w:tcW w:w="1701" w:type="dxa"/>
          </w:tcPr>
          <w:p w14:paraId="7D0F00FD" w14:textId="77777777" w:rsidR="005E3F0F" w:rsidRDefault="005E3F0F" w:rsidP="005E3F0F">
            <w:pPr>
              <w:rPr>
                <w:rFonts w:cstheme="minorHAnsi"/>
              </w:rPr>
            </w:pPr>
            <w:r>
              <w:rPr>
                <w:rFonts w:cstheme="minorHAnsi"/>
              </w:rPr>
              <w:t>5.2% (0.9%)</w:t>
            </w:r>
          </w:p>
        </w:tc>
        <w:tc>
          <w:tcPr>
            <w:tcW w:w="1560" w:type="dxa"/>
          </w:tcPr>
          <w:p w14:paraId="43A5E7B7" w14:textId="77777777" w:rsidR="005E3F0F" w:rsidRDefault="005E3F0F" w:rsidP="005E3F0F">
            <w:pPr>
              <w:rPr>
                <w:rFonts w:cstheme="minorHAnsi"/>
              </w:rPr>
            </w:pPr>
            <w:r>
              <w:rPr>
                <w:rFonts w:cstheme="minorHAnsi"/>
              </w:rPr>
              <w:t>0% (0.9%)</w:t>
            </w:r>
          </w:p>
        </w:tc>
      </w:tr>
    </w:tbl>
    <w:p w14:paraId="33AC7F8D" w14:textId="32649C4B" w:rsidR="00734A3E" w:rsidRPr="000B24D6" w:rsidRDefault="00734A3E" w:rsidP="000B24D6">
      <w:pPr>
        <w:pStyle w:val="Heading3"/>
      </w:pPr>
      <w:r w:rsidRPr="000B24D6">
        <w:t>Caesarean Section SSI (August – October 2024)</w:t>
      </w:r>
    </w:p>
    <w:p w14:paraId="58CCB23A" w14:textId="77777777" w:rsidR="000B24D6" w:rsidRPr="000B24D6" w:rsidRDefault="000B24D6" w:rsidP="000B24D6">
      <w:pPr>
        <w:rPr>
          <w:lang w:eastAsia="en-GB"/>
        </w:rPr>
      </w:pPr>
    </w:p>
    <w:bookmarkEnd w:id="21"/>
    <w:p w14:paraId="7BA6148B" w14:textId="77777777" w:rsidR="00734A3E" w:rsidRPr="00734A3E" w:rsidRDefault="00734A3E" w:rsidP="00734A3E">
      <w:pPr>
        <w:rPr>
          <w:rFonts w:ascii="Arial" w:hAnsi="Arial" w:cs="Arial"/>
          <w:b/>
        </w:rPr>
      </w:pPr>
      <w:r w:rsidRPr="00734A3E">
        <w:rPr>
          <w:rFonts w:ascii="Arial" w:hAnsi="Arial" w:cs="Arial"/>
          <w:b/>
        </w:rPr>
        <w:t>Quarter trust-wide average – 17%</w:t>
      </w:r>
    </w:p>
    <w:tbl>
      <w:tblPr>
        <w:tblStyle w:val="TableGrid"/>
        <w:tblW w:w="0" w:type="auto"/>
        <w:tblLook w:val="04A0" w:firstRow="1" w:lastRow="0" w:firstColumn="1" w:lastColumn="0" w:noHBand="0" w:noVBand="1"/>
      </w:tblPr>
      <w:tblGrid>
        <w:gridCol w:w="1803"/>
        <w:gridCol w:w="1803"/>
        <w:gridCol w:w="1803"/>
        <w:gridCol w:w="1803"/>
      </w:tblGrid>
      <w:tr w:rsidR="00734A3E" w:rsidRPr="00734A3E" w14:paraId="6BAAA8F9" w14:textId="77777777" w:rsidTr="00A327C4">
        <w:tc>
          <w:tcPr>
            <w:tcW w:w="1803" w:type="dxa"/>
          </w:tcPr>
          <w:p w14:paraId="2D6F0DE9" w14:textId="77777777" w:rsidR="00734A3E" w:rsidRPr="00734A3E" w:rsidRDefault="00734A3E" w:rsidP="00A327C4">
            <w:pPr>
              <w:rPr>
                <w:rFonts w:ascii="Arial" w:hAnsi="Arial" w:cs="Arial"/>
              </w:rPr>
            </w:pPr>
          </w:p>
        </w:tc>
        <w:tc>
          <w:tcPr>
            <w:tcW w:w="1803" w:type="dxa"/>
          </w:tcPr>
          <w:p w14:paraId="18756F66" w14:textId="77777777" w:rsidR="00734A3E" w:rsidRPr="00734A3E" w:rsidRDefault="00734A3E" w:rsidP="00A327C4">
            <w:pPr>
              <w:rPr>
                <w:rFonts w:ascii="Arial" w:hAnsi="Arial" w:cs="Arial"/>
                <w:b/>
              </w:rPr>
            </w:pPr>
            <w:r w:rsidRPr="00734A3E">
              <w:rPr>
                <w:rFonts w:ascii="Arial" w:hAnsi="Arial" w:cs="Arial"/>
                <w:b/>
              </w:rPr>
              <w:t>WHH</w:t>
            </w:r>
          </w:p>
        </w:tc>
        <w:tc>
          <w:tcPr>
            <w:tcW w:w="1803" w:type="dxa"/>
          </w:tcPr>
          <w:p w14:paraId="6C3F6808" w14:textId="77777777" w:rsidR="00734A3E" w:rsidRPr="00734A3E" w:rsidRDefault="00734A3E" w:rsidP="00A327C4">
            <w:pPr>
              <w:rPr>
                <w:rFonts w:ascii="Arial" w:hAnsi="Arial" w:cs="Arial"/>
                <w:b/>
              </w:rPr>
            </w:pPr>
            <w:r w:rsidRPr="00734A3E">
              <w:rPr>
                <w:rFonts w:ascii="Arial" w:hAnsi="Arial" w:cs="Arial"/>
                <w:b/>
              </w:rPr>
              <w:t>QEQM</w:t>
            </w:r>
          </w:p>
        </w:tc>
        <w:tc>
          <w:tcPr>
            <w:tcW w:w="1803" w:type="dxa"/>
          </w:tcPr>
          <w:p w14:paraId="5786DBCA" w14:textId="77777777" w:rsidR="00734A3E" w:rsidRPr="00734A3E" w:rsidRDefault="00734A3E" w:rsidP="00A327C4">
            <w:pPr>
              <w:rPr>
                <w:rFonts w:ascii="Arial" w:hAnsi="Arial" w:cs="Arial"/>
                <w:b/>
              </w:rPr>
            </w:pPr>
            <w:r w:rsidRPr="00734A3E">
              <w:rPr>
                <w:rFonts w:ascii="Arial" w:hAnsi="Arial" w:cs="Arial"/>
                <w:b/>
              </w:rPr>
              <w:t>Trust-Wide</w:t>
            </w:r>
          </w:p>
        </w:tc>
      </w:tr>
      <w:tr w:rsidR="00734A3E" w:rsidRPr="00734A3E" w14:paraId="7A18D052" w14:textId="77777777" w:rsidTr="00A327C4">
        <w:tc>
          <w:tcPr>
            <w:tcW w:w="1803" w:type="dxa"/>
          </w:tcPr>
          <w:p w14:paraId="0D215B6F" w14:textId="77777777" w:rsidR="00734A3E" w:rsidRPr="00734A3E" w:rsidRDefault="00734A3E" w:rsidP="00A327C4">
            <w:pPr>
              <w:rPr>
                <w:rFonts w:ascii="Arial" w:hAnsi="Arial" w:cs="Arial"/>
              </w:rPr>
            </w:pPr>
            <w:r w:rsidRPr="00734A3E">
              <w:rPr>
                <w:rFonts w:ascii="Arial" w:hAnsi="Arial" w:cs="Arial"/>
              </w:rPr>
              <w:t>August</w:t>
            </w:r>
          </w:p>
        </w:tc>
        <w:tc>
          <w:tcPr>
            <w:tcW w:w="1803" w:type="dxa"/>
          </w:tcPr>
          <w:p w14:paraId="53BD7848" w14:textId="77777777" w:rsidR="00734A3E" w:rsidRPr="00734A3E" w:rsidRDefault="00734A3E" w:rsidP="00A327C4">
            <w:pPr>
              <w:rPr>
                <w:rFonts w:ascii="Arial" w:hAnsi="Arial" w:cs="Arial"/>
              </w:rPr>
            </w:pPr>
            <w:r w:rsidRPr="00734A3E">
              <w:rPr>
                <w:rFonts w:ascii="Arial" w:hAnsi="Arial" w:cs="Arial"/>
              </w:rPr>
              <w:t>11.4%</w:t>
            </w:r>
          </w:p>
        </w:tc>
        <w:tc>
          <w:tcPr>
            <w:tcW w:w="1803" w:type="dxa"/>
          </w:tcPr>
          <w:p w14:paraId="26BC3C86" w14:textId="77777777" w:rsidR="00734A3E" w:rsidRPr="00734A3E" w:rsidRDefault="00734A3E" w:rsidP="00A327C4">
            <w:pPr>
              <w:rPr>
                <w:rFonts w:ascii="Arial" w:hAnsi="Arial" w:cs="Arial"/>
              </w:rPr>
            </w:pPr>
            <w:r w:rsidRPr="00734A3E">
              <w:rPr>
                <w:rFonts w:ascii="Arial" w:hAnsi="Arial" w:cs="Arial"/>
              </w:rPr>
              <w:t>18.6%</w:t>
            </w:r>
          </w:p>
        </w:tc>
        <w:tc>
          <w:tcPr>
            <w:tcW w:w="1803" w:type="dxa"/>
          </w:tcPr>
          <w:p w14:paraId="1E6A9668" w14:textId="77777777" w:rsidR="00734A3E" w:rsidRPr="00734A3E" w:rsidRDefault="00734A3E" w:rsidP="00A327C4">
            <w:pPr>
              <w:rPr>
                <w:rFonts w:ascii="Arial" w:hAnsi="Arial" w:cs="Arial"/>
              </w:rPr>
            </w:pPr>
            <w:r w:rsidRPr="00734A3E">
              <w:rPr>
                <w:rFonts w:ascii="Arial" w:hAnsi="Arial" w:cs="Arial"/>
              </w:rPr>
              <w:t>14.9%</w:t>
            </w:r>
          </w:p>
        </w:tc>
      </w:tr>
      <w:tr w:rsidR="00734A3E" w:rsidRPr="00734A3E" w14:paraId="051ED511" w14:textId="77777777" w:rsidTr="00A327C4">
        <w:tc>
          <w:tcPr>
            <w:tcW w:w="1803" w:type="dxa"/>
          </w:tcPr>
          <w:p w14:paraId="24FCD101" w14:textId="77777777" w:rsidR="00734A3E" w:rsidRPr="00734A3E" w:rsidRDefault="00734A3E" w:rsidP="00A327C4">
            <w:pPr>
              <w:rPr>
                <w:rFonts w:ascii="Arial" w:hAnsi="Arial" w:cs="Arial"/>
              </w:rPr>
            </w:pPr>
            <w:r w:rsidRPr="00734A3E">
              <w:rPr>
                <w:rFonts w:ascii="Arial" w:hAnsi="Arial" w:cs="Arial"/>
              </w:rPr>
              <w:t>September</w:t>
            </w:r>
          </w:p>
        </w:tc>
        <w:tc>
          <w:tcPr>
            <w:tcW w:w="1803" w:type="dxa"/>
          </w:tcPr>
          <w:p w14:paraId="11EAC68B" w14:textId="77777777" w:rsidR="00734A3E" w:rsidRPr="00734A3E" w:rsidRDefault="00734A3E" w:rsidP="00A327C4">
            <w:pPr>
              <w:rPr>
                <w:rFonts w:ascii="Arial" w:hAnsi="Arial" w:cs="Arial"/>
              </w:rPr>
            </w:pPr>
            <w:r w:rsidRPr="00734A3E">
              <w:rPr>
                <w:rFonts w:ascii="Arial" w:hAnsi="Arial" w:cs="Arial"/>
              </w:rPr>
              <w:t>24.2%</w:t>
            </w:r>
          </w:p>
        </w:tc>
        <w:tc>
          <w:tcPr>
            <w:tcW w:w="1803" w:type="dxa"/>
          </w:tcPr>
          <w:p w14:paraId="76CF784B" w14:textId="77777777" w:rsidR="00734A3E" w:rsidRPr="00734A3E" w:rsidRDefault="00734A3E" w:rsidP="00A327C4">
            <w:pPr>
              <w:rPr>
                <w:rFonts w:ascii="Arial" w:hAnsi="Arial" w:cs="Arial"/>
              </w:rPr>
            </w:pPr>
            <w:r w:rsidRPr="00734A3E">
              <w:rPr>
                <w:rFonts w:ascii="Arial" w:hAnsi="Arial" w:cs="Arial"/>
              </w:rPr>
              <w:t>18.8%</w:t>
            </w:r>
          </w:p>
        </w:tc>
        <w:tc>
          <w:tcPr>
            <w:tcW w:w="1803" w:type="dxa"/>
          </w:tcPr>
          <w:p w14:paraId="1046BF1F" w14:textId="77777777" w:rsidR="00734A3E" w:rsidRPr="00734A3E" w:rsidRDefault="00734A3E" w:rsidP="00A327C4">
            <w:pPr>
              <w:rPr>
                <w:rFonts w:ascii="Arial" w:hAnsi="Arial" w:cs="Arial"/>
              </w:rPr>
            </w:pPr>
            <w:r w:rsidRPr="00734A3E">
              <w:rPr>
                <w:rFonts w:ascii="Arial" w:hAnsi="Arial" w:cs="Arial"/>
              </w:rPr>
              <w:t>21.9%</w:t>
            </w:r>
          </w:p>
        </w:tc>
      </w:tr>
      <w:tr w:rsidR="00734A3E" w:rsidRPr="00734A3E" w14:paraId="5B28E55A" w14:textId="77777777" w:rsidTr="00A327C4">
        <w:tc>
          <w:tcPr>
            <w:tcW w:w="1803" w:type="dxa"/>
          </w:tcPr>
          <w:p w14:paraId="0AE0A7A0" w14:textId="77777777" w:rsidR="00734A3E" w:rsidRPr="00734A3E" w:rsidRDefault="00734A3E" w:rsidP="00A327C4">
            <w:pPr>
              <w:rPr>
                <w:rFonts w:ascii="Arial" w:hAnsi="Arial" w:cs="Arial"/>
              </w:rPr>
            </w:pPr>
            <w:r w:rsidRPr="00734A3E">
              <w:rPr>
                <w:rFonts w:ascii="Arial" w:hAnsi="Arial" w:cs="Arial"/>
              </w:rPr>
              <w:t>October</w:t>
            </w:r>
          </w:p>
        </w:tc>
        <w:tc>
          <w:tcPr>
            <w:tcW w:w="1803" w:type="dxa"/>
          </w:tcPr>
          <w:p w14:paraId="678B4C4F" w14:textId="77777777" w:rsidR="00734A3E" w:rsidRPr="00734A3E" w:rsidRDefault="00734A3E" w:rsidP="00A327C4">
            <w:pPr>
              <w:rPr>
                <w:rFonts w:ascii="Arial" w:hAnsi="Arial" w:cs="Arial"/>
              </w:rPr>
            </w:pPr>
            <w:r w:rsidRPr="00734A3E">
              <w:rPr>
                <w:rFonts w:ascii="Arial" w:hAnsi="Arial" w:cs="Arial"/>
              </w:rPr>
              <w:t>14.8%</w:t>
            </w:r>
          </w:p>
        </w:tc>
        <w:tc>
          <w:tcPr>
            <w:tcW w:w="1803" w:type="dxa"/>
          </w:tcPr>
          <w:p w14:paraId="65FB72D3" w14:textId="77777777" w:rsidR="00734A3E" w:rsidRPr="00734A3E" w:rsidRDefault="00734A3E" w:rsidP="00A327C4">
            <w:pPr>
              <w:rPr>
                <w:rFonts w:ascii="Arial" w:hAnsi="Arial" w:cs="Arial"/>
              </w:rPr>
            </w:pPr>
            <w:r w:rsidRPr="00734A3E">
              <w:rPr>
                <w:rFonts w:ascii="Arial" w:hAnsi="Arial" w:cs="Arial"/>
              </w:rPr>
              <w:t>14.3%</w:t>
            </w:r>
          </w:p>
        </w:tc>
        <w:tc>
          <w:tcPr>
            <w:tcW w:w="1803" w:type="dxa"/>
          </w:tcPr>
          <w:p w14:paraId="7A70F9B7" w14:textId="77777777" w:rsidR="00734A3E" w:rsidRPr="00734A3E" w:rsidRDefault="00734A3E" w:rsidP="00A327C4">
            <w:pPr>
              <w:rPr>
                <w:rFonts w:ascii="Arial" w:hAnsi="Arial" w:cs="Arial"/>
              </w:rPr>
            </w:pPr>
            <w:r w:rsidRPr="00734A3E">
              <w:rPr>
                <w:rFonts w:ascii="Arial" w:hAnsi="Arial" w:cs="Arial"/>
              </w:rPr>
              <w:t>14.5%</w:t>
            </w:r>
          </w:p>
        </w:tc>
      </w:tr>
      <w:tr w:rsidR="00734A3E" w:rsidRPr="00734A3E" w14:paraId="7779164D" w14:textId="77777777" w:rsidTr="00A327C4">
        <w:tc>
          <w:tcPr>
            <w:tcW w:w="1803" w:type="dxa"/>
          </w:tcPr>
          <w:p w14:paraId="4AF3A1E9" w14:textId="77777777" w:rsidR="00734A3E" w:rsidRPr="00734A3E" w:rsidRDefault="00734A3E" w:rsidP="00A327C4">
            <w:pPr>
              <w:rPr>
                <w:rFonts w:ascii="Arial" w:hAnsi="Arial" w:cs="Arial"/>
                <w:b/>
              </w:rPr>
            </w:pPr>
            <w:r w:rsidRPr="00734A3E">
              <w:rPr>
                <w:rFonts w:ascii="Arial" w:hAnsi="Arial" w:cs="Arial"/>
                <w:b/>
              </w:rPr>
              <w:t>Total Average</w:t>
            </w:r>
          </w:p>
        </w:tc>
        <w:tc>
          <w:tcPr>
            <w:tcW w:w="1803" w:type="dxa"/>
          </w:tcPr>
          <w:p w14:paraId="7F9736EA" w14:textId="77777777" w:rsidR="00734A3E" w:rsidRPr="00734A3E" w:rsidRDefault="00734A3E" w:rsidP="00A327C4">
            <w:pPr>
              <w:rPr>
                <w:rFonts w:ascii="Arial" w:hAnsi="Arial" w:cs="Arial"/>
                <w:b/>
              </w:rPr>
            </w:pPr>
            <w:r w:rsidRPr="00734A3E">
              <w:rPr>
                <w:rFonts w:ascii="Arial" w:hAnsi="Arial" w:cs="Arial"/>
                <w:b/>
              </w:rPr>
              <w:t>16.8%</w:t>
            </w:r>
          </w:p>
        </w:tc>
        <w:tc>
          <w:tcPr>
            <w:tcW w:w="1803" w:type="dxa"/>
          </w:tcPr>
          <w:p w14:paraId="6722B5F4" w14:textId="77777777" w:rsidR="00734A3E" w:rsidRPr="00734A3E" w:rsidRDefault="00734A3E" w:rsidP="00A327C4">
            <w:pPr>
              <w:rPr>
                <w:rFonts w:ascii="Arial" w:hAnsi="Arial" w:cs="Arial"/>
                <w:b/>
              </w:rPr>
            </w:pPr>
            <w:r w:rsidRPr="00734A3E">
              <w:rPr>
                <w:rFonts w:ascii="Arial" w:hAnsi="Arial" w:cs="Arial"/>
                <w:b/>
              </w:rPr>
              <w:t>17.2%</w:t>
            </w:r>
          </w:p>
        </w:tc>
        <w:tc>
          <w:tcPr>
            <w:tcW w:w="1803" w:type="dxa"/>
          </w:tcPr>
          <w:p w14:paraId="39AB30BA" w14:textId="77777777" w:rsidR="00734A3E" w:rsidRPr="00734A3E" w:rsidRDefault="00734A3E" w:rsidP="00A327C4">
            <w:pPr>
              <w:rPr>
                <w:rFonts w:ascii="Arial" w:hAnsi="Arial" w:cs="Arial"/>
                <w:b/>
              </w:rPr>
            </w:pPr>
            <w:r w:rsidRPr="00734A3E">
              <w:rPr>
                <w:rFonts w:ascii="Arial" w:hAnsi="Arial" w:cs="Arial"/>
                <w:b/>
              </w:rPr>
              <w:t>17.1%</w:t>
            </w:r>
          </w:p>
        </w:tc>
      </w:tr>
    </w:tbl>
    <w:p w14:paraId="07E10AA7" w14:textId="2E89B3B1" w:rsidR="002B0B2D" w:rsidRPr="0004482C" w:rsidRDefault="002B0B2D" w:rsidP="00734A3E">
      <w:pPr>
        <w:contextualSpacing/>
        <w:rPr>
          <w:rFonts w:ascii="Arial" w:hAnsi="Arial" w:cs="Arial"/>
        </w:rPr>
      </w:pPr>
    </w:p>
    <w:p w14:paraId="27015794" w14:textId="77777777" w:rsidR="0004482C" w:rsidRPr="0004482C" w:rsidRDefault="0004482C" w:rsidP="0004482C">
      <w:pPr>
        <w:rPr>
          <w:rFonts w:ascii="Arial" w:hAnsi="Arial" w:cs="Arial"/>
        </w:rPr>
      </w:pPr>
      <w:r w:rsidRPr="0004482C">
        <w:rPr>
          <w:rFonts w:ascii="Arial" w:hAnsi="Arial" w:cs="Arial"/>
        </w:rPr>
        <w:t>Several key improvements were implemented during 2024–25, including:</w:t>
      </w:r>
    </w:p>
    <w:p w14:paraId="79898AD9" w14:textId="77777777" w:rsidR="0004482C" w:rsidRPr="0004482C" w:rsidRDefault="0004482C" w:rsidP="0004482C">
      <w:pPr>
        <w:pStyle w:val="ListParagraph"/>
        <w:numPr>
          <w:ilvl w:val="0"/>
          <w:numId w:val="20"/>
        </w:numPr>
        <w:suppressAutoHyphens w:val="0"/>
        <w:autoSpaceDN/>
        <w:textAlignment w:val="auto"/>
        <w:rPr>
          <w:rFonts w:ascii="Arial" w:hAnsi="Arial" w:cs="Arial"/>
        </w:rPr>
      </w:pPr>
      <w:r w:rsidRPr="0004482C">
        <w:rPr>
          <w:rFonts w:ascii="Arial" w:hAnsi="Arial" w:cs="Arial"/>
          <w:b/>
          <w:bCs/>
        </w:rPr>
        <w:t>Standardisation of dressings</w:t>
      </w:r>
      <w:r w:rsidRPr="0004482C">
        <w:rPr>
          <w:rFonts w:ascii="Arial" w:hAnsi="Arial" w:cs="Arial"/>
        </w:rPr>
        <w:t xml:space="preserve"> used for patients undergoing Total Hip Replacement (THR) and Total Knee Replacement (TKR) surgeries.</w:t>
      </w:r>
    </w:p>
    <w:p w14:paraId="2CA0AEFA" w14:textId="77777777" w:rsidR="0004482C" w:rsidRPr="0004482C" w:rsidRDefault="0004482C" w:rsidP="0004482C">
      <w:pPr>
        <w:pStyle w:val="ListParagraph"/>
        <w:numPr>
          <w:ilvl w:val="0"/>
          <w:numId w:val="20"/>
        </w:numPr>
        <w:suppressAutoHyphens w:val="0"/>
        <w:autoSpaceDN/>
        <w:textAlignment w:val="auto"/>
        <w:rPr>
          <w:rFonts w:ascii="Arial" w:hAnsi="Arial" w:cs="Arial"/>
        </w:rPr>
      </w:pPr>
      <w:r w:rsidRPr="0004482C">
        <w:rPr>
          <w:rFonts w:ascii="Arial" w:hAnsi="Arial" w:cs="Arial"/>
          <w:b/>
          <w:bCs/>
        </w:rPr>
        <w:t>Wound management training sessions</w:t>
      </w:r>
      <w:r w:rsidRPr="0004482C">
        <w:rPr>
          <w:rFonts w:ascii="Arial" w:hAnsi="Arial" w:cs="Arial"/>
        </w:rPr>
        <w:t xml:space="preserve"> delivered by the Tissue Viability and Infection Prevention and Control teams.</w:t>
      </w:r>
    </w:p>
    <w:p w14:paraId="2B65884F" w14:textId="77777777" w:rsidR="0004482C" w:rsidRPr="0004482C" w:rsidRDefault="0004482C" w:rsidP="0004482C">
      <w:pPr>
        <w:pStyle w:val="ListParagraph"/>
        <w:numPr>
          <w:ilvl w:val="0"/>
          <w:numId w:val="20"/>
        </w:numPr>
        <w:suppressAutoHyphens w:val="0"/>
        <w:autoSpaceDN/>
        <w:textAlignment w:val="auto"/>
        <w:rPr>
          <w:rFonts w:ascii="Arial" w:hAnsi="Arial" w:cs="Arial"/>
        </w:rPr>
      </w:pPr>
      <w:r w:rsidRPr="0004482C">
        <w:rPr>
          <w:rFonts w:ascii="Arial" w:hAnsi="Arial" w:cs="Arial"/>
          <w:b/>
          <w:bCs/>
        </w:rPr>
        <w:t>SSI-related training and awareness activities</w:t>
      </w:r>
      <w:r w:rsidRPr="0004482C">
        <w:rPr>
          <w:rFonts w:ascii="Arial" w:hAnsi="Arial" w:cs="Arial"/>
        </w:rPr>
        <w:t xml:space="preserve"> conducted across all three hospital sites.</w:t>
      </w:r>
    </w:p>
    <w:p w14:paraId="712B1038" w14:textId="77777777" w:rsidR="0004482C" w:rsidRPr="0004482C" w:rsidRDefault="0004482C" w:rsidP="0004482C">
      <w:pPr>
        <w:pStyle w:val="ListParagraph"/>
        <w:numPr>
          <w:ilvl w:val="0"/>
          <w:numId w:val="20"/>
        </w:numPr>
        <w:suppressAutoHyphens w:val="0"/>
        <w:autoSpaceDN/>
        <w:textAlignment w:val="auto"/>
        <w:rPr>
          <w:rFonts w:ascii="Arial" w:hAnsi="Arial" w:cs="Arial"/>
        </w:rPr>
      </w:pPr>
      <w:r w:rsidRPr="0004482C">
        <w:rPr>
          <w:rFonts w:ascii="Arial" w:hAnsi="Arial" w:cs="Arial"/>
          <w:b/>
          <w:bCs/>
        </w:rPr>
        <w:t>Wound care leaflets</w:t>
      </w:r>
      <w:r w:rsidRPr="0004482C">
        <w:rPr>
          <w:rFonts w:ascii="Arial" w:hAnsi="Arial" w:cs="Arial"/>
        </w:rPr>
        <w:t xml:space="preserve"> provided to patients upon discharge.</w:t>
      </w:r>
    </w:p>
    <w:p w14:paraId="1C1A262A" w14:textId="77777777" w:rsidR="0004482C" w:rsidRPr="0004482C" w:rsidRDefault="0004482C" w:rsidP="0004482C">
      <w:pPr>
        <w:pStyle w:val="ListParagraph"/>
        <w:numPr>
          <w:ilvl w:val="0"/>
          <w:numId w:val="20"/>
        </w:numPr>
        <w:suppressAutoHyphens w:val="0"/>
        <w:autoSpaceDN/>
        <w:textAlignment w:val="auto"/>
        <w:rPr>
          <w:rFonts w:ascii="Arial" w:hAnsi="Arial" w:cs="Arial"/>
        </w:rPr>
      </w:pPr>
      <w:r w:rsidRPr="0004482C">
        <w:rPr>
          <w:rFonts w:ascii="Arial" w:hAnsi="Arial" w:cs="Arial"/>
          <w:b/>
          <w:bCs/>
        </w:rPr>
        <w:lastRenderedPageBreak/>
        <w:t>Patient information leaflets</w:t>
      </w:r>
      <w:r w:rsidRPr="0004482C">
        <w:rPr>
          <w:rFonts w:ascii="Arial" w:hAnsi="Arial" w:cs="Arial"/>
        </w:rPr>
        <w:t xml:space="preserve"> developed for those undergoing THR and TKR; the leaflet for NOF patients is in the final stages of approval.</w:t>
      </w:r>
    </w:p>
    <w:p w14:paraId="3236C970" w14:textId="77777777" w:rsidR="0004482C" w:rsidRPr="0004482C" w:rsidRDefault="0004482C" w:rsidP="0004482C">
      <w:pPr>
        <w:pStyle w:val="ListParagraph"/>
        <w:numPr>
          <w:ilvl w:val="0"/>
          <w:numId w:val="20"/>
        </w:numPr>
        <w:suppressAutoHyphens w:val="0"/>
        <w:autoSpaceDN/>
        <w:textAlignment w:val="auto"/>
        <w:rPr>
          <w:rFonts w:ascii="Arial" w:hAnsi="Arial" w:cs="Arial"/>
        </w:rPr>
      </w:pPr>
      <w:r w:rsidRPr="0004482C">
        <w:rPr>
          <w:rFonts w:ascii="Arial" w:hAnsi="Arial" w:cs="Arial"/>
          <w:b/>
          <w:bCs/>
        </w:rPr>
        <w:t>Theatre teams’ adoption of AfPP audit tools</w:t>
      </w:r>
      <w:r w:rsidRPr="0004482C">
        <w:rPr>
          <w:rFonts w:ascii="Arial" w:hAnsi="Arial" w:cs="Arial"/>
        </w:rPr>
        <w:t xml:space="preserve"> to enhance perioperative practice.</w:t>
      </w:r>
    </w:p>
    <w:p w14:paraId="7ADA9FA8" w14:textId="77777777" w:rsidR="0004482C" w:rsidRPr="0004482C" w:rsidRDefault="0004482C" w:rsidP="0004482C">
      <w:pPr>
        <w:pStyle w:val="ListParagraph"/>
        <w:numPr>
          <w:ilvl w:val="0"/>
          <w:numId w:val="20"/>
        </w:numPr>
        <w:suppressAutoHyphens w:val="0"/>
        <w:autoSpaceDN/>
        <w:textAlignment w:val="auto"/>
        <w:rPr>
          <w:rFonts w:ascii="Arial" w:hAnsi="Arial" w:cs="Arial"/>
        </w:rPr>
      </w:pPr>
      <w:r w:rsidRPr="0004482C">
        <w:rPr>
          <w:rFonts w:ascii="Arial" w:hAnsi="Arial" w:cs="Arial"/>
          <w:b/>
          <w:bCs/>
        </w:rPr>
        <w:t>Establishment of a pre-operative washing process</w:t>
      </w:r>
      <w:r w:rsidRPr="0004482C">
        <w:rPr>
          <w:rFonts w:ascii="Arial" w:hAnsi="Arial" w:cs="Arial"/>
        </w:rPr>
        <w:t xml:space="preserve"> for patients undergoing NOF repair, with corresponding documentation in place.</w:t>
      </w:r>
    </w:p>
    <w:p w14:paraId="73BF58D3" w14:textId="0574EFEB" w:rsidR="00734A3E" w:rsidRPr="0004482C" w:rsidRDefault="0004482C" w:rsidP="0004482C">
      <w:pPr>
        <w:pStyle w:val="ListParagraph"/>
        <w:numPr>
          <w:ilvl w:val="0"/>
          <w:numId w:val="20"/>
        </w:numPr>
        <w:suppressAutoHyphens w:val="0"/>
        <w:autoSpaceDN/>
        <w:textAlignment w:val="auto"/>
        <w:rPr>
          <w:rFonts w:ascii="Arial" w:hAnsi="Arial" w:cs="Arial"/>
        </w:rPr>
      </w:pPr>
      <w:r w:rsidRPr="0004482C">
        <w:rPr>
          <w:rFonts w:ascii="Arial" w:hAnsi="Arial" w:cs="Arial"/>
          <w:b/>
          <w:bCs/>
        </w:rPr>
        <w:t>Commissioning and use of antimicrobial sutures</w:t>
      </w:r>
      <w:r w:rsidRPr="0004482C">
        <w:rPr>
          <w:rFonts w:ascii="Arial" w:hAnsi="Arial" w:cs="Arial"/>
        </w:rPr>
        <w:t xml:space="preserve"> across all three sites.</w:t>
      </w:r>
    </w:p>
    <w:p w14:paraId="6E9C49BD" w14:textId="7CC5D576" w:rsidR="0088530F" w:rsidRPr="0004482C" w:rsidRDefault="0088530F" w:rsidP="0004482C">
      <w:pPr>
        <w:jc w:val="both"/>
        <w:rPr>
          <w:rFonts w:ascii="Arial" w:hAnsi="Arial" w:cs="Arial"/>
        </w:rPr>
      </w:pPr>
    </w:p>
    <w:p w14:paraId="613C4BC5" w14:textId="0286B3E6" w:rsidR="0088530F" w:rsidRPr="00157192" w:rsidRDefault="000B24D6" w:rsidP="000B24D6">
      <w:pPr>
        <w:pStyle w:val="Heading2"/>
      </w:pPr>
      <w:r>
        <w:t xml:space="preserve">14. </w:t>
      </w:r>
      <w:r w:rsidR="0088530F" w:rsidRPr="00157192">
        <w:t>Conclusion</w:t>
      </w:r>
    </w:p>
    <w:p w14:paraId="63E75FA0" w14:textId="77777777" w:rsidR="0088530F" w:rsidRPr="0004482C" w:rsidRDefault="0088530F" w:rsidP="0088530F">
      <w:pPr>
        <w:jc w:val="both"/>
        <w:rPr>
          <w:rStyle w:val="apple-converted-space"/>
          <w:rFonts w:ascii="Arial" w:hAnsi="Arial" w:cs="Arial"/>
        </w:rPr>
      </w:pPr>
    </w:p>
    <w:p w14:paraId="0882743B" w14:textId="77777777" w:rsidR="00616934" w:rsidRDefault="0056547A" w:rsidP="0056547A">
      <w:pPr>
        <w:rPr>
          <w:rFonts w:ascii="Arial" w:hAnsi="Arial" w:cs="Arial"/>
        </w:rPr>
      </w:pPr>
      <w:r w:rsidRPr="0056547A">
        <w:rPr>
          <w:rFonts w:ascii="Arial" w:hAnsi="Arial" w:cs="Arial"/>
        </w:rPr>
        <w:t xml:space="preserve">There has been a strong and sustained focus on IPC </w:t>
      </w:r>
      <w:r w:rsidR="005B49FE">
        <w:rPr>
          <w:rFonts w:ascii="Arial" w:hAnsi="Arial" w:cs="Arial"/>
        </w:rPr>
        <w:t>and antimicrobial stewardship</w:t>
      </w:r>
      <w:r w:rsidR="002F1FE6">
        <w:rPr>
          <w:rFonts w:ascii="Arial" w:hAnsi="Arial" w:cs="Arial"/>
        </w:rPr>
        <w:t xml:space="preserve"> </w:t>
      </w:r>
      <w:r w:rsidRPr="0056547A">
        <w:rPr>
          <w:rFonts w:ascii="Arial" w:hAnsi="Arial" w:cs="Arial"/>
        </w:rPr>
        <w:t xml:space="preserve">during the last twelve months and there has been </w:t>
      </w:r>
      <w:r w:rsidR="00420732">
        <w:rPr>
          <w:rFonts w:ascii="Arial" w:hAnsi="Arial" w:cs="Arial"/>
        </w:rPr>
        <w:t xml:space="preserve">significant </w:t>
      </w:r>
      <w:r w:rsidRPr="0056547A">
        <w:rPr>
          <w:rFonts w:ascii="Arial" w:hAnsi="Arial" w:cs="Arial"/>
        </w:rPr>
        <w:t xml:space="preserve">progress, despite the context of extreme operational pressures, and </w:t>
      </w:r>
      <w:r w:rsidR="00420732">
        <w:rPr>
          <w:rFonts w:ascii="Arial" w:hAnsi="Arial" w:cs="Arial"/>
        </w:rPr>
        <w:t>challenging outbreaks of Norovirus at both the William Harvey and Queen Elizabeth Queen Mother hospitals</w:t>
      </w:r>
      <w:r w:rsidR="00E5549B">
        <w:rPr>
          <w:rFonts w:ascii="Arial" w:hAnsi="Arial" w:cs="Arial"/>
        </w:rPr>
        <w:t xml:space="preserve">. The Trusts aging estate </w:t>
      </w:r>
      <w:r w:rsidR="00420732">
        <w:rPr>
          <w:rFonts w:ascii="Arial" w:hAnsi="Arial" w:cs="Arial"/>
        </w:rPr>
        <w:t>continues to cause significant</w:t>
      </w:r>
      <w:r w:rsidR="00E5549B">
        <w:rPr>
          <w:rFonts w:ascii="Arial" w:hAnsi="Arial" w:cs="Arial"/>
        </w:rPr>
        <w:t xml:space="preserve"> impact on the ability of the staff to be able to effectively clean, and manage care in a </w:t>
      </w:r>
      <w:r w:rsidR="00EA6C76">
        <w:rPr>
          <w:rFonts w:ascii="Arial" w:hAnsi="Arial" w:cs="Arial"/>
        </w:rPr>
        <w:t>safe environment, and this remains a key focus going forward</w:t>
      </w:r>
      <w:r w:rsidR="00420732">
        <w:rPr>
          <w:rFonts w:ascii="Arial" w:hAnsi="Arial" w:cs="Arial"/>
        </w:rPr>
        <w:t xml:space="preserve"> with the CLEAN campaign</w:t>
      </w:r>
      <w:r w:rsidR="00EA6C76">
        <w:rPr>
          <w:rFonts w:ascii="Arial" w:hAnsi="Arial" w:cs="Arial"/>
        </w:rPr>
        <w:t>.</w:t>
      </w:r>
      <w:r w:rsidRPr="0056547A">
        <w:rPr>
          <w:rFonts w:ascii="Arial" w:hAnsi="Arial" w:cs="Arial"/>
        </w:rPr>
        <w:t xml:space="preserve"> The IPC and antimicrobial stewardship teams are established and work continuously to improve practice and outcomes for patients and staff.</w:t>
      </w:r>
    </w:p>
    <w:p w14:paraId="4B89F7F9" w14:textId="211D9FA6" w:rsidR="0056547A" w:rsidRPr="0056547A" w:rsidRDefault="00616934" w:rsidP="0056547A">
      <w:pPr>
        <w:rPr>
          <w:rFonts w:ascii="Arial" w:hAnsi="Arial" w:cs="Arial"/>
          <w:color w:val="FF0000"/>
        </w:rPr>
      </w:pPr>
      <w:r w:rsidRPr="0056547A">
        <w:rPr>
          <w:rFonts w:ascii="Arial" w:hAnsi="Arial" w:cs="Arial"/>
          <w:color w:val="FF0000"/>
        </w:rPr>
        <w:t xml:space="preserve"> </w:t>
      </w:r>
    </w:p>
    <w:p w14:paraId="06FAE407" w14:textId="77777777" w:rsidR="0056547A" w:rsidRPr="0056547A" w:rsidRDefault="0056547A" w:rsidP="0056547A">
      <w:pPr>
        <w:rPr>
          <w:rFonts w:ascii="Arial" w:hAnsi="Arial" w:cs="Arial"/>
        </w:rPr>
      </w:pPr>
      <w:r w:rsidRPr="0056547A">
        <w:rPr>
          <w:rFonts w:ascii="Arial" w:hAnsi="Arial" w:cs="Arial"/>
        </w:rPr>
        <w:t>In the last year we have:</w:t>
      </w:r>
    </w:p>
    <w:p w14:paraId="620A887A" w14:textId="77777777" w:rsidR="0056547A" w:rsidRPr="0056547A" w:rsidRDefault="0056547A" w:rsidP="0056547A">
      <w:pPr>
        <w:rPr>
          <w:rFonts w:ascii="Arial" w:hAnsi="Arial" w:cs="Arial"/>
        </w:rPr>
      </w:pPr>
    </w:p>
    <w:p w14:paraId="4922A967" w14:textId="38321B16" w:rsidR="0056547A" w:rsidRPr="0056547A" w:rsidRDefault="00420732" w:rsidP="0056547A">
      <w:pPr>
        <w:numPr>
          <w:ilvl w:val="0"/>
          <w:numId w:val="16"/>
        </w:numPr>
        <w:suppressAutoHyphens w:val="0"/>
        <w:autoSpaceDN/>
        <w:spacing w:after="160" w:line="259" w:lineRule="auto"/>
        <w:contextualSpacing/>
        <w:textAlignment w:val="auto"/>
        <w:rPr>
          <w:rFonts w:ascii="Arial" w:hAnsi="Arial" w:cs="Arial"/>
        </w:rPr>
      </w:pPr>
      <w:r>
        <w:rPr>
          <w:rFonts w:ascii="Arial" w:hAnsi="Arial" w:cs="Arial"/>
        </w:rPr>
        <w:t>Maintained a fully established team, with the exception of one team member (band 6 IPC charge nurse) leaving</w:t>
      </w:r>
      <w:r w:rsidR="005E3F0F">
        <w:rPr>
          <w:rFonts w:ascii="Arial" w:hAnsi="Arial" w:cs="Arial"/>
        </w:rPr>
        <w:t xml:space="preserve"> for promotion</w:t>
      </w:r>
      <w:r>
        <w:rPr>
          <w:rFonts w:ascii="Arial" w:hAnsi="Arial" w:cs="Arial"/>
        </w:rPr>
        <w:t>, however, there was a successful recruitment into this position.</w:t>
      </w:r>
    </w:p>
    <w:p w14:paraId="51C9C2A3" w14:textId="2AE2EB92" w:rsidR="0056547A" w:rsidRPr="0056547A" w:rsidRDefault="0056547A" w:rsidP="0056547A">
      <w:pPr>
        <w:numPr>
          <w:ilvl w:val="0"/>
          <w:numId w:val="16"/>
        </w:numPr>
        <w:suppressAutoHyphens w:val="0"/>
        <w:autoSpaceDN/>
        <w:spacing w:after="160" w:line="259" w:lineRule="auto"/>
        <w:contextualSpacing/>
        <w:textAlignment w:val="auto"/>
        <w:rPr>
          <w:rFonts w:ascii="Arial" w:hAnsi="Arial" w:cs="Arial"/>
        </w:rPr>
      </w:pPr>
      <w:r w:rsidRPr="0056547A">
        <w:rPr>
          <w:rFonts w:ascii="Arial" w:hAnsi="Arial" w:cs="Arial"/>
        </w:rPr>
        <w:t xml:space="preserve">Reviewed the </w:t>
      </w:r>
      <w:r w:rsidR="00760021">
        <w:rPr>
          <w:rFonts w:ascii="Arial" w:hAnsi="Arial" w:cs="Arial"/>
        </w:rPr>
        <w:t xml:space="preserve">IPC </w:t>
      </w:r>
      <w:r w:rsidRPr="0056547A">
        <w:rPr>
          <w:rFonts w:ascii="Arial" w:hAnsi="Arial" w:cs="Arial"/>
        </w:rPr>
        <w:t>training needs and education for all trust staff.</w:t>
      </w:r>
    </w:p>
    <w:p w14:paraId="443CC879" w14:textId="3A48B66B" w:rsidR="0056547A" w:rsidRDefault="00420732" w:rsidP="0056547A">
      <w:pPr>
        <w:numPr>
          <w:ilvl w:val="0"/>
          <w:numId w:val="16"/>
        </w:numPr>
        <w:suppressAutoHyphens w:val="0"/>
        <w:autoSpaceDN/>
        <w:spacing w:after="160" w:line="259" w:lineRule="auto"/>
        <w:contextualSpacing/>
        <w:textAlignment w:val="auto"/>
        <w:rPr>
          <w:rFonts w:ascii="Arial" w:hAnsi="Arial" w:cs="Arial"/>
        </w:rPr>
      </w:pPr>
      <w:r>
        <w:rPr>
          <w:rFonts w:ascii="Arial" w:hAnsi="Arial" w:cs="Arial"/>
        </w:rPr>
        <w:t xml:space="preserve">Successful </w:t>
      </w:r>
      <w:r w:rsidR="005E3F0F">
        <w:rPr>
          <w:rFonts w:ascii="Arial" w:hAnsi="Arial" w:cs="Arial"/>
        </w:rPr>
        <w:t>continued</w:t>
      </w:r>
      <w:r w:rsidR="0056547A" w:rsidRPr="0056547A">
        <w:rPr>
          <w:rFonts w:ascii="Arial" w:hAnsi="Arial" w:cs="Arial"/>
        </w:rPr>
        <w:t xml:space="preserve"> the IPC Link Practitioner programme</w:t>
      </w:r>
      <w:r>
        <w:rPr>
          <w:rFonts w:ascii="Arial" w:hAnsi="Arial" w:cs="Arial"/>
        </w:rPr>
        <w:t>.</w:t>
      </w:r>
    </w:p>
    <w:p w14:paraId="6A400501" w14:textId="128B0343" w:rsidR="00420732" w:rsidRPr="0056547A" w:rsidRDefault="00420732" w:rsidP="0056547A">
      <w:pPr>
        <w:numPr>
          <w:ilvl w:val="0"/>
          <w:numId w:val="16"/>
        </w:numPr>
        <w:suppressAutoHyphens w:val="0"/>
        <w:autoSpaceDN/>
        <w:spacing w:after="160" w:line="259" w:lineRule="auto"/>
        <w:contextualSpacing/>
        <w:textAlignment w:val="auto"/>
        <w:rPr>
          <w:rFonts w:ascii="Arial" w:hAnsi="Arial" w:cs="Arial"/>
        </w:rPr>
      </w:pPr>
      <w:r>
        <w:rPr>
          <w:rFonts w:ascii="Arial" w:hAnsi="Arial" w:cs="Arial"/>
        </w:rPr>
        <w:t>I</w:t>
      </w:r>
      <w:r w:rsidR="005E3F0F">
        <w:rPr>
          <w:rFonts w:ascii="Arial" w:hAnsi="Arial" w:cs="Arial"/>
        </w:rPr>
        <w:t xml:space="preserve">mplemented  </w:t>
      </w:r>
      <w:r>
        <w:rPr>
          <w:rFonts w:ascii="Arial" w:hAnsi="Arial" w:cs="Arial"/>
        </w:rPr>
        <w:t>care group/site lead IPC</w:t>
      </w:r>
      <w:r w:rsidR="001E36E6">
        <w:rPr>
          <w:rFonts w:ascii="Arial" w:hAnsi="Arial" w:cs="Arial"/>
        </w:rPr>
        <w:t xml:space="preserve"> meetings focusing on operational issues associated with IPC.</w:t>
      </w:r>
    </w:p>
    <w:p w14:paraId="38BC6A0B" w14:textId="782BE8AD" w:rsidR="0056547A" w:rsidRPr="0056547A" w:rsidRDefault="00420732" w:rsidP="0056547A">
      <w:pPr>
        <w:numPr>
          <w:ilvl w:val="0"/>
          <w:numId w:val="16"/>
        </w:numPr>
        <w:suppressAutoHyphens w:val="0"/>
        <w:autoSpaceDN/>
        <w:spacing w:after="160" w:line="259" w:lineRule="auto"/>
        <w:contextualSpacing/>
        <w:textAlignment w:val="auto"/>
        <w:rPr>
          <w:rFonts w:ascii="Arial" w:hAnsi="Arial" w:cs="Arial"/>
        </w:rPr>
      </w:pPr>
      <w:r>
        <w:rPr>
          <w:rFonts w:ascii="Arial" w:hAnsi="Arial" w:cs="Arial"/>
        </w:rPr>
        <w:t>Continued to implement the standards</w:t>
      </w:r>
      <w:r w:rsidR="0056547A" w:rsidRPr="0056547A">
        <w:rPr>
          <w:rFonts w:ascii="Arial" w:hAnsi="Arial" w:cs="Arial"/>
        </w:rPr>
        <w:t xml:space="preserve"> of the National Infection Prevention and Control Manual (NIPCM)</w:t>
      </w:r>
      <w:r>
        <w:rPr>
          <w:rFonts w:ascii="Arial" w:hAnsi="Arial" w:cs="Arial"/>
        </w:rPr>
        <w:t>.</w:t>
      </w:r>
    </w:p>
    <w:p w14:paraId="2F3CF4F3" w14:textId="238835D0" w:rsidR="0056547A" w:rsidRPr="0056547A" w:rsidRDefault="00420732" w:rsidP="0056547A">
      <w:pPr>
        <w:numPr>
          <w:ilvl w:val="0"/>
          <w:numId w:val="16"/>
        </w:numPr>
        <w:suppressAutoHyphens w:val="0"/>
        <w:autoSpaceDN/>
        <w:spacing w:after="160" w:line="259" w:lineRule="auto"/>
        <w:contextualSpacing/>
        <w:textAlignment w:val="auto"/>
        <w:rPr>
          <w:rFonts w:ascii="Arial" w:hAnsi="Arial" w:cs="Arial"/>
        </w:rPr>
      </w:pPr>
      <w:r>
        <w:rPr>
          <w:rFonts w:ascii="Arial" w:hAnsi="Arial" w:cs="Arial"/>
        </w:rPr>
        <w:t xml:space="preserve">Revised the governance structure for </w:t>
      </w:r>
      <w:r w:rsidR="001E36E6">
        <w:rPr>
          <w:rFonts w:ascii="Arial" w:hAnsi="Arial" w:cs="Arial"/>
        </w:rPr>
        <w:t xml:space="preserve">the </w:t>
      </w:r>
      <w:r>
        <w:rPr>
          <w:rFonts w:ascii="Arial" w:hAnsi="Arial" w:cs="Arial"/>
        </w:rPr>
        <w:t>water safety</w:t>
      </w:r>
      <w:r w:rsidR="001E36E6">
        <w:rPr>
          <w:rFonts w:ascii="Arial" w:hAnsi="Arial" w:cs="Arial"/>
        </w:rPr>
        <w:t xml:space="preserve"> </w:t>
      </w:r>
      <w:r w:rsidR="005E3F0F">
        <w:rPr>
          <w:rFonts w:ascii="Arial" w:hAnsi="Arial" w:cs="Arial"/>
        </w:rPr>
        <w:t xml:space="preserve">and ventilation safety </w:t>
      </w:r>
      <w:r w:rsidR="001E36E6">
        <w:rPr>
          <w:rFonts w:ascii="Arial" w:hAnsi="Arial" w:cs="Arial"/>
        </w:rPr>
        <w:t>group</w:t>
      </w:r>
      <w:r w:rsidR="005E3F0F">
        <w:rPr>
          <w:rFonts w:ascii="Arial" w:hAnsi="Arial" w:cs="Arial"/>
        </w:rPr>
        <w:t>s</w:t>
      </w:r>
      <w:r w:rsidR="001E36E6">
        <w:rPr>
          <w:rFonts w:ascii="Arial" w:hAnsi="Arial" w:cs="Arial"/>
        </w:rPr>
        <w:t>.</w:t>
      </w:r>
    </w:p>
    <w:p w14:paraId="508DD6A8" w14:textId="77777777" w:rsidR="0056547A" w:rsidRPr="0056547A" w:rsidRDefault="0056547A" w:rsidP="0056547A">
      <w:pPr>
        <w:numPr>
          <w:ilvl w:val="0"/>
          <w:numId w:val="16"/>
        </w:numPr>
        <w:suppressAutoHyphens w:val="0"/>
        <w:autoSpaceDN/>
        <w:spacing w:after="160" w:line="259" w:lineRule="auto"/>
        <w:contextualSpacing/>
        <w:textAlignment w:val="auto"/>
        <w:rPr>
          <w:rFonts w:ascii="Arial" w:hAnsi="Arial" w:cs="Arial"/>
        </w:rPr>
      </w:pPr>
      <w:r w:rsidRPr="0056547A">
        <w:rPr>
          <w:rFonts w:ascii="Arial" w:hAnsi="Arial" w:cs="Arial"/>
        </w:rPr>
        <w:t>Revised the IPC Business Continuity Plans.</w:t>
      </w:r>
    </w:p>
    <w:p w14:paraId="6C70D6B3" w14:textId="7A08D364" w:rsidR="0056547A" w:rsidRPr="0056547A" w:rsidRDefault="0056547A" w:rsidP="0056547A">
      <w:pPr>
        <w:numPr>
          <w:ilvl w:val="0"/>
          <w:numId w:val="16"/>
        </w:numPr>
        <w:suppressAutoHyphens w:val="0"/>
        <w:autoSpaceDN/>
        <w:spacing w:after="160" w:line="259" w:lineRule="auto"/>
        <w:contextualSpacing/>
        <w:textAlignment w:val="auto"/>
        <w:rPr>
          <w:rFonts w:ascii="Arial" w:hAnsi="Arial" w:cs="Arial"/>
        </w:rPr>
      </w:pPr>
      <w:r w:rsidRPr="0056547A">
        <w:rPr>
          <w:rFonts w:ascii="Arial" w:hAnsi="Arial" w:cs="Arial"/>
        </w:rPr>
        <w:t xml:space="preserve">Reviewed the scope and quality of the surveillance of HCAI and </w:t>
      </w:r>
      <w:r w:rsidR="005E3F0F">
        <w:rPr>
          <w:rFonts w:ascii="Arial" w:hAnsi="Arial" w:cs="Arial"/>
        </w:rPr>
        <w:t>continued</w:t>
      </w:r>
      <w:r w:rsidRPr="0056547A">
        <w:rPr>
          <w:rFonts w:ascii="Arial" w:hAnsi="Arial" w:cs="Arial"/>
        </w:rPr>
        <w:t xml:space="preserve"> a programme of improvement work. </w:t>
      </w:r>
    </w:p>
    <w:p w14:paraId="7E8F34F0" w14:textId="0FA57DF0" w:rsidR="0056547A" w:rsidRPr="000B24D6" w:rsidRDefault="001E36E6" w:rsidP="0056547A">
      <w:pPr>
        <w:numPr>
          <w:ilvl w:val="0"/>
          <w:numId w:val="16"/>
        </w:numPr>
        <w:suppressAutoHyphens w:val="0"/>
        <w:autoSpaceDN/>
        <w:spacing w:after="160" w:line="259" w:lineRule="auto"/>
        <w:contextualSpacing/>
        <w:textAlignment w:val="auto"/>
        <w:rPr>
          <w:rFonts w:ascii="Arial" w:hAnsi="Arial" w:cs="Arial"/>
        </w:rPr>
      </w:pPr>
      <w:r>
        <w:rPr>
          <w:rFonts w:ascii="Arial" w:hAnsi="Arial" w:cs="Arial"/>
        </w:rPr>
        <w:t>Continued to work</w:t>
      </w:r>
      <w:r w:rsidR="0056547A" w:rsidRPr="0056547A">
        <w:rPr>
          <w:rFonts w:ascii="Arial" w:hAnsi="Arial" w:cs="Arial"/>
        </w:rPr>
        <w:t xml:space="preserve"> collaboratively with system partners to develop a Kent and Medway IPC Strategy.</w:t>
      </w:r>
    </w:p>
    <w:p w14:paraId="56EEDC37" w14:textId="77777777" w:rsidR="0056547A" w:rsidRPr="0056547A" w:rsidRDefault="0056547A" w:rsidP="0056547A">
      <w:pPr>
        <w:rPr>
          <w:rFonts w:ascii="Arial" w:hAnsi="Arial" w:cs="Arial"/>
        </w:rPr>
      </w:pPr>
    </w:p>
    <w:p w14:paraId="2482FBBB" w14:textId="77777777" w:rsidR="0056547A" w:rsidRPr="0056547A" w:rsidRDefault="0056547A" w:rsidP="0056547A">
      <w:pPr>
        <w:rPr>
          <w:rFonts w:ascii="Arial" w:hAnsi="Arial" w:cs="Arial"/>
        </w:rPr>
      </w:pPr>
      <w:r w:rsidRPr="0056547A">
        <w:rPr>
          <w:rFonts w:ascii="Arial" w:hAnsi="Arial" w:cs="Arial"/>
        </w:rPr>
        <w:t>We have achieved success in the following areas:</w:t>
      </w:r>
    </w:p>
    <w:p w14:paraId="4FFFEEED" w14:textId="77777777" w:rsidR="0056547A" w:rsidRPr="0056547A" w:rsidRDefault="0056547A" w:rsidP="0056547A">
      <w:pPr>
        <w:rPr>
          <w:rFonts w:ascii="Arial" w:hAnsi="Arial" w:cs="Arial"/>
        </w:rPr>
      </w:pPr>
    </w:p>
    <w:p w14:paraId="287DEA91" w14:textId="62E3D715" w:rsidR="0056547A" w:rsidRPr="0056547A" w:rsidRDefault="0056547A" w:rsidP="0056547A">
      <w:pPr>
        <w:numPr>
          <w:ilvl w:val="0"/>
          <w:numId w:val="15"/>
        </w:numPr>
        <w:suppressAutoHyphens w:val="0"/>
        <w:autoSpaceDN/>
        <w:spacing w:after="160" w:line="259" w:lineRule="auto"/>
        <w:contextualSpacing/>
        <w:textAlignment w:val="auto"/>
        <w:rPr>
          <w:rFonts w:ascii="Arial" w:hAnsi="Arial" w:cs="Arial"/>
        </w:rPr>
      </w:pPr>
      <w:r w:rsidRPr="0056547A">
        <w:rPr>
          <w:rFonts w:ascii="Arial" w:hAnsi="Arial" w:cs="Arial"/>
        </w:rPr>
        <w:t xml:space="preserve">The IPC team </w:t>
      </w:r>
      <w:r w:rsidR="001E36E6">
        <w:rPr>
          <w:rFonts w:ascii="Arial" w:hAnsi="Arial" w:cs="Arial"/>
        </w:rPr>
        <w:t>remained fully established.</w:t>
      </w:r>
    </w:p>
    <w:p w14:paraId="50E6A02E" w14:textId="7BD2B02F" w:rsidR="001E36E6" w:rsidRPr="001E36E6" w:rsidRDefault="0056547A" w:rsidP="0056547A">
      <w:pPr>
        <w:numPr>
          <w:ilvl w:val="0"/>
          <w:numId w:val="15"/>
        </w:numPr>
        <w:suppressAutoHyphens w:val="0"/>
        <w:autoSpaceDN/>
        <w:spacing w:after="160" w:line="259" w:lineRule="auto"/>
        <w:contextualSpacing/>
        <w:textAlignment w:val="auto"/>
        <w:rPr>
          <w:rFonts w:ascii="Arial" w:hAnsi="Arial" w:cs="Arial"/>
        </w:rPr>
      </w:pPr>
      <w:r w:rsidRPr="0056547A">
        <w:rPr>
          <w:rFonts w:ascii="Arial" w:hAnsi="Arial" w:cs="Arial"/>
        </w:rPr>
        <w:t xml:space="preserve">The Trust was below the external threshold for </w:t>
      </w:r>
      <w:r w:rsidR="001E36E6">
        <w:rPr>
          <w:rFonts w:ascii="Arial" w:hAnsi="Arial" w:cs="Arial"/>
          <w:i/>
        </w:rPr>
        <w:t xml:space="preserve">C diff </w:t>
      </w:r>
      <w:r w:rsidR="001E36E6" w:rsidRPr="001E36E6">
        <w:rPr>
          <w:rFonts w:ascii="Arial" w:hAnsi="Arial" w:cs="Arial"/>
        </w:rPr>
        <w:t>infections</w:t>
      </w:r>
      <w:r w:rsidR="001E36E6">
        <w:rPr>
          <w:rFonts w:ascii="Arial" w:hAnsi="Arial" w:cs="Arial"/>
        </w:rPr>
        <w:t xml:space="preserve"> reporting</w:t>
      </w:r>
      <w:r w:rsidR="00460EBA">
        <w:rPr>
          <w:rFonts w:ascii="Arial" w:hAnsi="Arial" w:cs="Arial"/>
        </w:rPr>
        <w:t xml:space="preserve"> 105 against a threshold of 145</w:t>
      </w:r>
      <w:r w:rsidR="001E36E6">
        <w:rPr>
          <w:rFonts w:ascii="Arial" w:hAnsi="Arial" w:cs="Arial"/>
        </w:rPr>
        <w:t>.</w:t>
      </w:r>
    </w:p>
    <w:p w14:paraId="019C88CF" w14:textId="295EA874" w:rsidR="0056547A" w:rsidRPr="0056547A" w:rsidRDefault="001E36E6" w:rsidP="0056547A">
      <w:pPr>
        <w:numPr>
          <w:ilvl w:val="0"/>
          <w:numId w:val="15"/>
        </w:numPr>
        <w:suppressAutoHyphens w:val="0"/>
        <w:autoSpaceDN/>
        <w:spacing w:after="160" w:line="259" w:lineRule="auto"/>
        <w:contextualSpacing/>
        <w:textAlignment w:val="auto"/>
        <w:rPr>
          <w:rFonts w:ascii="Arial" w:hAnsi="Arial" w:cs="Arial"/>
        </w:rPr>
      </w:pPr>
      <w:r>
        <w:rPr>
          <w:rFonts w:ascii="Arial" w:hAnsi="Arial" w:cs="Arial"/>
        </w:rPr>
        <w:t xml:space="preserve">The Trust was below threshold for </w:t>
      </w:r>
      <w:r w:rsidRPr="001E36E6">
        <w:rPr>
          <w:rFonts w:ascii="Arial" w:hAnsi="Arial" w:cs="Arial"/>
          <w:i/>
        </w:rPr>
        <w:t>E.coli</w:t>
      </w:r>
      <w:r w:rsidR="0056547A" w:rsidRPr="0056547A">
        <w:rPr>
          <w:rFonts w:ascii="Arial" w:hAnsi="Arial" w:cs="Arial"/>
        </w:rPr>
        <w:t xml:space="preserve"> bloodstream infections (BSI)</w:t>
      </w:r>
      <w:r>
        <w:rPr>
          <w:rFonts w:ascii="Arial" w:hAnsi="Arial" w:cs="Arial"/>
        </w:rPr>
        <w:t>.</w:t>
      </w:r>
      <w:r w:rsidR="0056547A" w:rsidRPr="0056547A">
        <w:rPr>
          <w:rFonts w:ascii="Arial" w:hAnsi="Arial" w:cs="Arial"/>
        </w:rPr>
        <w:t xml:space="preserve"> </w:t>
      </w:r>
    </w:p>
    <w:p w14:paraId="10B6900C" w14:textId="5D2649B6" w:rsidR="001E36E6" w:rsidRDefault="001E36E6" w:rsidP="0056547A">
      <w:pPr>
        <w:numPr>
          <w:ilvl w:val="0"/>
          <w:numId w:val="15"/>
        </w:numPr>
        <w:suppressAutoHyphens w:val="0"/>
        <w:autoSpaceDN/>
        <w:spacing w:after="160" w:line="259" w:lineRule="auto"/>
        <w:contextualSpacing/>
        <w:textAlignment w:val="auto"/>
        <w:rPr>
          <w:rFonts w:ascii="Arial" w:hAnsi="Arial" w:cs="Arial"/>
        </w:rPr>
      </w:pPr>
      <w:r w:rsidRPr="0056547A">
        <w:rPr>
          <w:rFonts w:ascii="Arial" w:hAnsi="Arial" w:cs="Arial"/>
        </w:rPr>
        <w:lastRenderedPageBreak/>
        <w:t xml:space="preserve">Meticillin Resistant Staphylococcus aureus </w:t>
      </w:r>
      <w:r>
        <w:rPr>
          <w:rFonts w:ascii="Arial" w:hAnsi="Arial" w:cs="Arial"/>
        </w:rPr>
        <w:t>(MRSA) BSI was lower this year compared to previous year</w:t>
      </w:r>
      <w:r w:rsidR="00460EBA">
        <w:rPr>
          <w:rFonts w:ascii="Arial" w:hAnsi="Arial" w:cs="Arial"/>
        </w:rPr>
        <w:t xml:space="preserve"> with 2 cases being reported against 8 in the previous year</w:t>
      </w:r>
      <w:r>
        <w:rPr>
          <w:rFonts w:ascii="Arial" w:hAnsi="Arial" w:cs="Arial"/>
        </w:rPr>
        <w:t>.</w:t>
      </w:r>
    </w:p>
    <w:p w14:paraId="410C7C86" w14:textId="2021DC08" w:rsidR="0056547A" w:rsidRPr="0056547A" w:rsidRDefault="001E36E6" w:rsidP="0056547A">
      <w:pPr>
        <w:numPr>
          <w:ilvl w:val="0"/>
          <w:numId w:val="15"/>
        </w:numPr>
        <w:suppressAutoHyphens w:val="0"/>
        <w:autoSpaceDN/>
        <w:spacing w:after="160" w:line="259" w:lineRule="auto"/>
        <w:contextualSpacing/>
        <w:textAlignment w:val="auto"/>
        <w:rPr>
          <w:rFonts w:ascii="Arial" w:hAnsi="Arial" w:cs="Arial"/>
        </w:rPr>
      </w:pPr>
      <w:r>
        <w:rPr>
          <w:rFonts w:ascii="Arial" w:hAnsi="Arial" w:cs="Arial"/>
        </w:rPr>
        <w:t>Continued to i</w:t>
      </w:r>
      <w:r w:rsidR="0056547A" w:rsidRPr="0056547A">
        <w:rPr>
          <w:rFonts w:ascii="Arial" w:hAnsi="Arial" w:cs="Arial"/>
        </w:rPr>
        <w:t>mplement robust processes for surgical site infection surveillance in Trauma</w:t>
      </w:r>
      <w:r>
        <w:rPr>
          <w:rFonts w:ascii="Arial" w:hAnsi="Arial" w:cs="Arial"/>
        </w:rPr>
        <w:t xml:space="preserve"> </w:t>
      </w:r>
      <w:r w:rsidR="0056547A" w:rsidRPr="0056547A">
        <w:rPr>
          <w:rFonts w:ascii="Arial" w:hAnsi="Arial" w:cs="Arial"/>
        </w:rPr>
        <w:t>and orthopaedics – Total hip, total knee replacements and fractured neck of femur repairs.</w:t>
      </w:r>
    </w:p>
    <w:p w14:paraId="1712029D" w14:textId="5A209235" w:rsidR="0056547A" w:rsidRDefault="0056547A" w:rsidP="0056547A">
      <w:pPr>
        <w:numPr>
          <w:ilvl w:val="0"/>
          <w:numId w:val="15"/>
        </w:numPr>
        <w:suppressAutoHyphens w:val="0"/>
        <w:autoSpaceDN/>
        <w:spacing w:after="160" w:line="259" w:lineRule="auto"/>
        <w:contextualSpacing/>
        <w:textAlignment w:val="auto"/>
        <w:rPr>
          <w:rFonts w:ascii="Arial" w:hAnsi="Arial" w:cs="Arial"/>
        </w:rPr>
      </w:pPr>
      <w:r w:rsidRPr="0056547A">
        <w:rPr>
          <w:rFonts w:ascii="Arial" w:hAnsi="Arial" w:cs="Arial"/>
        </w:rPr>
        <w:t>Reduced SSI’s relating to fracture neck of femur repairs</w:t>
      </w:r>
      <w:r w:rsidR="005E3F0F">
        <w:rPr>
          <w:rFonts w:ascii="Arial" w:hAnsi="Arial" w:cs="Arial"/>
        </w:rPr>
        <w:t>.</w:t>
      </w:r>
    </w:p>
    <w:p w14:paraId="30E10C96" w14:textId="77777777" w:rsidR="00FB6A3B" w:rsidRDefault="001E36E6" w:rsidP="0056547A">
      <w:pPr>
        <w:numPr>
          <w:ilvl w:val="0"/>
          <w:numId w:val="15"/>
        </w:numPr>
        <w:suppressAutoHyphens w:val="0"/>
        <w:autoSpaceDN/>
        <w:spacing w:after="160" w:line="259" w:lineRule="auto"/>
        <w:contextualSpacing/>
        <w:textAlignment w:val="auto"/>
        <w:rPr>
          <w:rFonts w:ascii="Arial" w:hAnsi="Arial" w:cs="Arial"/>
        </w:rPr>
      </w:pPr>
      <w:r>
        <w:rPr>
          <w:rFonts w:ascii="Arial" w:hAnsi="Arial" w:cs="Arial"/>
        </w:rPr>
        <w:t>Introduced SSI surveillance on caesarean sections.</w:t>
      </w:r>
    </w:p>
    <w:p w14:paraId="5DCF2574" w14:textId="609BAD14" w:rsidR="001E36E6" w:rsidRPr="0056547A" w:rsidRDefault="00FB6A3B" w:rsidP="0056547A">
      <w:pPr>
        <w:numPr>
          <w:ilvl w:val="0"/>
          <w:numId w:val="15"/>
        </w:numPr>
        <w:suppressAutoHyphens w:val="0"/>
        <w:autoSpaceDN/>
        <w:spacing w:after="160" w:line="259" w:lineRule="auto"/>
        <w:contextualSpacing/>
        <w:textAlignment w:val="auto"/>
        <w:rPr>
          <w:rFonts w:ascii="Arial" w:hAnsi="Arial" w:cs="Arial"/>
        </w:rPr>
      </w:pPr>
      <w:r>
        <w:rPr>
          <w:rFonts w:ascii="Arial" w:hAnsi="Arial" w:cs="Arial"/>
        </w:rPr>
        <w:t>Fit testing fo</w:t>
      </w:r>
      <w:r w:rsidR="003E03AF">
        <w:rPr>
          <w:rFonts w:ascii="Arial" w:hAnsi="Arial" w:cs="Arial"/>
        </w:rPr>
        <w:t>r the use of FFP3 respirators is</w:t>
      </w:r>
      <w:r>
        <w:rPr>
          <w:rFonts w:ascii="Arial" w:hAnsi="Arial" w:cs="Arial"/>
        </w:rPr>
        <w:t xml:space="preserve"> undertaken by a dedicated person within the IPC team, and over 600 staff members were tested.</w:t>
      </w:r>
      <w:r w:rsidR="001E36E6">
        <w:rPr>
          <w:rFonts w:ascii="Arial" w:hAnsi="Arial" w:cs="Arial"/>
        </w:rPr>
        <w:t xml:space="preserve"> </w:t>
      </w:r>
    </w:p>
    <w:p w14:paraId="40D61C7E" w14:textId="77777777" w:rsidR="0056547A" w:rsidRPr="0056547A" w:rsidRDefault="0056547A" w:rsidP="0056547A">
      <w:pPr>
        <w:rPr>
          <w:rFonts w:ascii="Arial" w:hAnsi="Arial" w:cs="Arial"/>
        </w:rPr>
      </w:pPr>
    </w:p>
    <w:p w14:paraId="710FDE18" w14:textId="77777777" w:rsidR="0056547A" w:rsidRPr="0056547A" w:rsidRDefault="0056547A" w:rsidP="0056547A">
      <w:pPr>
        <w:rPr>
          <w:rFonts w:ascii="Arial" w:hAnsi="Arial" w:cs="Arial"/>
        </w:rPr>
      </w:pPr>
      <w:r w:rsidRPr="0056547A">
        <w:rPr>
          <w:rFonts w:ascii="Arial" w:hAnsi="Arial" w:cs="Arial"/>
        </w:rPr>
        <w:t>The remaining challenges and areas of focus include:</w:t>
      </w:r>
    </w:p>
    <w:p w14:paraId="08C83423" w14:textId="77777777" w:rsidR="0056547A" w:rsidRPr="0056547A" w:rsidRDefault="0056547A" w:rsidP="0056547A">
      <w:pPr>
        <w:rPr>
          <w:rFonts w:ascii="Arial" w:hAnsi="Arial" w:cs="Arial"/>
        </w:rPr>
      </w:pPr>
    </w:p>
    <w:p w14:paraId="0384C81C" w14:textId="504F6341" w:rsidR="0056547A" w:rsidRPr="0056547A" w:rsidRDefault="0056547A" w:rsidP="0056547A">
      <w:pPr>
        <w:numPr>
          <w:ilvl w:val="0"/>
          <w:numId w:val="14"/>
        </w:numPr>
        <w:suppressAutoHyphens w:val="0"/>
        <w:autoSpaceDN/>
        <w:spacing w:after="160" w:line="259" w:lineRule="auto"/>
        <w:contextualSpacing/>
        <w:textAlignment w:val="auto"/>
        <w:rPr>
          <w:rFonts w:ascii="Arial" w:hAnsi="Arial" w:cs="Arial"/>
        </w:rPr>
      </w:pPr>
      <w:r w:rsidRPr="0056547A">
        <w:rPr>
          <w:rFonts w:ascii="Arial" w:hAnsi="Arial" w:cs="Arial"/>
        </w:rPr>
        <w:t xml:space="preserve">The Trust exceeded thresholds for all other </w:t>
      </w:r>
      <w:r w:rsidR="00460EBA" w:rsidRPr="0056547A">
        <w:rPr>
          <w:rFonts w:ascii="Arial" w:hAnsi="Arial" w:cs="Arial"/>
        </w:rPr>
        <w:t>gram-negative</w:t>
      </w:r>
      <w:r w:rsidRPr="0056547A">
        <w:rPr>
          <w:rFonts w:ascii="Arial" w:hAnsi="Arial" w:cs="Arial"/>
        </w:rPr>
        <w:t xml:space="preserve"> blood stream infections (</w:t>
      </w:r>
      <w:r w:rsidR="001E36E6">
        <w:rPr>
          <w:rFonts w:ascii="Arial" w:hAnsi="Arial" w:cs="Arial"/>
        </w:rPr>
        <w:t>Pseudomonas</w:t>
      </w:r>
      <w:r w:rsidRPr="0056547A">
        <w:rPr>
          <w:rFonts w:ascii="Arial" w:hAnsi="Arial" w:cs="Arial"/>
        </w:rPr>
        <w:t xml:space="preserve"> and Klebsiella)</w:t>
      </w:r>
      <w:r w:rsidR="001E36E6">
        <w:rPr>
          <w:rFonts w:ascii="Arial" w:hAnsi="Arial" w:cs="Arial"/>
        </w:rPr>
        <w:t>.</w:t>
      </w:r>
    </w:p>
    <w:p w14:paraId="17FD7FCA" w14:textId="2D73701E" w:rsidR="0056547A" w:rsidRPr="0056547A" w:rsidRDefault="001E36E6" w:rsidP="0056547A">
      <w:pPr>
        <w:numPr>
          <w:ilvl w:val="0"/>
          <w:numId w:val="14"/>
        </w:numPr>
        <w:suppressAutoHyphens w:val="0"/>
        <w:autoSpaceDN/>
        <w:spacing w:after="160" w:line="259" w:lineRule="auto"/>
        <w:contextualSpacing/>
        <w:textAlignment w:val="auto"/>
        <w:rPr>
          <w:rFonts w:ascii="Arial" w:hAnsi="Arial" w:cs="Arial"/>
        </w:rPr>
      </w:pPr>
      <w:r>
        <w:rPr>
          <w:rFonts w:ascii="Arial" w:hAnsi="Arial" w:cs="Arial"/>
        </w:rPr>
        <w:t>MSSA BSI were at 87 compared to 72 in the previous year.</w:t>
      </w:r>
    </w:p>
    <w:p w14:paraId="0A76BA56" w14:textId="77777777" w:rsidR="0056547A" w:rsidRPr="0056547A" w:rsidRDefault="0056547A" w:rsidP="0056547A">
      <w:pPr>
        <w:numPr>
          <w:ilvl w:val="0"/>
          <w:numId w:val="14"/>
        </w:numPr>
        <w:suppressAutoHyphens w:val="0"/>
        <w:autoSpaceDN/>
        <w:spacing w:after="160" w:line="259" w:lineRule="auto"/>
        <w:contextualSpacing/>
        <w:textAlignment w:val="auto"/>
        <w:rPr>
          <w:rFonts w:ascii="Arial" w:hAnsi="Arial" w:cs="Arial"/>
        </w:rPr>
      </w:pPr>
      <w:r w:rsidRPr="0056547A">
        <w:rPr>
          <w:rFonts w:ascii="Arial" w:hAnsi="Arial" w:cs="Arial"/>
        </w:rPr>
        <w:t xml:space="preserve">Overall the state of our estate and physical infrastructure remains very challenging and does not support good IPC practice. </w:t>
      </w:r>
    </w:p>
    <w:p w14:paraId="620BA5FE" w14:textId="77777777" w:rsidR="0056547A" w:rsidRPr="0056547A" w:rsidRDefault="0056547A" w:rsidP="0056547A">
      <w:pPr>
        <w:autoSpaceDN/>
        <w:spacing w:after="160" w:line="259" w:lineRule="auto"/>
        <w:contextualSpacing/>
        <w:rPr>
          <w:rFonts w:ascii="Arial" w:hAnsi="Arial" w:cs="Arial"/>
        </w:rPr>
      </w:pPr>
    </w:p>
    <w:p w14:paraId="73EBE0E1" w14:textId="77777777" w:rsidR="0056547A" w:rsidRPr="0056547A" w:rsidRDefault="0056547A" w:rsidP="0056547A">
      <w:pPr>
        <w:autoSpaceDN/>
        <w:spacing w:after="160" w:line="259" w:lineRule="auto"/>
        <w:contextualSpacing/>
        <w:rPr>
          <w:rFonts w:ascii="Arial" w:hAnsi="Arial" w:cs="Arial"/>
        </w:rPr>
      </w:pPr>
      <w:r w:rsidRPr="0056547A">
        <w:rPr>
          <w:rFonts w:ascii="Arial" w:hAnsi="Arial" w:cs="Arial"/>
        </w:rPr>
        <w:t>Focus for coming year:</w:t>
      </w:r>
    </w:p>
    <w:p w14:paraId="75BC0294" w14:textId="5F966A4C" w:rsidR="00C12295" w:rsidRPr="00C12295" w:rsidRDefault="00460EBA" w:rsidP="00C12295">
      <w:pPr>
        <w:pStyle w:val="ListParagraph"/>
        <w:numPr>
          <w:ilvl w:val="0"/>
          <w:numId w:val="17"/>
        </w:numPr>
        <w:suppressAutoHyphens w:val="0"/>
        <w:autoSpaceDN/>
        <w:spacing w:after="160" w:line="259" w:lineRule="auto"/>
        <w:contextualSpacing/>
        <w:textAlignment w:val="auto"/>
        <w:rPr>
          <w:rFonts w:ascii="Arial" w:hAnsi="Arial" w:cs="Arial"/>
        </w:rPr>
      </w:pPr>
      <w:r>
        <w:rPr>
          <w:rFonts w:ascii="Arial" w:hAnsi="Arial" w:cs="Arial"/>
        </w:rPr>
        <w:t>Review the clinical skills training for staff with a focus on ANTT (line related), and urinary catheter care.</w:t>
      </w:r>
    </w:p>
    <w:p w14:paraId="3198D94D" w14:textId="1912B3F9" w:rsidR="0056547A" w:rsidRPr="00AE2B42" w:rsidRDefault="00C12295" w:rsidP="0056547A">
      <w:pPr>
        <w:pStyle w:val="ListParagraph"/>
        <w:numPr>
          <w:ilvl w:val="0"/>
          <w:numId w:val="17"/>
        </w:numPr>
        <w:suppressAutoHyphens w:val="0"/>
        <w:autoSpaceDN/>
        <w:spacing w:after="160" w:line="259" w:lineRule="auto"/>
        <w:contextualSpacing/>
        <w:textAlignment w:val="auto"/>
        <w:rPr>
          <w:rFonts w:ascii="Arial" w:hAnsi="Arial" w:cs="Arial"/>
        </w:rPr>
      </w:pPr>
      <w:r w:rsidRPr="00AE2B42">
        <w:rPr>
          <w:rFonts w:ascii="Arial" w:hAnsi="Arial" w:cs="Arial"/>
        </w:rPr>
        <w:t xml:space="preserve">Relaunch of the </w:t>
      </w:r>
      <w:r w:rsidR="0056547A" w:rsidRPr="00AE2B42">
        <w:rPr>
          <w:rFonts w:ascii="Arial" w:hAnsi="Arial" w:cs="Arial"/>
        </w:rPr>
        <w:t>CLEAN</w:t>
      </w:r>
      <w:r w:rsidR="004B772B">
        <w:rPr>
          <w:rFonts w:ascii="Arial" w:hAnsi="Arial" w:cs="Arial"/>
        </w:rPr>
        <w:t xml:space="preserve"> Together</w:t>
      </w:r>
      <w:r w:rsidR="0056547A" w:rsidRPr="00AE2B42">
        <w:rPr>
          <w:rFonts w:ascii="Arial" w:hAnsi="Arial" w:cs="Arial"/>
        </w:rPr>
        <w:t xml:space="preserve"> campaign to focus </w:t>
      </w:r>
      <w:r w:rsidR="00B82333" w:rsidRPr="00AE2B42">
        <w:rPr>
          <w:rFonts w:ascii="Arial" w:hAnsi="Arial" w:cs="Arial"/>
        </w:rPr>
        <w:t>on environmental and decluttering issues:</w:t>
      </w:r>
      <w:r w:rsidR="0056547A" w:rsidRPr="00AE2B42">
        <w:rPr>
          <w:rFonts w:ascii="Arial" w:hAnsi="Arial" w:cs="Arial"/>
        </w:rPr>
        <w:t xml:space="preserve"> </w:t>
      </w:r>
    </w:p>
    <w:p w14:paraId="4FD52AA6" w14:textId="49624145" w:rsidR="0056547A" w:rsidRPr="00AE2B42" w:rsidRDefault="0056547A" w:rsidP="0056547A">
      <w:pPr>
        <w:pStyle w:val="ListParagraph"/>
        <w:autoSpaceDN/>
        <w:spacing w:after="160" w:line="259" w:lineRule="auto"/>
        <w:rPr>
          <w:rFonts w:ascii="Arial" w:hAnsi="Arial" w:cs="Arial"/>
        </w:rPr>
      </w:pPr>
      <w:r w:rsidRPr="00AE2B42">
        <w:rPr>
          <w:rFonts w:ascii="Arial" w:hAnsi="Arial" w:cs="Arial"/>
        </w:rPr>
        <w:t xml:space="preserve">‘C’ </w:t>
      </w:r>
      <w:r w:rsidR="004C6721" w:rsidRPr="00AE2B42">
        <w:rPr>
          <w:rFonts w:ascii="Arial" w:hAnsi="Arial" w:cs="Arial"/>
        </w:rPr>
        <w:t>Clutter and cupboards</w:t>
      </w:r>
      <w:r w:rsidR="003E03AF">
        <w:rPr>
          <w:rFonts w:ascii="Arial" w:hAnsi="Arial" w:cs="Arial"/>
        </w:rPr>
        <w:t>.</w:t>
      </w:r>
    </w:p>
    <w:p w14:paraId="3FD20DAD" w14:textId="4BE52CD1" w:rsidR="0056547A" w:rsidRPr="00AE2B42" w:rsidRDefault="0056547A" w:rsidP="0056547A">
      <w:pPr>
        <w:pStyle w:val="ListParagraph"/>
        <w:autoSpaceDN/>
        <w:spacing w:after="160" w:line="259" w:lineRule="auto"/>
        <w:rPr>
          <w:rFonts w:ascii="Arial" w:hAnsi="Arial" w:cs="Arial"/>
        </w:rPr>
      </w:pPr>
      <w:r w:rsidRPr="00AE2B42">
        <w:rPr>
          <w:rFonts w:ascii="Arial" w:hAnsi="Arial" w:cs="Arial"/>
        </w:rPr>
        <w:t xml:space="preserve">‘L’ </w:t>
      </w:r>
      <w:r w:rsidR="00AE2B42" w:rsidRPr="00AE2B42">
        <w:rPr>
          <w:rFonts w:ascii="Arial" w:hAnsi="Arial" w:cs="Arial"/>
        </w:rPr>
        <w:t>Linen and laundry</w:t>
      </w:r>
    </w:p>
    <w:p w14:paraId="78638AD9" w14:textId="77777777" w:rsidR="0056547A" w:rsidRPr="00AE2B42" w:rsidRDefault="0056547A" w:rsidP="0056547A">
      <w:pPr>
        <w:pStyle w:val="ListParagraph"/>
        <w:autoSpaceDN/>
        <w:spacing w:after="160" w:line="259" w:lineRule="auto"/>
        <w:rPr>
          <w:rFonts w:ascii="Arial" w:hAnsi="Arial" w:cs="Arial"/>
        </w:rPr>
      </w:pPr>
      <w:r w:rsidRPr="00AE2B42">
        <w:rPr>
          <w:rFonts w:ascii="Arial" w:hAnsi="Arial" w:cs="Arial"/>
        </w:rPr>
        <w:t>‘E’ -Environmental and equipment cleaning</w:t>
      </w:r>
    </w:p>
    <w:p w14:paraId="1DD2A158" w14:textId="4C7F1D7A" w:rsidR="0056547A" w:rsidRPr="00AE2B42" w:rsidRDefault="0056547A" w:rsidP="0056547A">
      <w:pPr>
        <w:pStyle w:val="ListParagraph"/>
        <w:autoSpaceDN/>
        <w:spacing w:after="160" w:line="259" w:lineRule="auto"/>
        <w:rPr>
          <w:rFonts w:ascii="Arial" w:hAnsi="Arial" w:cs="Arial"/>
        </w:rPr>
      </w:pPr>
      <w:r w:rsidRPr="00AE2B42">
        <w:rPr>
          <w:rFonts w:ascii="Arial" w:hAnsi="Arial" w:cs="Arial"/>
        </w:rPr>
        <w:t xml:space="preserve">‘A’ </w:t>
      </w:r>
      <w:r w:rsidR="00AE2B42" w:rsidRPr="00AE2B42">
        <w:rPr>
          <w:rFonts w:ascii="Arial" w:hAnsi="Arial" w:cs="Arial"/>
        </w:rPr>
        <w:t>All the waste in the right place</w:t>
      </w:r>
    </w:p>
    <w:p w14:paraId="555DC81F" w14:textId="4609FBC7" w:rsidR="0056547A" w:rsidRPr="00AE2B42" w:rsidRDefault="0056547A" w:rsidP="001E36E6">
      <w:pPr>
        <w:pStyle w:val="ListParagraph"/>
        <w:autoSpaceDN/>
        <w:spacing w:after="160" w:line="259" w:lineRule="auto"/>
        <w:rPr>
          <w:rFonts w:ascii="Arial" w:hAnsi="Arial" w:cs="Arial"/>
        </w:rPr>
      </w:pPr>
      <w:r w:rsidRPr="00AE2B42">
        <w:rPr>
          <w:rFonts w:ascii="Arial" w:hAnsi="Arial" w:cs="Arial"/>
        </w:rPr>
        <w:t xml:space="preserve">‘N’ </w:t>
      </w:r>
      <w:r w:rsidR="00AE2B42" w:rsidRPr="00AE2B42">
        <w:rPr>
          <w:rFonts w:ascii="Arial" w:hAnsi="Arial" w:cs="Arial"/>
        </w:rPr>
        <w:t>Nobody should walk by</w:t>
      </w:r>
    </w:p>
    <w:p w14:paraId="768AEF5A" w14:textId="77777777" w:rsidR="0039792E" w:rsidRPr="0039792E" w:rsidRDefault="0056547A" w:rsidP="00F10C03">
      <w:pPr>
        <w:pStyle w:val="ListParagraph"/>
        <w:numPr>
          <w:ilvl w:val="0"/>
          <w:numId w:val="17"/>
        </w:numPr>
        <w:suppressAutoHyphens w:val="0"/>
        <w:autoSpaceDN/>
        <w:spacing w:after="160" w:line="259" w:lineRule="auto"/>
        <w:contextualSpacing/>
        <w:textAlignment w:val="auto"/>
        <w:rPr>
          <w:rFonts w:ascii="Arial" w:hAnsi="Arial" w:cs="Arial"/>
          <w:b/>
          <w:noProof/>
          <w:lang w:eastAsia="en-GB"/>
        </w:rPr>
      </w:pPr>
      <w:r w:rsidRPr="0039792E">
        <w:rPr>
          <w:rFonts w:ascii="Arial" w:hAnsi="Arial" w:cs="Arial"/>
        </w:rPr>
        <w:t>Focussed</w:t>
      </w:r>
      <w:r w:rsidR="00C12295" w:rsidRPr="0039792E">
        <w:rPr>
          <w:rFonts w:ascii="Arial" w:hAnsi="Arial" w:cs="Arial"/>
        </w:rPr>
        <w:t xml:space="preserve"> Trust-wide</w:t>
      </w:r>
      <w:r w:rsidRPr="0039792E">
        <w:rPr>
          <w:rFonts w:ascii="Arial" w:hAnsi="Arial" w:cs="Arial"/>
        </w:rPr>
        <w:t xml:space="preserve"> improvement plan on learning identified from </w:t>
      </w:r>
      <w:r w:rsidR="00C12295" w:rsidRPr="0039792E">
        <w:rPr>
          <w:rFonts w:ascii="Arial" w:hAnsi="Arial" w:cs="Arial"/>
        </w:rPr>
        <w:t>current year</w:t>
      </w:r>
      <w:r w:rsidRPr="0039792E">
        <w:rPr>
          <w:rFonts w:ascii="Arial" w:hAnsi="Arial" w:cs="Arial"/>
        </w:rPr>
        <w:t xml:space="preserve"> – Sampling, isolation, and aspects of CLEAN campaig</w:t>
      </w:r>
      <w:r w:rsidR="003E03AF" w:rsidRPr="0039792E">
        <w:rPr>
          <w:rFonts w:ascii="Arial" w:hAnsi="Arial" w:cs="Arial"/>
        </w:rPr>
        <w:t>n</w:t>
      </w:r>
      <w:r w:rsidR="00173AE0" w:rsidRPr="0039792E">
        <w:rPr>
          <w:rFonts w:ascii="Arial" w:hAnsi="Arial" w:cs="Arial"/>
        </w:rPr>
        <w:t>.</w:t>
      </w:r>
    </w:p>
    <w:p w14:paraId="581843CD" w14:textId="77777777" w:rsidR="0039792E" w:rsidRDefault="0039792E" w:rsidP="0039792E">
      <w:pPr>
        <w:pStyle w:val="ListParagraph"/>
        <w:suppressAutoHyphens w:val="0"/>
        <w:autoSpaceDN/>
        <w:spacing w:after="160" w:line="259" w:lineRule="auto"/>
        <w:contextualSpacing/>
        <w:textAlignment w:val="auto"/>
        <w:rPr>
          <w:rFonts w:ascii="Arial" w:hAnsi="Arial" w:cs="Arial"/>
          <w:b/>
          <w:noProof/>
          <w:lang w:eastAsia="en-GB"/>
        </w:rPr>
      </w:pPr>
    </w:p>
    <w:p w14:paraId="2F72B236" w14:textId="4B0D4B8D" w:rsidR="00F8018C" w:rsidRPr="0039792E" w:rsidRDefault="003C5A97" w:rsidP="0039792E">
      <w:pPr>
        <w:pStyle w:val="Heading3"/>
        <w:jc w:val="center"/>
        <w:rPr>
          <w:noProof/>
        </w:rPr>
      </w:pPr>
      <w:r w:rsidRPr="0039792E">
        <w:rPr>
          <w:noProof/>
        </w:rPr>
        <w:t>CLEAN Campaign in 2024</w:t>
      </w:r>
    </w:p>
    <w:p w14:paraId="148F3DD9" w14:textId="77777777" w:rsidR="003C5A97" w:rsidRPr="003C5A97" w:rsidRDefault="003C5A97" w:rsidP="003C5A97">
      <w:pPr>
        <w:jc w:val="center"/>
        <w:rPr>
          <w:rFonts w:ascii="Arial" w:hAnsi="Arial" w:cs="Arial"/>
          <w:b/>
          <w:noProof/>
          <w:lang w:eastAsia="en-GB"/>
        </w:rPr>
      </w:pPr>
    </w:p>
    <w:p w14:paraId="3FEAB607" w14:textId="5B6CC419" w:rsidR="00081489" w:rsidRPr="00826850" w:rsidRDefault="00CF5480" w:rsidP="00CF5480">
      <w:pPr>
        <w:jc w:val="center"/>
        <w:rPr>
          <w:rFonts w:ascii="Arial" w:hAnsi="Arial" w:cs="Arial"/>
        </w:rPr>
      </w:pPr>
      <w:r>
        <w:rPr>
          <w:noProof/>
        </w:rPr>
        <w:lastRenderedPageBreak/>
        <w:drawing>
          <wp:inline distT="0" distB="0" distL="0" distR="0" wp14:anchorId="76ABCE0B" wp14:editId="57A569B3">
            <wp:extent cx="4600576" cy="3548566"/>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448" t="14183" r="25124" b="19046"/>
                    <a:stretch/>
                  </pic:blipFill>
                  <pic:spPr bwMode="auto">
                    <a:xfrm>
                      <a:off x="0" y="0"/>
                      <a:ext cx="4600576" cy="3548566"/>
                    </a:xfrm>
                    <a:prstGeom prst="rect">
                      <a:avLst/>
                    </a:prstGeom>
                    <a:ln>
                      <a:noFill/>
                    </a:ln>
                    <a:extLst>
                      <a:ext uri="{53640926-AAD7-44D8-BBD7-CCE9431645EC}">
                        <a14:shadowObscured xmlns:a14="http://schemas.microsoft.com/office/drawing/2010/main"/>
                      </a:ext>
                    </a:extLst>
                  </pic:spPr>
                </pic:pic>
              </a:graphicData>
            </a:graphic>
          </wp:inline>
        </w:drawing>
      </w:r>
    </w:p>
    <w:sectPr w:rsidR="00081489" w:rsidRPr="00826850" w:rsidSect="00616934">
      <w:headerReference w:type="default" r:id="rId33"/>
      <w:footerReference w:type="default" r:id="rId34"/>
      <w:pgSz w:w="11910" w:h="16840"/>
      <w:pgMar w:top="1440" w:right="1440" w:bottom="1440" w:left="144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43923" w14:textId="77777777" w:rsidR="00245080" w:rsidRDefault="00245080">
      <w:r>
        <w:separator/>
      </w:r>
    </w:p>
  </w:endnote>
  <w:endnote w:type="continuationSeparator" w:id="0">
    <w:p w14:paraId="6870F3BC" w14:textId="77777777" w:rsidR="00245080" w:rsidRDefault="00245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171881"/>
      <w:docPartObj>
        <w:docPartGallery w:val="Page Numbers (Bottom of Page)"/>
        <w:docPartUnique/>
      </w:docPartObj>
    </w:sdtPr>
    <w:sdtEndPr>
      <w:rPr>
        <w:noProof/>
      </w:rPr>
    </w:sdtEndPr>
    <w:sdtContent>
      <w:p w14:paraId="4608215E" w14:textId="7B2EA365" w:rsidR="008C273E" w:rsidRDefault="004F5B58">
        <w:pPr>
          <w:pStyle w:val="Footer"/>
          <w:jc w:val="right"/>
        </w:pPr>
        <w:r w:rsidRPr="00C752D3">
          <w:rPr>
            <w:rFonts w:ascii="Arial" w:hAnsi="Arial" w:cs="Arial"/>
            <w:noProof/>
            <w:sz w:val="24"/>
            <w:szCs w:val="24"/>
            <w:lang w:eastAsia="en-GB"/>
          </w:rPr>
          <w:drawing>
            <wp:inline distT="0" distB="0" distL="0" distR="0" wp14:anchorId="45F209FC" wp14:editId="5EACC021">
              <wp:extent cx="1041009" cy="780757"/>
              <wp:effectExtent l="0" t="0" r="698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3085" cy="782314"/>
                      </a:xfrm>
                      <a:prstGeom prst="rect">
                        <a:avLst/>
                      </a:prstGeom>
                      <a:noFill/>
                      <a:ln>
                        <a:noFill/>
                      </a:ln>
                    </pic:spPr>
                  </pic:pic>
                </a:graphicData>
              </a:graphic>
            </wp:inline>
          </w:drawing>
        </w:r>
        <w:r w:rsidR="008C273E">
          <w:fldChar w:fldCharType="begin"/>
        </w:r>
        <w:r w:rsidR="008C273E">
          <w:instrText xml:space="preserve"> PAGE   \* MERGEFORMAT </w:instrText>
        </w:r>
        <w:r w:rsidR="008C273E">
          <w:fldChar w:fldCharType="separate"/>
        </w:r>
        <w:r w:rsidR="008C273E">
          <w:rPr>
            <w:noProof/>
          </w:rPr>
          <w:t>19</w:t>
        </w:r>
        <w:r w:rsidR="008C273E">
          <w:rPr>
            <w:noProof/>
          </w:rPr>
          <w:fldChar w:fldCharType="end"/>
        </w:r>
      </w:p>
    </w:sdtContent>
  </w:sdt>
  <w:p w14:paraId="453CF36B" w14:textId="77777777" w:rsidR="008C273E" w:rsidRDefault="008C2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735436"/>
      <w:docPartObj>
        <w:docPartGallery w:val="Page Numbers (Bottom of Page)"/>
        <w:docPartUnique/>
      </w:docPartObj>
    </w:sdtPr>
    <w:sdtEndPr>
      <w:rPr>
        <w:noProof/>
      </w:rPr>
    </w:sdtEndPr>
    <w:sdtContent>
      <w:p w14:paraId="2BE2B932" w14:textId="2F94DA0E" w:rsidR="008C273E" w:rsidRDefault="008C273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53E5E99D" w14:textId="77777777" w:rsidR="008C273E" w:rsidRDefault="008C27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ABCE" w14:textId="0C558B58" w:rsidR="00616934" w:rsidRDefault="00616934">
    <w:pPr>
      <w:pStyle w:val="Footer"/>
      <w:jc w:val="right"/>
    </w:pPr>
    <w:r w:rsidRPr="00C752D3">
      <w:rPr>
        <w:rFonts w:ascii="Arial" w:hAnsi="Arial" w:cs="Arial"/>
        <w:noProof/>
        <w:sz w:val="24"/>
        <w:szCs w:val="24"/>
        <w:lang w:eastAsia="en-GB"/>
      </w:rPr>
      <w:drawing>
        <wp:inline distT="0" distB="0" distL="0" distR="0" wp14:anchorId="48CF71A8" wp14:editId="594806D5">
          <wp:extent cx="1041009" cy="780757"/>
          <wp:effectExtent l="0" t="0" r="6985"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3085" cy="782314"/>
                  </a:xfrm>
                  <a:prstGeom prst="rect">
                    <a:avLst/>
                  </a:prstGeom>
                  <a:noFill/>
                  <a:ln>
                    <a:noFill/>
                  </a:ln>
                </pic:spPr>
              </pic:pic>
            </a:graphicData>
          </a:graphic>
        </wp:inline>
      </w:drawing>
    </w:r>
    <w:sdt>
      <w:sdtPr>
        <w:id w:val="15599801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84A80EB" w14:textId="77777777" w:rsidR="008C273E" w:rsidRPr="00173AE0" w:rsidRDefault="008C273E" w:rsidP="00173A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BE4E9" w14:textId="77777777" w:rsidR="00245080" w:rsidRDefault="00245080">
      <w:r>
        <w:rPr>
          <w:color w:val="000000"/>
        </w:rPr>
        <w:separator/>
      </w:r>
    </w:p>
  </w:footnote>
  <w:footnote w:type="continuationSeparator" w:id="0">
    <w:p w14:paraId="6A513F41" w14:textId="77777777" w:rsidR="00245080" w:rsidRDefault="00245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F9ACE" w14:textId="270D1027" w:rsidR="00926481" w:rsidRDefault="004F5B58" w:rsidP="004F5B58">
    <w:pPr>
      <w:pStyle w:val="Header"/>
      <w:jc w:val="right"/>
    </w:pPr>
    <w:r w:rsidRPr="00C752D3">
      <w:rPr>
        <w:rFonts w:ascii="Arial" w:hAnsi="Arial" w:cs="Arial"/>
        <w:noProof/>
        <w:sz w:val="24"/>
        <w:szCs w:val="24"/>
        <w:lang w:eastAsia="en-GB"/>
      </w:rPr>
      <w:drawing>
        <wp:inline distT="0" distB="0" distL="0" distR="0" wp14:anchorId="3B315DAB" wp14:editId="11DA5541">
          <wp:extent cx="3009900" cy="1019175"/>
          <wp:effectExtent l="0" t="0" r="0" b="9525"/>
          <wp:docPr id="5" name="Picture 5" descr="East Kent Hospitals University NHS Foundation Tru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t="15900" r="5952" b="13222"/>
                  <a:stretch>
                    <a:fillRect/>
                  </a:stretch>
                </pic:blipFill>
                <pic:spPr bwMode="auto">
                  <a:xfrm>
                    <a:off x="0" y="0"/>
                    <a:ext cx="3009900" cy="1019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D359" w14:textId="74670781" w:rsidR="008C273E" w:rsidRPr="00826850" w:rsidRDefault="00616934" w:rsidP="00616934">
    <w:pPr>
      <w:pStyle w:val="Header"/>
      <w:jc w:val="right"/>
    </w:pPr>
    <w:r w:rsidRPr="00C752D3">
      <w:rPr>
        <w:rFonts w:ascii="Arial" w:hAnsi="Arial" w:cs="Arial"/>
        <w:noProof/>
        <w:sz w:val="24"/>
        <w:szCs w:val="24"/>
        <w:lang w:eastAsia="en-GB"/>
      </w:rPr>
      <w:drawing>
        <wp:inline distT="0" distB="0" distL="0" distR="0" wp14:anchorId="2F97D953" wp14:editId="6F79098F">
          <wp:extent cx="3009900" cy="1019175"/>
          <wp:effectExtent l="0" t="0" r="0" b="9525"/>
          <wp:docPr id="8" name="Picture 8" descr="East Kent Hospitals University NHS Foundation Tru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t="15900" r="5952" b="13222"/>
                  <a:stretch>
                    <a:fillRect/>
                  </a:stretch>
                </pic:blipFill>
                <pic:spPr bwMode="auto">
                  <a:xfrm>
                    <a:off x="0" y="0"/>
                    <a:ext cx="3009900"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FD0"/>
    <w:multiLevelType w:val="multilevel"/>
    <w:tmpl w:val="37400C84"/>
    <w:lvl w:ilvl="0">
      <w:numFmt w:val="bullet"/>
      <w:lvlText w:val=""/>
      <w:lvlJc w:val="left"/>
      <w:pPr>
        <w:ind w:left="720" w:hanging="72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98612AD"/>
    <w:multiLevelType w:val="hybridMultilevel"/>
    <w:tmpl w:val="79CADE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C0D14"/>
    <w:multiLevelType w:val="multilevel"/>
    <w:tmpl w:val="C7C0C86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F91867"/>
    <w:multiLevelType w:val="hybridMultilevel"/>
    <w:tmpl w:val="A4C80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758F6"/>
    <w:multiLevelType w:val="hybridMultilevel"/>
    <w:tmpl w:val="464C6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983D91"/>
    <w:multiLevelType w:val="multilevel"/>
    <w:tmpl w:val="4EB84A5E"/>
    <w:lvl w:ilvl="0">
      <w:start w:val="1"/>
      <w:numFmt w:val="decimal"/>
      <w:lvlText w:val="%1."/>
      <w:lvlJc w:val="left"/>
      <w:pPr>
        <w:ind w:left="720" w:hanging="720"/>
      </w:pPr>
      <w:rPr>
        <w:b/>
        <w:bCs/>
        <w:i w:val="0"/>
        <w:iCs w:val="0"/>
      </w:r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720" w:hanging="720"/>
      </w:pPr>
    </w:lvl>
    <w:lvl w:ilvl="7">
      <w:start w:val="1"/>
      <w:numFmt w:val="decimal"/>
      <w:lvlText w:val="%1.%2.%3.%4.%5.%6.%7.%8"/>
      <w:lvlJc w:val="left"/>
      <w:pPr>
        <w:ind w:left="720" w:hanging="720"/>
      </w:pPr>
    </w:lvl>
    <w:lvl w:ilvl="8">
      <w:start w:val="1"/>
      <w:numFmt w:val="decimal"/>
      <w:lvlText w:val="%1.%2.%3.%4.%5.%6.%7.%8.%9"/>
      <w:lvlJc w:val="left"/>
      <w:pPr>
        <w:ind w:left="720" w:hanging="720"/>
      </w:pPr>
    </w:lvl>
  </w:abstractNum>
  <w:abstractNum w:abstractNumId="6" w15:restartNumberingAfterBreak="0">
    <w:nsid w:val="1A7409A0"/>
    <w:multiLevelType w:val="hybridMultilevel"/>
    <w:tmpl w:val="C20AB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596053"/>
    <w:multiLevelType w:val="hybridMultilevel"/>
    <w:tmpl w:val="76645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73BCA"/>
    <w:multiLevelType w:val="multilevel"/>
    <w:tmpl w:val="8730A51A"/>
    <w:lvl w:ilvl="0">
      <w:start w:val="12"/>
      <w:numFmt w:val="decimal"/>
      <w:lvlText w:val="%1."/>
      <w:lvlJc w:val="left"/>
      <w:pPr>
        <w:ind w:left="720" w:hanging="720"/>
      </w:pPr>
      <w:rPr>
        <w:rFonts w:hint="default"/>
      </w:rPr>
    </w:lvl>
    <w:lvl w:ilvl="1">
      <w:start w:val="1"/>
      <w:numFmt w:val="decimal"/>
      <w:lvlText w:val="%1.%2"/>
      <w:lvlJc w:val="left"/>
      <w:pPr>
        <w:ind w:left="720" w:hanging="720"/>
      </w:pPr>
      <w:rPr>
        <w:rFonts w:ascii="Arial" w:hAnsi="Arial" w:cs="Arial"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CD060F9"/>
    <w:multiLevelType w:val="hybridMultilevel"/>
    <w:tmpl w:val="17D804FE"/>
    <w:lvl w:ilvl="0" w:tplc="C1848FE4">
      <w:start w:val="1"/>
      <w:numFmt w:val="bullet"/>
      <w:lvlText w:val="•"/>
      <w:lvlJc w:val="left"/>
      <w:pPr>
        <w:tabs>
          <w:tab w:val="num" w:pos="720"/>
        </w:tabs>
        <w:ind w:left="720" w:hanging="360"/>
      </w:pPr>
      <w:rPr>
        <w:rFonts w:ascii="Arial" w:hAnsi="Arial" w:hint="default"/>
      </w:rPr>
    </w:lvl>
    <w:lvl w:ilvl="1" w:tplc="91482522" w:tentative="1">
      <w:start w:val="1"/>
      <w:numFmt w:val="bullet"/>
      <w:lvlText w:val="•"/>
      <w:lvlJc w:val="left"/>
      <w:pPr>
        <w:tabs>
          <w:tab w:val="num" w:pos="1440"/>
        </w:tabs>
        <w:ind w:left="1440" w:hanging="360"/>
      </w:pPr>
      <w:rPr>
        <w:rFonts w:ascii="Arial" w:hAnsi="Arial" w:hint="default"/>
      </w:rPr>
    </w:lvl>
    <w:lvl w:ilvl="2" w:tplc="E00CDBDA" w:tentative="1">
      <w:start w:val="1"/>
      <w:numFmt w:val="bullet"/>
      <w:lvlText w:val="•"/>
      <w:lvlJc w:val="left"/>
      <w:pPr>
        <w:tabs>
          <w:tab w:val="num" w:pos="2160"/>
        </w:tabs>
        <w:ind w:left="2160" w:hanging="360"/>
      </w:pPr>
      <w:rPr>
        <w:rFonts w:ascii="Arial" w:hAnsi="Arial" w:hint="default"/>
      </w:rPr>
    </w:lvl>
    <w:lvl w:ilvl="3" w:tplc="E5A22772" w:tentative="1">
      <w:start w:val="1"/>
      <w:numFmt w:val="bullet"/>
      <w:lvlText w:val="•"/>
      <w:lvlJc w:val="left"/>
      <w:pPr>
        <w:tabs>
          <w:tab w:val="num" w:pos="2880"/>
        </w:tabs>
        <w:ind w:left="2880" w:hanging="360"/>
      </w:pPr>
      <w:rPr>
        <w:rFonts w:ascii="Arial" w:hAnsi="Arial" w:hint="default"/>
      </w:rPr>
    </w:lvl>
    <w:lvl w:ilvl="4" w:tplc="82847C54" w:tentative="1">
      <w:start w:val="1"/>
      <w:numFmt w:val="bullet"/>
      <w:lvlText w:val="•"/>
      <w:lvlJc w:val="left"/>
      <w:pPr>
        <w:tabs>
          <w:tab w:val="num" w:pos="3600"/>
        </w:tabs>
        <w:ind w:left="3600" w:hanging="360"/>
      </w:pPr>
      <w:rPr>
        <w:rFonts w:ascii="Arial" w:hAnsi="Arial" w:hint="default"/>
      </w:rPr>
    </w:lvl>
    <w:lvl w:ilvl="5" w:tplc="215A0660" w:tentative="1">
      <w:start w:val="1"/>
      <w:numFmt w:val="bullet"/>
      <w:lvlText w:val="•"/>
      <w:lvlJc w:val="left"/>
      <w:pPr>
        <w:tabs>
          <w:tab w:val="num" w:pos="4320"/>
        </w:tabs>
        <w:ind w:left="4320" w:hanging="360"/>
      </w:pPr>
      <w:rPr>
        <w:rFonts w:ascii="Arial" w:hAnsi="Arial" w:hint="default"/>
      </w:rPr>
    </w:lvl>
    <w:lvl w:ilvl="6" w:tplc="E5908702" w:tentative="1">
      <w:start w:val="1"/>
      <w:numFmt w:val="bullet"/>
      <w:lvlText w:val="•"/>
      <w:lvlJc w:val="left"/>
      <w:pPr>
        <w:tabs>
          <w:tab w:val="num" w:pos="5040"/>
        </w:tabs>
        <w:ind w:left="5040" w:hanging="360"/>
      </w:pPr>
      <w:rPr>
        <w:rFonts w:ascii="Arial" w:hAnsi="Arial" w:hint="default"/>
      </w:rPr>
    </w:lvl>
    <w:lvl w:ilvl="7" w:tplc="C3984A04" w:tentative="1">
      <w:start w:val="1"/>
      <w:numFmt w:val="bullet"/>
      <w:lvlText w:val="•"/>
      <w:lvlJc w:val="left"/>
      <w:pPr>
        <w:tabs>
          <w:tab w:val="num" w:pos="5760"/>
        </w:tabs>
        <w:ind w:left="5760" w:hanging="360"/>
      </w:pPr>
      <w:rPr>
        <w:rFonts w:ascii="Arial" w:hAnsi="Arial" w:hint="default"/>
      </w:rPr>
    </w:lvl>
    <w:lvl w:ilvl="8" w:tplc="D16CAAA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18576D"/>
    <w:multiLevelType w:val="hybridMultilevel"/>
    <w:tmpl w:val="4BD8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A5154"/>
    <w:multiLevelType w:val="multilevel"/>
    <w:tmpl w:val="B224B42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51044F4C"/>
    <w:multiLevelType w:val="multilevel"/>
    <w:tmpl w:val="B56EE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6B41D7"/>
    <w:multiLevelType w:val="hybridMultilevel"/>
    <w:tmpl w:val="138AF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04722"/>
    <w:multiLevelType w:val="multilevel"/>
    <w:tmpl w:val="A2D8B65C"/>
    <w:lvl w:ilvl="0">
      <w:start w:val="1"/>
      <w:numFmt w:val="none"/>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5C3D6580"/>
    <w:multiLevelType w:val="hybridMultilevel"/>
    <w:tmpl w:val="63644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FC4092"/>
    <w:multiLevelType w:val="hybridMultilevel"/>
    <w:tmpl w:val="8264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EC167B"/>
    <w:multiLevelType w:val="hybridMultilevel"/>
    <w:tmpl w:val="599C1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EA623E"/>
    <w:multiLevelType w:val="hybridMultilevel"/>
    <w:tmpl w:val="61A0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C823AE"/>
    <w:multiLevelType w:val="multilevel"/>
    <w:tmpl w:val="90DA8A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72213C9"/>
    <w:multiLevelType w:val="multilevel"/>
    <w:tmpl w:val="F3D49430"/>
    <w:lvl w:ilvl="0">
      <w:start w:val="1"/>
      <w:numFmt w:val="decimal"/>
      <w:lvlText w:val="%1."/>
      <w:lvlJc w:val="left"/>
      <w:pPr>
        <w:ind w:left="720" w:hanging="720"/>
      </w:pPr>
    </w:lvl>
    <w:lvl w:ilvl="1">
      <w:start w:val="1"/>
      <w:numFmt w:val="decimal"/>
      <w:lvlText w:val="%1.%2"/>
      <w:lvlJc w:val="left"/>
      <w:pPr>
        <w:ind w:left="720" w:hanging="720"/>
      </w:pPr>
      <w:rPr>
        <w:rFonts w:ascii="Arial" w:hAnsi="Arial" w:cs="Arial"/>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94523CA"/>
    <w:multiLevelType w:val="hybridMultilevel"/>
    <w:tmpl w:val="857A2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0"/>
  </w:num>
  <w:num w:numId="4">
    <w:abstractNumId w:val="14"/>
  </w:num>
  <w:num w:numId="5">
    <w:abstractNumId w:val="20"/>
    <w:lvlOverride w:ilvl="0">
      <w:lvl w:ilvl="0">
        <w:start w:val="1"/>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ascii="Arial" w:hAnsi="Arial" w:cs="Arial" w:hint="default"/>
          <w:b w:val="0"/>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6">
    <w:abstractNumId w:val="19"/>
  </w:num>
  <w:num w:numId="7">
    <w:abstractNumId w:val="21"/>
  </w:num>
  <w:num w:numId="8">
    <w:abstractNumId w:val="18"/>
  </w:num>
  <w:num w:numId="9">
    <w:abstractNumId w:val="7"/>
  </w:num>
  <w:num w:numId="10">
    <w:abstractNumId w:val="11"/>
  </w:num>
  <w:num w:numId="11">
    <w:abstractNumId w:val="8"/>
  </w:num>
  <w:num w:numId="12">
    <w:abstractNumId w:val="9"/>
  </w:num>
  <w:num w:numId="13">
    <w:abstractNumId w:val="3"/>
  </w:num>
  <w:num w:numId="14">
    <w:abstractNumId w:val="6"/>
  </w:num>
  <w:num w:numId="15">
    <w:abstractNumId w:val="4"/>
  </w:num>
  <w:num w:numId="16">
    <w:abstractNumId w:val="10"/>
  </w:num>
  <w:num w:numId="17">
    <w:abstractNumId w:val="13"/>
  </w:num>
  <w:num w:numId="18">
    <w:abstractNumId w:val="17"/>
  </w:num>
  <w:num w:numId="19">
    <w:abstractNumId w:val="12"/>
  </w:num>
  <w:num w:numId="20">
    <w:abstractNumId w:val="16"/>
  </w:num>
  <w:num w:numId="21">
    <w:abstractNumId w:val="1"/>
  </w:num>
  <w:num w:numId="22">
    <w:abstractNumId w:val="15"/>
  </w:num>
  <w:num w:numId="2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201"/>
    <w:rsid w:val="00005252"/>
    <w:rsid w:val="00012036"/>
    <w:rsid w:val="000227C1"/>
    <w:rsid w:val="00024412"/>
    <w:rsid w:val="00025D89"/>
    <w:rsid w:val="00026032"/>
    <w:rsid w:val="0003164C"/>
    <w:rsid w:val="00034D15"/>
    <w:rsid w:val="00036DFA"/>
    <w:rsid w:val="0004482C"/>
    <w:rsid w:val="00047D4E"/>
    <w:rsid w:val="0005008B"/>
    <w:rsid w:val="000541C4"/>
    <w:rsid w:val="00057E17"/>
    <w:rsid w:val="00061667"/>
    <w:rsid w:val="00061F05"/>
    <w:rsid w:val="000637CB"/>
    <w:rsid w:val="00076520"/>
    <w:rsid w:val="000767DC"/>
    <w:rsid w:val="00077C7F"/>
    <w:rsid w:val="0008041B"/>
    <w:rsid w:val="00081489"/>
    <w:rsid w:val="000848F2"/>
    <w:rsid w:val="0009235F"/>
    <w:rsid w:val="00092A4B"/>
    <w:rsid w:val="000932C5"/>
    <w:rsid w:val="00094ECD"/>
    <w:rsid w:val="00095BBC"/>
    <w:rsid w:val="00097EDC"/>
    <w:rsid w:val="000A0EEA"/>
    <w:rsid w:val="000A1FF5"/>
    <w:rsid w:val="000A2ECB"/>
    <w:rsid w:val="000A56A8"/>
    <w:rsid w:val="000B24D6"/>
    <w:rsid w:val="000C0AE7"/>
    <w:rsid w:val="000C34CF"/>
    <w:rsid w:val="000D3387"/>
    <w:rsid w:val="000D7D3D"/>
    <w:rsid w:val="000E23FE"/>
    <w:rsid w:val="000E4151"/>
    <w:rsid w:val="001119BF"/>
    <w:rsid w:val="00114FA4"/>
    <w:rsid w:val="001167BC"/>
    <w:rsid w:val="00121A2F"/>
    <w:rsid w:val="00125BCE"/>
    <w:rsid w:val="00127D83"/>
    <w:rsid w:val="0013016E"/>
    <w:rsid w:val="00131A6C"/>
    <w:rsid w:val="001434F6"/>
    <w:rsid w:val="00147D91"/>
    <w:rsid w:val="001561EF"/>
    <w:rsid w:val="00157192"/>
    <w:rsid w:val="00160BCF"/>
    <w:rsid w:val="001613FB"/>
    <w:rsid w:val="001619D4"/>
    <w:rsid w:val="001676C6"/>
    <w:rsid w:val="00167DDF"/>
    <w:rsid w:val="001737AF"/>
    <w:rsid w:val="00173AE0"/>
    <w:rsid w:val="00180D30"/>
    <w:rsid w:val="00181ADB"/>
    <w:rsid w:val="00184753"/>
    <w:rsid w:val="001866B1"/>
    <w:rsid w:val="0018674F"/>
    <w:rsid w:val="00196FCC"/>
    <w:rsid w:val="001A24A0"/>
    <w:rsid w:val="001A3029"/>
    <w:rsid w:val="001A3D4D"/>
    <w:rsid w:val="001A5FD1"/>
    <w:rsid w:val="001B624D"/>
    <w:rsid w:val="001B68F4"/>
    <w:rsid w:val="001C0F4C"/>
    <w:rsid w:val="001C1DE0"/>
    <w:rsid w:val="001C2AEF"/>
    <w:rsid w:val="001E11DF"/>
    <w:rsid w:val="001E1346"/>
    <w:rsid w:val="001E1EC9"/>
    <w:rsid w:val="001E36E6"/>
    <w:rsid w:val="001E4001"/>
    <w:rsid w:val="001E76FD"/>
    <w:rsid w:val="001F1DFA"/>
    <w:rsid w:val="001F58B0"/>
    <w:rsid w:val="001F7DBD"/>
    <w:rsid w:val="0020354B"/>
    <w:rsid w:val="00206B47"/>
    <w:rsid w:val="00207009"/>
    <w:rsid w:val="002126CC"/>
    <w:rsid w:val="002176BD"/>
    <w:rsid w:val="00220A63"/>
    <w:rsid w:val="00224428"/>
    <w:rsid w:val="00225A67"/>
    <w:rsid w:val="00231F12"/>
    <w:rsid w:val="00234797"/>
    <w:rsid w:val="002404F5"/>
    <w:rsid w:val="00241F54"/>
    <w:rsid w:val="00245080"/>
    <w:rsid w:val="0026538C"/>
    <w:rsid w:val="00273ABC"/>
    <w:rsid w:val="002768AD"/>
    <w:rsid w:val="00281442"/>
    <w:rsid w:val="00285EFF"/>
    <w:rsid w:val="00287F4B"/>
    <w:rsid w:val="00290954"/>
    <w:rsid w:val="00293AA8"/>
    <w:rsid w:val="0029741D"/>
    <w:rsid w:val="00297CDF"/>
    <w:rsid w:val="002A5150"/>
    <w:rsid w:val="002B0B2D"/>
    <w:rsid w:val="002B28C4"/>
    <w:rsid w:val="002B362B"/>
    <w:rsid w:val="002B4982"/>
    <w:rsid w:val="002C1A7E"/>
    <w:rsid w:val="002D33EE"/>
    <w:rsid w:val="002D5DB9"/>
    <w:rsid w:val="002E0656"/>
    <w:rsid w:val="002E5009"/>
    <w:rsid w:val="002E5B88"/>
    <w:rsid w:val="002F178B"/>
    <w:rsid w:val="002F1FE6"/>
    <w:rsid w:val="002F25B0"/>
    <w:rsid w:val="002F2D92"/>
    <w:rsid w:val="002F2FA7"/>
    <w:rsid w:val="002F6321"/>
    <w:rsid w:val="002F7BA9"/>
    <w:rsid w:val="00300E77"/>
    <w:rsid w:val="00305A1E"/>
    <w:rsid w:val="003163B7"/>
    <w:rsid w:val="00320961"/>
    <w:rsid w:val="00320A13"/>
    <w:rsid w:val="00325ABB"/>
    <w:rsid w:val="003321E8"/>
    <w:rsid w:val="00333700"/>
    <w:rsid w:val="00340749"/>
    <w:rsid w:val="00345653"/>
    <w:rsid w:val="00346015"/>
    <w:rsid w:val="00346FD7"/>
    <w:rsid w:val="00351FBD"/>
    <w:rsid w:val="00352BDA"/>
    <w:rsid w:val="003541B8"/>
    <w:rsid w:val="00355C10"/>
    <w:rsid w:val="00360D1B"/>
    <w:rsid w:val="003644C0"/>
    <w:rsid w:val="00372D5F"/>
    <w:rsid w:val="00376A03"/>
    <w:rsid w:val="00382A0E"/>
    <w:rsid w:val="00384E9C"/>
    <w:rsid w:val="00395573"/>
    <w:rsid w:val="0039792E"/>
    <w:rsid w:val="003A15C1"/>
    <w:rsid w:val="003A3376"/>
    <w:rsid w:val="003A44FE"/>
    <w:rsid w:val="003A74B5"/>
    <w:rsid w:val="003B0004"/>
    <w:rsid w:val="003B3557"/>
    <w:rsid w:val="003B4BB0"/>
    <w:rsid w:val="003C2CA2"/>
    <w:rsid w:val="003C5A97"/>
    <w:rsid w:val="003C6233"/>
    <w:rsid w:val="003D1605"/>
    <w:rsid w:val="003D254D"/>
    <w:rsid w:val="003D2D7F"/>
    <w:rsid w:val="003E03AF"/>
    <w:rsid w:val="003E2673"/>
    <w:rsid w:val="003E542A"/>
    <w:rsid w:val="003E67AD"/>
    <w:rsid w:val="003F1844"/>
    <w:rsid w:val="003F39E8"/>
    <w:rsid w:val="003F520A"/>
    <w:rsid w:val="004038D1"/>
    <w:rsid w:val="00405FAF"/>
    <w:rsid w:val="00411085"/>
    <w:rsid w:val="004153B7"/>
    <w:rsid w:val="004166F1"/>
    <w:rsid w:val="00417DFE"/>
    <w:rsid w:val="00420732"/>
    <w:rsid w:val="00426681"/>
    <w:rsid w:val="0043236F"/>
    <w:rsid w:val="00433C9E"/>
    <w:rsid w:val="00446364"/>
    <w:rsid w:val="004521AD"/>
    <w:rsid w:val="00457FD4"/>
    <w:rsid w:val="00460EBA"/>
    <w:rsid w:val="00462BBC"/>
    <w:rsid w:val="00463525"/>
    <w:rsid w:val="00464063"/>
    <w:rsid w:val="004664AD"/>
    <w:rsid w:val="00472C06"/>
    <w:rsid w:val="00472CB3"/>
    <w:rsid w:val="004734A9"/>
    <w:rsid w:val="00473B04"/>
    <w:rsid w:val="00473B36"/>
    <w:rsid w:val="004740CD"/>
    <w:rsid w:val="00480537"/>
    <w:rsid w:val="00481018"/>
    <w:rsid w:val="004829AA"/>
    <w:rsid w:val="00482B67"/>
    <w:rsid w:val="00490862"/>
    <w:rsid w:val="0049173F"/>
    <w:rsid w:val="004A26CA"/>
    <w:rsid w:val="004A2D05"/>
    <w:rsid w:val="004A3EB7"/>
    <w:rsid w:val="004B6220"/>
    <w:rsid w:val="004B772B"/>
    <w:rsid w:val="004C12F7"/>
    <w:rsid w:val="004C6721"/>
    <w:rsid w:val="004D03B9"/>
    <w:rsid w:val="004D1B6D"/>
    <w:rsid w:val="004D44A8"/>
    <w:rsid w:val="004E75C3"/>
    <w:rsid w:val="004F58B2"/>
    <w:rsid w:val="004F5B58"/>
    <w:rsid w:val="00501778"/>
    <w:rsid w:val="00512412"/>
    <w:rsid w:val="00516064"/>
    <w:rsid w:val="0051652B"/>
    <w:rsid w:val="00516EEC"/>
    <w:rsid w:val="00517642"/>
    <w:rsid w:val="005208FC"/>
    <w:rsid w:val="0053540F"/>
    <w:rsid w:val="005466BD"/>
    <w:rsid w:val="00553E02"/>
    <w:rsid w:val="00554C56"/>
    <w:rsid w:val="00556261"/>
    <w:rsid w:val="0056034E"/>
    <w:rsid w:val="005651BB"/>
    <w:rsid w:val="0056547A"/>
    <w:rsid w:val="00567A7A"/>
    <w:rsid w:val="005723E4"/>
    <w:rsid w:val="00577639"/>
    <w:rsid w:val="00577E10"/>
    <w:rsid w:val="00580CFF"/>
    <w:rsid w:val="00582203"/>
    <w:rsid w:val="00596C95"/>
    <w:rsid w:val="00596DCF"/>
    <w:rsid w:val="005A1F79"/>
    <w:rsid w:val="005B08BF"/>
    <w:rsid w:val="005B0F49"/>
    <w:rsid w:val="005B49FE"/>
    <w:rsid w:val="005B6449"/>
    <w:rsid w:val="005D238C"/>
    <w:rsid w:val="005D3424"/>
    <w:rsid w:val="005D5321"/>
    <w:rsid w:val="005E13AE"/>
    <w:rsid w:val="005E3F0F"/>
    <w:rsid w:val="005E4BBC"/>
    <w:rsid w:val="005E719E"/>
    <w:rsid w:val="005F1FCE"/>
    <w:rsid w:val="005F1FEA"/>
    <w:rsid w:val="005F2D57"/>
    <w:rsid w:val="005F7A0D"/>
    <w:rsid w:val="006051AE"/>
    <w:rsid w:val="0061272F"/>
    <w:rsid w:val="006131FE"/>
    <w:rsid w:val="006147DB"/>
    <w:rsid w:val="00614E76"/>
    <w:rsid w:val="00615865"/>
    <w:rsid w:val="0061596D"/>
    <w:rsid w:val="00616934"/>
    <w:rsid w:val="00625393"/>
    <w:rsid w:val="00625FAC"/>
    <w:rsid w:val="00626668"/>
    <w:rsid w:val="00627CA6"/>
    <w:rsid w:val="0063373C"/>
    <w:rsid w:val="00635948"/>
    <w:rsid w:val="00636586"/>
    <w:rsid w:val="0063681C"/>
    <w:rsid w:val="00640FE7"/>
    <w:rsid w:val="00641C3A"/>
    <w:rsid w:val="006427E8"/>
    <w:rsid w:val="006455EC"/>
    <w:rsid w:val="00645E90"/>
    <w:rsid w:val="00646FDE"/>
    <w:rsid w:val="0064759D"/>
    <w:rsid w:val="006531F8"/>
    <w:rsid w:val="006548BB"/>
    <w:rsid w:val="00663229"/>
    <w:rsid w:val="00664401"/>
    <w:rsid w:val="0066730E"/>
    <w:rsid w:val="00670F37"/>
    <w:rsid w:val="00673AD3"/>
    <w:rsid w:val="00674C3B"/>
    <w:rsid w:val="00675ABB"/>
    <w:rsid w:val="00693C01"/>
    <w:rsid w:val="00696E48"/>
    <w:rsid w:val="006A28C4"/>
    <w:rsid w:val="006A5AB4"/>
    <w:rsid w:val="006A7BAB"/>
    <w:rsid w:val="006B0053"/>
    <w:rsid w:val="006B5621"/>
    <w:rsid w:val="006C5D9D"/>
    <w:rsid w:val="006C5E4B"/>
    <w:rsid w:val="006C6C73"/>
    <w:rsid w:val="006C6DC8"/>
    <w:rsid w:val="006D0232"/>
    <w:rsid w:val="006E3191"/>
    <w:rsid w:val="006E3751"/>
    <w:rsid w:val="006E3D1F"/>
    <w:rsid w:val="006E6640"/>
    <w:rsid w:val="006F132A"/>
    <w:rsid w:val="00704029"/>
    <w:rsid w:val="007060E0"/>
    <w:rsid w:val="00710C0B"/>
    <w:rsid w:val="007110BD"/>
    <w:rsid w:val="00711586"/>
    <w:rsid w:val="007152D0"/>
    <w:rsid w:val="00723B65"/>
    <w:rsid w:val="0072758C"/>
    <w:rsid w:val="007332FE"/>
    <w:rsid w:val="007346E7"/>
    <w:rsid w:val="00734A3E"/>
    <w:rsid w:val="00753FAD"/>
    <w:rsid w:val="00757487"/>
    <w:rsid w:val="00760021"/>
    <w:rsid w:val="00760771"/>
    <w:rsid w:val="00766AFC"/>
    <w:rsid w:val="00774776"/>
    <w:rsid w:val="007824CD"/>
    <w:rsid w:val="00782AD4"/>
    <w:rsid w:val="00782E60"/>
    <w:rsid w:val="007877C7"/>
    <w:rsid w:val="00797CAB"/>
    <w:rsid w:val="007A15E9"/>
    <w:rsid w:val="007B39C0"/>
    <w:rsid w:val="007C2607"/>
    <w:rsid w:val="007C48F1"/>
    <w:rsid w:val="007C6411"/>
    <w:rsid w:val="007D08E6"/>
    <w:rsid w:val="007D2D06"/>
    <w:rsid w:val="007D7345"/>
    <w:rsid w:val="007D76AF"/>
    <w:rsid w:val="007E292F"/>
    <w:rsid w:val="007F0FB1"/>
    <w:rsid w:val="007F2A6E"/>
    <w:rsid w:val="007F2F35"/>
    <w:rsid w:val="007F50F8"/>
    <w:rsid w:val="007F6D4B"/>
    <w:rsid w:val="0080072A"/>
    <w:rsid w:val="00803D92"/>
    <w:rsid w:val="0080508F"/>
    <w:rsid w:val="00805234"/>
    <w:rsid w:val="00806D27"/>
    <w:rsid w:val="0080778E"/>
    <w:rsid w:val="0082071E"/>
    <w:rsid w:val="00823683"/>
    <w:rsid w:val="00826850"/>
    <w:rsid w:val="0082734E"/>
    <w:rsid w:val="008328DD"/>
    <w:rsid w:val="00841364"/>
    <w:rsid w:val="00846386"/>
    <w:rsid w:val="00847E57"/>
    <w:rsid w:val="0085555F"/>
    <w:rsid w:val="0085796F"/>
    <w:rsid w:val="00861D69"/>
    <w:rsid w:val="008659E8"/>
    <w:rsid w:val="0087149F"/>
    <w:rsid w:val="00875201"/>
    <w:rsid w:val="00875CD0"/>
    <w:rsid w:val="008767FA"/>
    <w:rsid w:val="00884C0F"/>
    <w:rsid w:val="0088530F"/>
    <w:rsid w:val="00885EFD"/>
    <w:rsid w:val="00890A84"/>
    <w:rsid w:val="00892A73"/>
    <w:rsid w:val="00893196"/>
    <w:rsid w:val="008948E0"/>
    <w:rsid w:val="00896BB9"/>
    <w:rsid w:val="008A007C"/>
    <w:rsid w:val="008A1A2E"/>
    <w:rsid w:val="008A1E15"/>
    <w:rsid w:val="008B7E21"/>
    <w:rsid w:val="008C273E"/>
    <w:rsid w:val="008C2EB3"/>
    <w:rsid w:val="008C6C89"/>
    <w:rsid w:val="008D1BDF"/>
    <w:rsid w:val="008E4A31"/>
    <w:rsid w:val="008F0E79"/>
    <w:rsid w:val="008F3540"/>
    <w:rsid w:val="008F49E4"/>
    <w:rsid w:val="008F6B55"/>
    <w:rsid w:val="009007A6"/>
    <w:rsid w:val="00900A6B"/>
    <w:rsid w:val="00901A41"/>
    <w:rsid w:val="009021F8"/>
    <w:rsid w:val="00903B47"/>
    <w:rsid w:val="00910C9F"/>
    <w:rsid w:val="00914899"/>
    <w:rsid w:val="00914916"/>
    <w:rsid w:val="00915B57"/>
    <w:rsid w:val="00915D54"/>
    <w:rsid w:val="009171E2"/>
    <w:rsid w:val="00917223"/>
    <w:rsid w:val="00924A93"/>
    <w:rsid w:val="00924A94"/>
    <w:rsid w:val="00924F37"/>
    <w:rsid w:val="00926481"/>
    <w:rsid w:val="00930975"/>
    <w:rsid w:val="00932060"/>
    <w:rsid w:val="00937C4E"/>
    <w:rsid w:val="00941AA6"/>
    <w:rsid w:val="00942B6C"/>
    <w:rsid w:val="00943E1B"/>
    <w:rsid w:val="00944309"/>
    <w:rsid w:val="00961D15"/>
    <w:rsid w:val="009647D6"/>
    <w:rsid w:val="00964A27"/>
    <w:rsid w:val="009753D2"/>
    <w:rsid w:val="00975C93"/>
    <w:rsid w:val="009769EC"/>
    <w:rsid w:val="00980197"/>
    <w:rsid w:val="009804B5"/>
    <w:rsid w:val="009854C2"/>
    <w:rsid w:val="009867B8"/>
    <w:rsid w:val="009877D6"/>
    <w:rsid w:val="009B539E"/>
    <w:rsid w:val="009C63CC"/>
    <w:rsid w:val="009D1BC5"/>
    <w:rsid w:val="009D33F1"/>
    <w:rsid w:val="009D667A"/>
    <w:rsid w:val="009E3FDC"/>
    <w:rsid w:val="009E61FD"/>
    <w:rsid w:val="009F1CEB"/>
    <w:rsid w:val="009F6788"/>
    <w:rsid w:val="00A03E6C"/>
    <w:rsid w:val="00A10A02"/>
    <w:rsid w:val="00A2226F"/>
    <w:rsid w:val="00A327C4"/>
    <w:rsid w:val="00A34591"/>
    <w:rsid w:val="00A353B8"/>
    <w:rsid w:val="00A378DE"/>
    <w:rsid w:val="00A43000"/>
    <w:rsid w:val="00A53697"/>
    <w:rsid w:val="00A53F12"/>
    <w:rsid w:val="00A56CDB"/>
    <w:rsid w:val="00A6332F"/>
    <w:rsid w:val="00A66333"/>
    <w:rsid w:val="00A6711B"/>
    <w:rsid w:val="00A7034B"/>
    <w:rsid w:val="00A71579"/>
    <w:rsid w:val="00A73F1B"/>
    <w:rsid w:val="00A7675A"/>
    <w:rsid w:val="00A855DB"/>
    <w:rsid w:val="00A8579A"/>
    <w:rsid w:val="00A974DB"/>
    <w:rsid w:val="00AA1910"/>
    <w:rsid w:val="00AA6117"/>
    <w:rsid w:val="00AB201C"/>
    <w:rsid w:val="00AB74A0"/>
    <w:rsid w:val="00AC44B5"/>
    <w:rsid w:val="00AC61E7"/>
    <w:rsid w:val="00AC662F"/>
    <w:rsid w:val="00AE2B42"/>
    <w:rsid w:val="00AF0F4E"/>
    <w:rsid w:val="00AF2783"/>
    <w:rsid w:val="00AF3939"/>
    <w:rsid w:val="00B06FAA"/>
    <w:rsid w:val="00B1483E"/>
    <w:rsid w:val="00B27059"/>
    <w:rsid w:val="00B27D10"/>
    <w:rsid w:val="00B30A40"/>
    <w:rsid w:val="00B316C9"/>
    <w:rsid w:val="00B36D61"/>
    <w:rsid w:val="00B43A0D"/>
    <w:rsid w:val="00B51472"/>
    <w:rsid w:val="00B52D4B"/>
    <w:rsid w:val="00B535A9"/>
    <w:rsid w:val="00B536B0"/>
    <w:rsid w:val="00B54ADF"/>
    <w:rsid w:val="00B574F5"/>
    <w:rsid w:val="00B63C44"/>
    <w:rsid w:val="00B640CC"/>
    <w:rsid w:val="00B642EB"/>
    <w:rsid w:val="00B6464C"/>
    <w:rsid w:val="00B66209"/>
    <w:rsid w:val="00B66DE1"/>
    <w:rsid w:val="00B67FF6"/>
    <w:rsid w:val="00B7674B"/>
    <w:rsid w:val="00B77EBB"/>
    <w:rsid w:val="00B81EA6"/>
    <w:rsid w:val="00B82333"/>
    <w:rsid w:val="00B95336"/>
    <w:rsid w:val="00BA3239"/>
    <w:rsid w:val="00BB08F1"/>
    <w:rsid w:val="00BC0F31"/>
    <w:rsid w:val="00BD0A20"/>
    <w:rsid w:val="00BD3422"/>
    <w:rsid w:val="00BE043C"/>
    <w:rsid w:val="00BE2CB0"/>
    <w:rsid w:val="00BE43AC"/>
    <w:rsid w:val="00BE52CE"/>
    <w:rsid w:val="00BE5D1B"/>
    <w:rsid w:val="00BF2078"/>
    <w:rsid w:val="00BF3BB9"/>
    <w:rsid w:val="00BF6EA3"/>
    <w:rsid w:val="00C01F25"/>
    <w:rsid w:val="00C116DB"/>
    <w:rsid w:val="00C12295"/>
    <w:rsid w:val="00C13760"/>
    <w:rsid w:val="00C23463"/>
    <w:rsid w:val="00C34FE4"/>
    <w:rsid w:val="00C42A9F"/>
    <w:rsid w:val="00C5625D"/>
    <w:rsid w:val="00C74463"/>
    <w:rsid w:val="00C752D3"/>
    <w:rsid w:val="00C77BF0"/>
    <w:rsid w:val="00C834C4"/>
    <w:rsid w:val="00C942C2"/>
    <w:rsid w:val="00C95EA5"/>
    <w:rsid w:val="00C96F0A"/>
    <w:rsid w:val="00CA4031"/>
    <w:rsid w:val="00CA411A"/>
    <w:rsid w:val="00CA6D9A"/>
    <w:rsid w:val="00CB1C02"/>
    <w:rsid w:val="00CB625F"/>
    <w:rsid w:val="00CB7B99"/>
    <w:rsid w:val="00CD0A5E"/>
    <w:rsid w:val="00CD3D50"/>
    <w:rsid w:val="00CD585A"/>
    <w:rsid w:val="00CD618A"/>
    <w:rsid w:val="00CD65FB"/>
    <w:rsid w:val="00CD72F0"/>
    <w:rsid w:val="00CE0550"/>
    <w:rsid w:val="00CE54E9"/>
    <w:rsid w:val="00CF1A96"/>
    <w:rsid w:val="00CF230C"/>
    <w:rsid w:val="00CF3352"/>
    <w:rsid w:val="00CF5480"/>
    <w:rsid w:val="00D00A93"/>
    <w:rsid w:val="00D06F5F"/>
    <w:rsid w:val="00D07F11"/>
    <w:rsid w:val="00D1094C"/>
    <w:rsid w:val="00D1312E"/>
    <w:rsid w:val="00D14143"/>
    <w:rsid w:val="00D14F4F"/>
    <w:rsid w:val="00D15A49"/>
    <w:rsid w:val="00D20201"/>
    <w:rsid w:val="00D20D56"/>
    <w:rsid w:val="00D212ED"/>
    <w:rsid w:val="00D33BF7"/>
    <w:rsid w:val="00D41B08"/>
    <w:rsid w:val="00D44630"/>
    <w:rsid w:val="00D70F67"/>
    <w:rsid w:val="00D71056"/>
    <w:rsid w:val="00D77A2C"/>
    <w:rsid w:val="00D82DBA"/>
    <w:rsid w:val="00D90FA5"/>
    <w:rsid w:val="00D93345"/>
    <w:rsid w:val="00D94CAB"/>
    <w:rsid w:val="00D96DB2"/>
    <w:rsid w:val="00DA2155"/>
    <w:rsid w:val="00DA30AC"/>
    <w:rsid w:val="00DA5D42"/>
    <w:rsid w:val="00DB2A7C"/>
    <w:rsid w:val="00DB77C1"/>
    <w:rsid w:val="00DE563E"/>
    <w:rsid w:val="00DF22D1"/>
    <w:rsid w:val="00DF371D"/>
    <w:rsid w:val="00DF61A1"/>
    <w:rsid w:val="00E01254"/>
    <w:rsid w:val="00E02383"/>
    <w:rsid w:val="00E1201A"/>
    <w:rsid w:val="00E126F8"/>
    <w:rsid w:val="00E20226"/>
    <w:rsid w:val="00E24328"/>
    <w:rsid w:val="00E26256"/>
    <w:rsid w:val="00E32B1C"/>
    <w:rsid w:val="00E331BC"/>
    <w:rsid w:val="00E50492"/>
    <w:rsid w:val="00E51A6C"/>
    <w:rsid w:val="00E5549B"/>
    <w:rsid w:val="00E74858"/>
    <w:rsid w:val="00E76A5B"/>
    <w:rsid w:val="00E77315"/>
    <w:rsid w:val="00E800FB"/>
    <w:rsid w:val="00E81FEA"/>
    <w:rsid w:val="00E83D75"/>
    <w:rsid w:val="00E85B75"/>
    <w:rsid w:val="00EA100A"/>
    <w:rsid w:val="00EA3A16"/>
    <w:rsid w:val="00EA6C76"/>
    <w:rsid w:val="00EA78F4"/>
    <w:rsid w:val="00EB2DB3"/>
    <w:rsid w:val="00EB345F"/>
    <w:rsid w:val="00EC079D"/>
    <w:rsid w:val="00EC1172"/>
    <w:rsid w:val="00ED019D"/>
    <w:rsid w:val="00ED3286"/>
    <w:rsid w:val="00EE0C0B"/>
    <w:rsid w:val="00EE239B"/>
    <w:rsid w:val="00EE5357"/>
    <w:rsid w:val="00EE5A7B"/>
    <w:rsid w:val="00EE6656"/>
    <w:rsid w:val="00EF33CF"/>
    <w:rsid w:val="00EF7162"/>
    <w:rsid w:val="00EF7955"/>
    <w:rsid w:val="00F01133"/>
    <w:rsid w:val="00F0617E"/>
    <w:rsid w:val="00F124E9"/>
    <w:rsid w:val="00F13E3C"/>
    <w:rsid w:val="00F23026"/>
    <w:rsid w:val="00F25062"/>
    <w:rsid w:val="00F257E1"/>
    <w:rsid w:val="00F26A02"/>
    <w:rsid w:val="00F276BB"/>
    <w:rsid w:val="00F34BC6"/>
    <w:rsid w:val="00F35402"/>
    <w:rsid w:val="00F44F5E"/>
    <w:rsid w:val="00F500F3"/>
    <w:rsid w:val="00F61541"/>
    <w:rsid w:val="00F617B3"/>
    <w:rsid w:val="00F61872"/>
    <w:rsid w:val="00F620F9"/>
    <w:rsid w:val="00F65AF2"/>
    <w:rsid w:val="00F66CE3"/>
    <w:rsid w:val="00F671DF"/>
    <w:rsid w:val="00F7298B"/>
    <w:rsid w:val="00F74AB1"/>
    <w:rsid w:val="00F77F41"/>
    <w:rsid w:val="00F8018C"/>
    <w:rsid w:val="00F80A2D"/>
    <w:rsid w:val="00F8140C"/>
    <w:rsid w:val="00F873CB"/>
    <w:rsid w:val="00F90966"/>
    <w:rsid w:val="00FA03E6"/>
    <w:rsid w:val="00FA71EF"/>
    <w:rsid w:val="00FB291D"/>
    <w:rsid w:val="00FB336C"/>
    <w:rsid w:val="00FB6A3B"/>
    <w:rsid w:val="00FB7663"/>
    <w:rsid w:val="00FD3BC4"/>
    <w:rsid w:val="00FD6021"/>
    <w:rsid w:val="00FD6CA9"/>
    <w:rsid w:val="00FE053A"/>
    <w:rsid w:val="00FE6CBF"/>
    <w:rsid w:val="00FF22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46192"/>
  <w15:docId w15:val="{07D793B7-19AE-4E3F-AA78-8FFCFD4F3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1" w:unhideWhenUsed="1"/>
    <w:lsdException w:name="List Bullet 4" w:semiHidden="1" w:uiPriority="1" w:unhideWhenUsed="1"/>
    <w:lsdException w:name="List Bullet 5" w:semiHidden="1" w:uiPriority="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autoSpaceDN w:val="0"/>
      <w:textAlignment w:val="baseline"/>
    </w:pPr>
    <w:rPr>
      <w:sz w:val="22"/>
      <w:szCs w:val="22"/>
      <w:lang w:eastAsia="en-US"/>
    </w:rPr>
  </w:style>
  <w:style w:type="paragraph" w:styleId="Heading1">
    <w:name w:val="heading 1"/>
    <w:basedOn w:val="Normal"/>
    <w:next w:val="Normal"/>
    <w:link w:val="Heading1Char"/>
    <w:uiPriority w:val="9"/>
    <w:qFormat/>
    <w:rsid w:val="004F5B58"/>
    <w:pPr>
      <w:spacing w:before="1200"/>
      <w:outlineLvl w:val="0"/>
    </w:pPr>
    <w:rPr>
      <w:rFonts w:ascii="Arial" w:hAnsi="Arial" w:cs="Arial"/>
      <w:b/>
      <w:sz w:val="44"/>
      <w:szCs w:val="24"/>
    </w:rPr>
  </w:style>
  <w:style w:type="paragraph" w:styleId="Heading2">
    <w:name w:val="heading 2"/>
    <w:basedOn w:val="Normal"/>
    <w:next w:val="Normal"/>
    <w:link w:val="Heading2Char"/>
    <w:unhideWhenUsed/>
    <w:qFormat/>
    <w:rsid w:val="004F5B58"/>
    <w:pPr>
      <w:keepNext/>
      <w:numPr>
        <w:ilvl w:val="1"/>
        <w:numId w:val="4"/>
      </w:numPr>
      <w:autoSpaceDN/>
      <w:spacing w:before="240" w:after="60"/>
      <w:outlineLvl w:val="1"/>
    </w:pPr>
    <w:rPr>
      <w:rFonts w:ascii="Arial" w:eastAsia="Times New Roman" w:hAnsi="Arial" w:cs="Arial"/>
      <w:b/>
      <w:bCs/>
      <w:iCs/>
      <w:sz w:val="28"/>
      <w:szCs w:val="28"/>
      <w:lang w:eastAsia="zh-CN"/>
    </w:rPr>
  </w:style>
  <w:style w:type="paragraph" w:styleId="Heading3">
    <w:name w:val="heading 3"/>
    <w:basedOn w:val="Normal"/>
    <w:next w:val="Normal"/>
    <w:link w:val="Heading3Char"/>
    <w:unhideWhenUsed/>
    <w:qFormat/>
    <w:rsid w:val="004F5B58"/>
    <w:pPr>
      <w:keepNext/>
      <w:numPr>
        <w:ilvl w:val="2"/>
        <w:numId w:val="4"/>
      </w:numPr>
      <w:autoSpaceDN/>
      <w:spacing w:before="240" w:after="60"/>
      <w:outlineLvl w:val="2"/>
    </w:pPr>
    <w:rPr>
      <w:rFonts w:ascii="Arial" w:eastAsia="Times New Roman" w:hAnsi="Arial" w:cs="Arial"/>
      <w:b/>
      <w:bCs/>
      <w:sz w:val="26"/>
      <w:szCs w:val="26"/>
      <w:lang w:eastAsia="zh-CN"/>
    </w:rPr>
  </w:style>
  <w:style w:type="paragraph" w:styleId="Heading4">
    <w:name w:val="heading 4"/>
    <w:basedOn w:val="Normal"/>
    <w:next w:val="Normal"/>
    <w:link w:val="Heading4Char"/>
    <w:unhideWhenUsed/>
    <w:qFormat/>
    <w:rsid w:val="0039792E"/>
    <w:pPr>
      <w:keepNext/>
      <w:keepLines/>
      <w:spacing w:before="40"/>
      <w:outlineLvl w:val="3"/>
    </w:pPr>
    <w:rPr>
      <w:rFonts w:ascii="Arial" w:eastAsia="Arial" w:hAnsi="Arial" w:cs="Arial"/>
      <w:b/>
      <w:iCs/>
      <w:color w:val="231F20"/>
      <w:sz w:val="24"/>
      <w:szCs w:val="20"/>
      <w:lang w:eastAsia="en-GB"/>
    </w:rPr>
  </w:style>
  <w:style w:type="paragraph" w:styleId="Heading5">
    <w:name w:val="heading 5"/>
    <w:basedOn w:val="Normal"/>
    <w:next w:val="BodyText"/>
    <w:link w:val="Heading5Char"/>
    <w:unhideWhenUsed/>
    <w:qFormat/>
    <w:rsid w:val="00ED019D"/>
    <w:pPr>
      <w:keepNext/>
      <w:numPr>
        <w:ilvl w:val="4"/>
        <w:numId w:val="4"/>
      </w:numPr>
      <w:autoSpaceDN/>
      <w:spacing w:before="120" w:after="60"/>
      <w:outlineLvl w:val="4"/>
    </w:pPr>
    <w:rPr>
      <w:rFonts w:ascii="Liberation Sans" w:eastAsia="Microsoft YaHei" w:hAnsi="Liberation Sans" w:cs="Arial"/>
      <w:b/>
      <w:bCs/>
      <w:sz w:val="24"/>
      <w:szCs w:val="24"/>
      <w:lang w:eastAsia="zh-CN"/>
    </w:rPr>
  </w:style>
  <w:style w:type="paragraph" w:styleId="Heading6">
    <w:name w:val="heading 6"/>
    <w:basedOn w:val="Normal"/>
    <w:next w:val="Normal"/>
    <w:link w:val="Heading6Char"/>
    <w:semiHidden/>
    <w:unhideWhenUsed/>
    <w:qFormat/>
    <w:rsid w:val="00CF3352"/>
    <w:pPr>
      <w:keepNext/>
      <w:keepLines/>
      <w:spacing w:before="40"/>
      <w:outlineLvl w:val="5"/>
    </w:pPr>
    <w:rPr>
      <w:rFonts w:ascii="Arial" w:eastAsia="Arial" w:hAnsi="Arial" w:cs="Arial"/>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qForma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qFormat/>
  </w:style>
  <w:style w:type="paragraph" w:styleId="ListParagraph">
    <w:name w:val="List Paragraph"/>
    <w:basedOn w:val="Normal"/>
    <w:uiPriority w:val="34"/>
    <w:qFormat/>
    <w:pPr>
      <w:ind w:left="720"/>
    </w:pPr>
  </w:style>
  <w:style w:type="character" w:styleId="CommentReference">
    <w:name w:val="annotation reference"/>
    <w:uiPriority w:val="99"/>
    <w:qFormat/>
    <w:rPr>
      <w:sz w:val="16"/>
      <w:szCs w:val="16"/>
    </w:rPr>
  </w:style>
  <w:style w:type="paragraph" w:styleId="CommentText">
    <w:name w:val="annotation text"/>
    <w:basedOn w:val="Normal"/>
    <w:uiPriority w:val="99"/>
    <w:qFormat/>
    <w:rPr>
      <w:sz w:val="20"/>
      <w:szCs w:val="20"/>
    </w:rPr>
  </w:style>
  <w:style w:type="character" w:customStyle="1" w:styleId="CommentTextChar">
    <w:name w:val="Comment Text Char"/>
    <w:uiPriority w:val="99"/>
    <w:qFormat/>
    <w:rPr>
      <w:sz w:val="20"/>
      <w:szCs w:val="20"/>
    </w:rPr>
  </w:style>
  <w:style w:type="paragraph" w:styleId="CommentSubject">
    <w:name w:val="annotation subject"/>
    <w:basedOn w:val="CommentText"/>
    <w:next w:val="CommentText"/>
    <w:uiPriority w:val="99"/>
    <w:qFormat/>
    <w:rPr>
      <w:b/>
      <w:bCs/>
    </w:rPr>
  </w:style>
  <w:style w:type="character" w:customStyle="1" w:styleId="CommentSubjectChar">
    <w:name w:val="Comment Subject Char"/>
    <w:uiPriority w:val="99"/>
    <w:qFormat/>
    <w:rPr>
      <w:b/>
      <w:bCs/>
      <w:sz w:val="20"/>
      <w:szCs w:val="20"/>
    </w:rPr>
  </w:style>
  <w:style w:type="paragraph" w:styleId="BalloonText">
    <w:name w:val="Balloon Text"/>
    <w:basedOn w:val="Normal"/>
    <w:uiPriority w:val="99"/>
    <w:qFormat/>
    <w:rPr>
      <w:rFonts w:ascii="Tahoma" w:hAnsi="Tahoma" w:cs="Tahoma"/>
      <w:sz w:val="16"/>
      <w:szCs w:val="16"/>
    </w:rPr>
  </w:style>
  <w:style w:type="character" w:customStyle="1" w:styleId="BalloonTextChar">
    <w:name w:val="Balloon Text Char"/>
    <w:uiPriority w:val="99"/>
    <w:qFormat/>
    <w:rPr>
      <w:rFonts w:ascii="Tahoma" w:hAnsi="Tahoma" w:cs="Tahoma"/>
      <w:sz w:val="16"/>
      <w:szCs w:val="16"/>
    </w:rPr>
  </w:style>
  <w:style w:type="character" w:styleId="FollowedHyperlink">
    <w:name w:val="FollowedHyperlink"/>
    <w:uiPriority w:val="99"/>
    <w:rPr>
      <w:color w:val="800080"/>
      <w:u w:val="single"/>
    </w:rPr>
  </w:style>
  <w:style w:type="paragraph" w:styleId="NoSpacing">
    <w:name w:val="No Spacing"/>
    <w:uiPriority w:val="1"/>
    <w:qFormat/>
    <w:pPr>
      <w:suppressAutoHyphens/>
      <w:autoSpaceDN w:val="0"/>
      <w:textAlignment w:val="baseline"/>
    </w:pPr>
    <w:rPr>
      <w:rFonts w:eastAsia="Times New Roman"/>
      <w:sz w:val="22"/>
      <w:szCs w:val="22"/>
    </w:rPr>
  </w:style>
  <w:style w:type="paragraph" w:customStyle="1" w:styleId="Default">
    <w:name w:val="Default"/>
    <w:qFormat/>
    <w:pPr>
      <w:suppressAutoHyphens/>
      <w:autoSpaceDE w:val="0"/>
      <w:autoSpaceDN w:val="0"/>
    </w:pPr>
    <w:rPr>
      <w:rFonts w:ascii="Arial" w:eastAsia="Times New Roman" w:hAnsi="Arial" w:cs="Arial"/>
      <w:color w:val="000000"/>
      <w:sz w:val="24"/>
      <w:szCs w:val="24"/>
    </w:rPr>
  </w:style>
  <w:style w:type="table" w:styleId="TableGrid">
    <w:name w:val="Table Grid"/>
    <w:basedOn w:val="TableNormal"/>
    <w:uiPriority w:val="39"/>
    <w:rsid w:val="00605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32060"/>
    <w:rPr>
      <w:i/>
      <w:iCs/>
    </w:rPr>
  </w:style>
  <w:style w:type="paragraph" w:customStyle="1" w:styleId="western">
    <w:name w:val="western"/>
    <w:basedOn w:val="Normal"/>
    <w:rsid w:val="004D44A8"/>
    <w:pPr>
      <w:suppressAutoHyphens w:val="0"/>
      <w:autoSpaceDN/>
      <w:spacing w:before="100" w:beforeAutospacing="1" w:after="142" w:line="276" w:lineRule="auto"/>
      <w:textAlignment w:val="auto"/>
    </w:pPr>
    <w:rPr>
      <w:rFonts w:ascii="Times New Roman" w:eastAsia="Times New Roman" w:hAnsi="Times New Roman"/>
      <w:sz w:val="24"/>
      <w:szCs w:val="24"/>
      <w:lang w:eastAsia="en-GB"/>
    </w:rPr>
  </w:style>
  <w:style w:type="paragraph" w:styleId="BodyText">
    <w:name w:val="Body Text"/>
    <w:basedOn w:val="Normal"/>
    <w:link w:val="BodyTextChar"/>
    <w:uiPriority w:val="99"/>
    <w:qFormat/>
    <w:rsid w:val="00ED019D"/>
    <w:pPr>
      <w:autoSpaceDN/>
      <w:spacing w:after="140" w:line="276" w:lineRule="auto"/>
    </w:pPr>
    <w:rPr>
      <w:lang w:eastAsia="zh-CN"/>
    </w:rPr>
  </w:style>
  <w:style w:type="character" w:customStyle="1" w:styleId="BodyTextChar">
    <w:name w:val="Body Text Char"/>
    <w:basedOn w:val="DefaultParagraphFont"/>
    <w:link w:val="BodyText"/>
    <w:uiPriority w:val="99"/>
    <w:qFormat/>
    <w:rsid w:val="00ED019D"/>
    <w:rPr>
      <w:sz w:val="22"/>
      <w:szCs w:val="22"/>
      <w:lang w:eastAsia="zh-CN"/>
    </w:rPr>
  </w:style>
  <w:style w:type="character" w:customStyle="1" w:styleId="Heading1Char">
    <w:name w:val="Heading 1 Char"/>
    <w:basedOn w:val="DefaultParagraphFont"/>
    <w:link w:val="Heading1"/>
    <w:uiPriority w:val="9"/>
    <w:qFormat/>
    <w:rsid w:val="004F5B58"/>
    <w:rPr>
      <w:rFonts w:ascii="Arial" w:hAnsi="Arial" w:cs="Arial"/>
      <w:b/>
      <w:sz w:val="44"/>
      <w:szCs w:val="24"/>
      <w:lang w:eastAsia="en-US"/>
    </w:rPr>
  </w:style>
  <w:style w:type="character" w:customStyle="1" w:styleId="Heading2Char">
    <w:name w:val="Heading 2 Char"/>
    <w:basedOn w:val="DefaultParagraphFont"/>
    <w:link w:val="Heading2"/>
    <w:qFormat/>
    <w:rsid w:val="004F5B58"/>
    <w:rPr>
      <w:rFonts w:ascii="Arial" w:eastAsia="Times New Roman" w:hAnsi="Arial" w:cs="Arial"/>
      <w:b/>
      <w:bCs/>
      <w:iCs/>
      <w:sz w:val="28"/>
      <w:szCs w:val="28"/>
      <w:lang w:eastAsia="zh-CN"/>
    </w:rPr>
  </w:style>
  <w:style w:type="character" w:customStyle="1" w:styleId="Heading3Char">
    <w:name w:val="Heading 3 Char"/>
    <w:basedOn w:val="DefaultParagraphFont"/>
    <w:link w:val="Heading3"/>
    <w:qFormat/>
    <w:rsid w:val="004F5B58"/>
    <w:rPr>
      <w:rFonts w:ascii="Arial" w:eastAsia="Times New Roman" w:hAnsi="Arial" w:cs="Arial"/>
      <w:b/>
      <w:bCs/>
      <w:sz w:val="26"/>
      <w:szCs w:val="26"/>
      <w:lang w:eastAsia="zh-CN"/>
    </w:rPr>
  </w:style>
  <w:style w:type="character" w:customStyle="1" w:styleId="Heading5Char">
    <w:name w:val="Heading 5 Char"/>
    <w:basedOn w:val="DefaultParagraphFont"/>
    <w:link w:val="Heading5"/>
    <w:qFormat/>
    <w:rsid w:val="00ED019D"/>
    <w:rPr>
      <w:rFonts w:ascii="Liberation Sans" w:eastAsia="Microsoft YaHei" w:hAnsi="Liberation Sans" w:cs="Arial"/>
      <w:b/>
      <w:bCs/>
      <w:sz w:val="24"/>
      <w:szCs w:val="24"/>
      <w:lang w:eastAsia="zh-CN"/>
    </w:rPr>
  </w:style>
  <w:style w:type="paragraph" w:customStyle="1" w:styleId="TableContents">
    <w:name w:val="Table Contents"/>
    <w:basedOn w:val="Normal"/>
    <w:qFormat/>
    <w:rsid w:val="00ED019D"/>
    <w:pPr>
      <w:suppressLineNumbers/>
      <w:autoSpaceDN/>
    </w:pPr>
    <w:rPr>
      <w:lang w:eastAsia="zh-CN"/>
    </w:rPr>
  </w:style>
  <w:style w:type="paragraph" w:customStyle="1" w:styleId="DefinitionList">
    <w:name w:val="Definition List"/>
    <w:basedOn w:val="Normal"/>
    <w:qFormat/>
    <w:rsid w:val="00ED019D"/>
    <w:pPr>
      <w:autoSpaceDN/>
      <w:ind w:left="360"/>
    </w:pPr>
    <w:rPr>
      <w:lang w:eastAsia="zh-CN"/>
    </w:rPr>
  </w:style>
  <w:style w:type="paragraph" w:customStyle="1" w:styleId="Heading41">
    <w:name w:val="Heading 41"/>
    <w:basedOn w:val="Normal"/>
    <w:next w:val="BodyText"/>
    <w:qFormat/>
    <w:rsid w:val="00CF3352"/>
    <w:pPr>
      <w:keepNext/>
      <w:keepLines/>
      <w:suppressAutoHyphens w:val="0"/>
      <w:autoSpaceDN/>
      <w:spacing w:before="300" w:after="300"/>
      <w:textAlignment w:val="auto"/>
      <w:outlineLvl w:val="3"/>
    </w:pPr>
    <w:rPr>
      <w:rFonts w:ascii="Arial" w:eastAsia="Arial" w:hAnsi="Arial" w:cs="Arial"/>
      <w:b/>
      <w:iCs/>
      <w:color w:val="231F20"/>
      <w:sz w:val="24"/>
      <w:szCs w:val="24"/>
    </w:rPr>
  </w:style>
  <w:style w:type="paragraph" w:customStyle="1" w:styleId="Heading61">
    <w:name w:val="Heading 61"/>
    <w:basedOn w:val="Normal"/>
    <w:next w:val="BodyText"/>
    <w:qFormat/>
    <w:rsid w:val="00CF3352"/>
    <w:pPr>
      <w:keepNext/>
      <w:keepLines/>
      <w:suppressAutoHyphens w:val="0"/>
      <w:autoSpaceDN/>
      <w:spacing w:before="300" w:after="300"/>
      <w:textAlignment w:val="auto"/>
      <w:outlineLvl w:val="5"/>
    </w:pPr>
    <w:rPr>
      <w:rFonts w:ascii="Arial" w:eastAsia="Arial" w:hAnsi="Arial" w:cs="Arial"/>
      <w:b/>
      <w:sz w:val="24"/>
      <w:szCs w:val="24"/>
    </w:rPr>
  </w:style>
  <w:style w:type="numbering" w:customStyle="1" w:styleId="NoList1">
    <w:name w:val="No List1"/>
    <w:next w:val="NoList"/>
    <w:uiPriority w:val="99"/>
    <w:semiHidden/>
    <w:unhideWhenUsed/>
    <w:rsid w:val="00CF3352"/>
  </w:style>
  <w:style w:type="character" w:customStyle="1" w:styleId="Heading4Char">
    <w:name w:val="Heading 4 Char"/>
    <w:basedOn w:val="DefaultParagraphFont"/>
    <w:link w:val="Heading4"/>
    <w:qFormat/>
    <w:rsid w:val="0039792E"/>
    <w:rPr>
      <w:rFonts w:ascii="Arial" w:eastAsia="Arial" w:hAnsi="Arial" w:cs="Arial"/>
      <w:b/>
      <w:iCs/>
      <w:color w:val="231F20"/>
      <w:sz w:val="24"/>
    </w:rPr>
  </w:style>
  <w:style w:type="character" w:customStyle="1" w:styleId="Heading6Char">
    <w:name w:val="Heading 6 Char"/>
    <w:basedOn w:val="DefaultParagraphFont"/>
    <w:link w:val="Heading6"/>
    <w:qFormat/>
    <w:rsid w:val="00CF3352"/>
    <w:rPr>
      <w:rFonts w:ascii="Arial" w:eastAsia="Arial" w:hAnsi="Arial" w:cs="Arial"/>
      <w:b/>
      <w:lang w:val="en-GB"/>
    </w:rPr>
  </w:style>
  <w:style w:type="character" w:customStyle="1" w:styleId="SubtitleChar">
    <w:name w:val="Subtitle Char"/>
    <w:basedOn w:val="DefaultParagraphFont"/>
    <w:link w:val="Subtitle"/>
    <w:qFormat/>
    <w:rsid w:val="00CF3352"/>
    <w:rPr>
      <w:rFonts w:ascii="Arial" w:eastAsia="Arial" w:hAnsi="Arial"/>
      <w:color w:val="231F20"/>
      <w:sz w:val="28"/>
      <w:lang w:val="en-GB"/>
    </w:rPr>
  </w:style>
  <w:style w:type="character" w:customStyle="1" w:styleId="TitleChar">
    <w:name w:val="Title Char"/>
    <w:basedOn w:val="DefaultParagraphFont"/>
    <w:link w:val="Title"/>
    <w:qFormat/>
    <w:rsid w:val="00CF3352"/>
    <w:rPr>
      <w:rFonts w:ascii="Arial" w:eastAsia="Arial" w:hAnsi="Arial" w:cs="Arial"/>
      <w:color w:val="005EB8"/>
      <w:spacing w:val="-10"/>
      <w:kern w:val="2"/>
      <w:sz w:val="96"/>
      <w:szCs w:val="56"/>
      <w:lang w:val="en-GB"/>
    </w:rPr>
  </w:style>
  <w:style w:type="character" w:styleId="PlaceholderText">
    <w:name w:val="Placeholder Text"/>
    <w:basedOn w:val="DefaultParagraphFont"/>
    <w:uiPriority w:val="99"/>
    <w:qFormat/>
    <w:rsid w:val="00CF3352"/>
    <w:rPr>
      <w:color w:val="FF0000"/>
      <w:shd w:val="clear" w:color="auto" w:fill="FFFF00"/>
    </w:rPr>
  </w:style>
  <w:style w:type="character" w:customStyle="1" w:styleId="FooterPipe">
    <w:name w:val="Footer Pipe"/>
    <w:basedOn w:val="DefaultParagraphFont"/>
    <w:uiPriority w:val="1"/>
    <w:qFormat/>
    <w:rsid w:val="00CF3352"/>
    <w:rPr>
      <w:b/>
      <w:color w:val="005EB8"/>
    </w:rPr>
  </w:style>
  <w:style w:type="character" w:customStyle="1" w:styleId="FootnoteCharacters">
    <w:name w:val="Footnote Characters"/>
    <w:basedOn w:val="DefaultParagraphFont"/>
    <w:uiPriority w:val="99"/>
    <w:semiHidden/>
    <w:unhideWhenUsed/>
    <w:qFormat/>
    <w:rsid w:val="00CF3352"/>
    <w:rPr>
      <w:vertAlign w:val="superscript"/>
    </w:rPr>
  </w:style>
  <w:style w:type="character" w:customStyle="1" w:styleId="FootnoteAnchor">
    <w:name w:val="Footnote Anchor"/>
    <w:rsid w:val="00CF3352"/>
    <w:rPr>
      <w:vertAlign w:val="superscript"/>
    </w:rPr>
  </w:style>
  <w:style w:type="character" w:customStyle="1" w:styleId="FootnoteTextChar">
    <w:name w:val="Footnote Text Char"/>
    <w:basedOn w:val="DefaultParagraphFont"/>
    <w:link w:val="FootnoteText"/>
    <w:uiPriority w:val="99"/>
    <w:semiHidden/>
    <w:qFormat/>
    <w:rsid w:val="00CF3352"/>
    <w:rPr>
      <w:rFonts w:ascii="Arial" w:hAnsi="Arial"/>
      <w:color w:val="231F20"/>
    </w:rPr>
  </w:style>
  <w:style w:type="character" w:customStyle="1" w:styleId="Highlight">
    <w:name w:val="Highlight"/>
    <w:basedOn w:val="DefaultParagraphFont"/>
    <w:qFormat/>
    <w:rsid w:val="00CF3352"/>
    <w:rPr>
      <w:color w:val="41B6E6"/>
    </w:rPr>
  </w:style>
  <w:style w:type="character" w:customStyle="1" w:styleId="QuoteChar">
    <w:name w:val="Quote Char"/>
    <w:basedOn w:val="DefaultParagraphFont"/>
    <w:link w:val="Quote"/>
    <w:uiPriority w:val="29"/>
    <w:qFormat/>
    <w:rsid w:val="00CF3352"/>
    <w:rPr>
      <w:rFonts w:ascii="Arial" w:hAnsi="Arial"/>
      <w:iCs/>
      <w:color w:val="005EB8"/>
    </w:rPr>
  </w:style>
  <w:style w:type="character" w:customStyle="1" w:styleId="BodyText2Char">
    <w:name w:val="Body Text 2 Char"/>
    <w:basedOn w:val="DefaultParagraphFont"/>
    <w:link w:val="BodyText2"/>
    <w:qFormat/>
    <w:rsid w:val="00CF3352"/>
    <w:rPr>
      <w:rFonts w:ascii="Arial" w:hAnsi="Arial"/>
      <w:color w:val="231F20"/>
    </w:rPr>
  </w:style>
  <w:style w:type="character" w:customStyle="1" w:styleId="s1">
    <w:name w:val="s1"/>
    <w:basedOn w:val="DefaultParagraphFont"/>
    <w:qFormat/>
    <w:rsid w:val="00CF3352"/>
  </w:style>
  <w:style w:type="character" w:customStyle="1" w:styleId="apple-converted-space">
    <w:name w:val="apple-converted-space"/>
    <w:basedOn w:val="DefaultParagraphFont"/>
    <w:qFormat/>
    <w:rsid w:val="00CF3352"/>
  </w:style>
  <w:style w:type="character" w:customStyle="1" w:styleId="bumpedfont15">
    <w:name w:val="bumpedfont15"/>
    <w:basedOn w:val="DefaultParagraphFont"/>
    <w:qFormat/>
    <w:rsid w:val="00CF3352"/>
  </w:style>
  <w:style w:type="character" w:customStyle="1" w:styleId="s6">
    <w:name w:val="s6"/>
    <w:basedOn w:val="DefaultParagraphFont"/>
    <w:qFormat/>
    <w:rsid w:val="00CF3352"/>
  </w:style>
  <w:style w:type="character" w:customStyle="1" w:styleId="s7">
    <w:name w:val="s7"/>
    <w:basedOn w:val="DefaultParagraphFont"/>
    <w:qFormat/>
    <w:rsid w:val="00CF3352"/>
  </w:style>
  <w:style w:type="character" w:customStyle="1" w:styleId="s9">
    <w:name w:val="s9"/>
    <w:basedOn w:val="DefaultParagraphFont"/>
    <w:qFormat/>
    <w:rsid w:val="00CF3352"/>
  </w:style>
  <w:style w:type="character" w:customStyle="1" w:styleId="bumpedfont20">
    <w:name w:val="bumpedfont20"/>
    <w:basedOn w:val="DefaultParagraphFont"/>
    <w:qFormat/>
    <w:rsid w:val="00CF3352"/>
  </w:style>
  <w:style w:type="character" w:customStyle="1" w:styleId="UnresolvedMention1">
    <w:name w:val="Unresolved Mention1"/>
    <w:basedOn w:val="DefaultParagraphFont"/>
    <w:uiPriority w:val="99"/>
    <w:semiHidden/>
    <w:unhideWhenUsed/>
    <w:qFormat/>
    <w:rsid w:val="00CF3352"/>
    <w:rPr>
      <w:color w:val="605E5C"/>
      <w:shd w:val="clear" w:color="auto" w:fill="E1DFDD"/>
    </w:rPr>
  </w:style>
  <w:style w:type="character" w:styleId="Strong">
    <w:name w:val="Strong"/>
    <w:basedOn w:val="DefaultParagraphFont"/>
    <w:uiPriority w:val="22"/>
    <w:qFormat/>
    <w:rsid w:val="00CF3352"/>
    <w:rPr>
      <w:b/>
      <w:bCs/>
    </w:rPr>
  </w:style>
  <w:style w:type="character" w:customStyle="1" w:styleId="e24kjd">
    <w:name w:val="e24kjd"/>
    <w:basedOn w:val="DefaultParagraphFont"/>
    <w:qFormat/>
    <w:rsid w:val="00CF3352"/>
  </w:style>
  <w:style w:type="character" w:customStyle="1" w:styleId="legds2">
    <w:name w:val="legds2"/>
    <w:basedOn w:val="DefaultParagraphFont"/>
    <w:qFormat/>
    <w:rsid w:val="00CF3352"/>
    <w:rPr>
      <w:vanish w:val="0"/>
    </w:rPr>
  </w:style>
  <w:style w:type="paragraph" w:customStyle="1" w:styleId="Heading">
    <w:name w:val="Heading"/>
    <w:basedOn w:val="Normal"/>
    <w:next w:val="BodyText"/>
    <w:qFormat/>
    <w:rsid w:val="00CF3352"/>
    <w:pPr>
      <w:keepNext/>
      <w:suppressAutoHyphens w:val="0"/>
      <w:autoSpaceDN/>
      <w:spacing w:before="240" w:after="120"/>
      <w:textAlignment w:val="auto"/>
    </w:pPr>
    <w:rPr>
      <w:rFonts w:ascii="Liberation Sans" w:eastAsia="Microsoft YaHei" w:hAnsi="Liberation Sans" w:cs="Arial"/>
      <w:color w:val="231F20"/>
      <w:sz w:val="28"/>
      <w:szCs w:val="28"/>
    </w:rPr>
  </w:style>
  <w:style w:type="paragraph" w:styleId="List">
    <w:name w:val="List"/>
    <w:basedOn w:val="BodyText"/>
    <w:uiPriority w:val="1"/>
    <w:semiHidden/>
    <w:unhideWhenUsed/>
    <w:rsid w:val="00CF3352"/>
    <w:pPr>
      <w:suppressAutoHyphens w:val="0"/>
      <w:spacing w:before="100" w:after="280" w:line="360" w:lineRule="atLeast"/>
      <w:ind w:left="284" w:hanging="284"/>
      <w:textAlignment w:val="auto"/>
    </w:pPr>
    <w:rPr>
      <w:rFonts w:ascii="Arial" w:eastAsia="Arial" w:hAnsi="Arial" w:cs="Arial"/>
      <w:color w:val="231F20"/>
      <w:sz w:val="24"/>
      <w:szCs w:val="24"/>
      <w:lang w:eastAsia="en-US"/>
    </w:rPr>
  </w:style>
  <w:style w:type="paragraph" w:customStyle="1" w:styleId="Caption1">
    <w:name w:val="Caption1"/>
    <w:basedOn w:val="Normal"/>
    <w:next w:val="Normal"/>
    <w:unhideWhenUsed/>
    <w:qFormat/>
    <w:rsid w:val="00CF3352"/>
    <w:pPr>
      <w:suppressAutoHyphens w:val="0"/>
      <w:autoSpaceDN/>
      <w:spacing w:after="200"/>
      <w:textAlignment w:val="auto"/>
    </w:pPr>
    <w:rPr>
      <w:rFonts w:ascii="Arial" w:eastAsia="Arial" w:hAnsi="Arial" w:cs="Arial"/>
      <w:iCs/>
      <w:color w:val="003087"/>
      <w:sz w:val="24"/>
      <w:szCs w:val="18"/>
    </w:rPr>
  </w:style>
  <w:style w:type="paragraph" w:customStyle="1" w:styleId="Index">
    <w:name w:val="Index"/>
    <w:basedOn w:val="Normal"/>
    <w:qFormat/>
    <w:rsid w:val="00CF3352"/>
    <w:pPr>
      <w:suppressLineNumbers/>
      <w:suppressAutoHyphens w:val="0"/>
      <w:autoSpaceDN/>
      <w:textAlignment w:val="auto"/>
    </w:pPr>
    <w:rPr>
      <w:rFonts w:ascii="Arial" w:eastAsia="Arial" w:hAnsi="Arial" w:cs="Arial"/>
      <w:color w:val="231F20"/>
      <w:sz w:val="24"/>
      <w:szCs w:val="24"/>
    </w:rPr>
  </w:style>
  <w:style w:type="paragraph" w:customStyle="1" w:styleId="HeaderandFooter">
    <w:name w:val="Header and Footer"/>
    <w:basedOn w:val="Normal"/>
    <w:qFormat/>
    <w:rsid w:val="00CF3352"/>
    <w:pPr>
      <w:suppressAutoHyphens w:val="0"/>
      <w:autoSpaceDN/>
      <w:textAlignment w:val="auto"/>
    </w:pPr>
    <w:rPr>
      <w:rFonts w:ascii="Arial" w:eastAsia="Arial" w:hAnsi="Arial" w:cs="Arial"/>
      <w:color w:val="231F20"/>
      <w:sz w:val="24"/>
      <w:szCs w:val="24"/>
    </w:rPr>
  </w:style>
  <w:style w:type="paragraph" w:styleId="ListBullet3">
    <w:name w:val="List Bullet 3"/>
    <w:basedOn w:val="BodyText"/>
    <w:uiPriority w:val="1"/>
    <w:semiHidden/>
    <w:unhideWhenUsed/>
    <w:rsid w:val="00CF3352"/>
    <w:pPr>
      <w:suppressAutoHyphens w:val="0"/>
      <w:spacing w:after="280" w:line="360" w:lineRule="atLeast"/>
      <w:textAlignment w:val="auto"/>
    </w:pPr>
    <w:rPr>
      <w:rFonts w:ascii="Arial" w:eastAsia="Arial" w:hAnsi="Arial" w:cs="Arial"/>
      <w:color w:val="231F20"/>
      <w:sz w:val="24"/>
      <w:szCs w:val="24"/>
      <w:lang w:eastAsia="en-US"/>
    </w:rPr>
  </w:style>
  <w:style w:type="paragraph" w:styleId="ListBullet4">
    <w:name w:val="List Bullet 4"/>
    <w:basedOn w:val="BodyText"/>
    <w:uiPriority w:val="1"/>
    <w:semiHidden/>
    <w:unhideWhenUsed/>
    <w:rsid w:val="00CF3352"/>
    <w:pPr>
      <w:suppressAutoHyphens w:val="0"/>
      <w:spacing w:after="280" w:line="360" w:lineRule="atLeast"/>
      <w:ind w:left="851"/>
      <w:textAlignment w:val="auto"/>
    </w:pPr>
    <w:rPr>
      <w:rFonts w:ascii="Arial" w:eastAsia="Arial" w:hAnsi="Arial" w:cs="Arial"/>
      <w:color w:val="231F20"/>
      <w:sz w:val="24"/>
      <w:szCs w:val="24"/>
      <w:lang w:eastAsia="en-US"/>
    </w:rPr>
  </w:style>
  <w:style w:type="paragraph" w:styleId="ListBullet5">
    <w:name w:val="List Bullet 5"/>
    <w:basedOn w:val="BodyText"/>
    <w:uiPriority w:val="1"/>
    <w:semiHidden/>
    <w:unhideWhenUsed/>
    <w:rsid w:val="00CF3352"/>
    <w:pPr>
      <w:suppressAutoHyphens w:val="0"/>
      <w:spacing w:after="280" w:line="360" w:lineRule="atLeast"/>
      <w:ind w:left="1134"/>
      <w:textAlignment w:val="auto"/>
    </w:pPr>
    <w:rPr>
      <w:rFonts w:ascii="Arial" w:eastAsia="Arial" w:hAnsi="Arial" w:cs="Arial"/>
      <w:color w:val="231F20"/>
      <w:sz w:val="24"/>
      <w:szCs w:val="24"/>
      <w:lang w:eastAsia="en-US"/>
    </w:rPr>
  </w:style>
  <w:style w:type="paragraph" w:styleId="ListNumber">
    <w:name w:val="List Number"/>
    <w:basedOn w:val="BodyText"/>
    <w:uiPriority w:val="1"/>
    <w:semiHidden/>
    <w:unhideWhenUsed/>
    <w:rsid w:val="00CF3352"/>
    <w:pPr>
      <w:suppressAutoHyphens w:val="0"/>
      <w:spacing w:after="280" w:line="360" w:lineRule="atLeast"/>
      <w:ind w:left="1418"/>
      <w:textAlignment w:val="auto"/>
    </w:pPr>
    <w:rPr>
      <w:rFonts w:ascii="Arial" w:eastAsia="Arial" w:hAnsi="Arial" w:cs="Arial"/>
      <w:color w:val="231F20"/>
      <w:sz w:val="24"/>
      <w:szCs w:val="24"/>
      <w:lang w:eastAsia="en-US"/>
    </w:rPr>
  </w:style>
  <w:style w:type="paragraph" w:styleId="ListBullet">
    <w:name w:val="List Bullet"/>
    <w:basedOn w:val="BodyText"/>
    <w:qFormat/>
    <w:rsid w:val="00CF3352"/>
    <w:pPr>
      <w:suppressAutoHyphens w:val="0"/>
      <w:spacing w:after="50" w:line="360" w:lineRule="atLeast"/>
      <w:textAlignment w:val="auto"/>
    </w:pPr>
    <w:rPr>
      <w:rFonts w:ascii="Arial" w:eastAsia="Arial" w:hAnsi="Arial" w:cs="Arial"/>
      <w:color w:val="231F20"/>
      <w:sz w:val="24"/>
      <w:szCs w:val="24"/>
      <w:lang w:eastAsia="en-US"/>
    </w:rPr>
  </w:style>
  <w:style w:type="paragraph" w:styleId="ListBullet2">
    <w:name w:val="List Bullet 2"/>
    <w:basedOn w:val="BodyText"/>
    <w:qFormat/>
    <w:rsid w:val="00CF3352"/>
    <w:pPr>
      <w:suppressAutoHyphens w:val="0"/>
      <w:spacing w:after="50" w:line="360" w:lineRule="atLeast"/>
      <w:textAlignment w:val="auto"/>
    </w:pPr>
    <w:rPr>
      <w:rFonts w:ascii="Arial" w:eastAsia="Arial" w:hAnsi="Arial" w:cs="Arial"/>
      <w:color w:val="231F20"/>
      <w:sz w:val="24"/>
      <w:szCs w:val="24"/>
      <w:lang w:eastAsia="en-US"/>
    </w:rPr>
  </w:style>
  <w:style w:type="paragraph" w:styleId="ListContinue">
    <w:name w:val="List Continue"/>
    <w:basedOn w:val="BodyText"/>
    <w:qFormat/>
    <w:rsid w:val="00CF3352"/>
    <w:pPr>
      <w:suppressAutoHyphens w:val="0"/>
      <w:spacing w:after="50" w:line="360" w:lineRule="atLeast"/>
      <w:ind w:left="851"/>
      <w:textAlignment w:val="auto"/>
    </w:pPr>
    <w:rPr>
      <w:rFonts w:ascii="Arial" w:eastAsia="Arial" w:hAnsi="Arial" w:cs="Arial"/>
      <w:color w:val="231F20"/>
      <w:sz w:val="24"/>
      <w:szCs w:val="24"/>
      <w:lang w:eastAsia="en-US"/>
    </w:rPr>
  </w:style>
  <w:style w:type="paragraph" w:styleId="ListContinue2">
    <w:name w:val="List Continue 2"/>
    <w:basedOn w:val="BodyText"/>
    <w:qFormat/>
    <w:rsid w:val="00CF3352"/>
    <w:pPr>
      <w:suppressAutoHyphens w:val="0"/>
      <w:spacing w:after="50" w:line="360" w:lineRule="atLeast"/>
      <w:ind w:left="1134"/>
      <w:textAlignment w:val="auto"/>
    </w:pPr>
    <w:rPr>
      <w:rFonts w:ascii="Arial" w:eastAsia="Arial" w:hAnsi="Arial" w:cs="Arial"/>
      <w:color w:val="231F20"/>
      <w:sz w:val="24"/>
      <w:szCs w:val="24"/>
      <w:lang w:eastAsia="en-US"/>
    </w:rPr>
  </w:style>
  <w:style w:type="paragraph" w:customStyle="1" w:styleId="Subtitle1">
    <w:name w:val="Subtitle1"/>
    <w:basedOn w:val="Normal"/>
    <w:next w:val="Normal"/>
    <w:qFormat/>
    <w:rsid w:val="00CF3352"/>
    <w:pPr>
      <w:suppressAutoHyphens w:val="0"/>
      <w:autoSpaceDN/>
      <w:spacing w:after="1000"/>
      <w:textAlignment w:val="auto"/>
    </w:pPr>
    <w:rPr>
      <w:rFonts w:ascii="Arial" w:eastAsia="Arial" w:hAnsi="Arial" w:cs="Arial"/>
      <w:color w:val="231F20"/>
      <w:sz w:val="28"/>
      <w:szCs w:val="24"/>
    </w:rPr>
  </w:style>
  <w:style w:type="paragraph" w:customStyle="1" w:styleId="Title1">
    <w:name w:val="Title1"/>
    <w:basedOn w:val="Normal"/>
    <w:next w:val="Normal"/>
    <w:qFormat/>
    <w:rsid w:val="00CF3352"/>
    <w:pPr>
      <w:suppressAutoHyphens w:val="0"/>
      <w:autoSpaceDN/>
      <w:spacing w:after="200"/>
      <w:contextualSpacing/>
      <w:textAlignment w:val="auto"/>
    </w:pPr>
    <w:rPr>
      <w:rFonts w:ascii="Arial" w:eastAsia="Arial" w:hAnsi="Arial" w:cs="Arial"/>
      <w:color w:val="005EB8"/>
      <w:spacing w:val="-10"/>
      <w:kern w:val="2"/>
      <w:sz w:val="96"/>
      <w:szCs w:val="56"/>
    </w:rPr>
  </w:style>
  <w:style w:type="paragraph" w:styleId="TOC2">
    <w:name w:val="toc 2"/>
    <w:basedOn w:val="Normal"/>
    <w:next w:val="Normal"/>
    <w:uiPriority w:val="1"/>
    <w:semiHidden/>
    <w:unhideWhenUsed/>
    <w:rsid w:val="00CF3352"/>
    <w:pPr>
      <w:suppressAutoHyphens w:val="0"/>
      <w:autoSpaceDN/>
      <w:spacing w:after="100"/>
      <w:ind w:left="221"/>
      <w:textAlignment w:val="auto"/>
    </w:pPr>
    <w:rPr>
      <w:rFonts w:ascii="Arial" w:eastAsia="Arial" w:hAnsi="Arial" w:cs="Arial"/>
      <w:color w:val="231F20"/>
      <w:sz w:val="24"/>
      <w:szCs w:val="24"/>
    </w:rPr>
  </w:style>
  <w:style w:type="paragraph" w:styleId="TOC3">
    <w:name w:val="toc 3"/>
    <w:basedOn w:val="Normal"/>
    <w:next w:val="Normal"/>
    <w:uiPriority w:val="1"/>
    <w:semiHidden/>
    <w:unhideWhenUsed/>
    <w:rsid w:val="00CF3352"/>
    <w:pPr>
      <w:suppressAutoHyphens w:val="0"/>
      <w:autoSpaceDN/>
      <w:spacing w:after="100"/>
      <w:ind w:left="442"/>
      <w:textAlignment w:val="auto"/>
    </w:pPr>
    <w:rPr>
      <w:rFonts w:ascii="Arial" w:eastAsia="Arial" w:hAnsi="Arial" w:cs="Arial"/>
      <w:color w:val="231F20"/>
      <w:sz w:val="24"/>
      <w:szCs w:val="24"/>
    </w:rPr>
  </w:style>
  <w:style w:type="paragraph" w:customStyle="1" w:styleId="BodyTextNoSpacing">
    <w:name w:val="Body Text No Spacing"/>
    <w:basedOn w:val="BodyText"/>
    <w:qFormat/>
    <w:rsid w:val="00CF3352"/>
    <w:pPr>
      <w:suppressAutoHyphens w:val="0"/>
      <w:spacing w:after="0" w:line="360" w:lineRule="atLeast"/>
      <w:textAlignment w:val="auto"/>
    </w:pPr>
    <w:rPr>
      <w:rFonts w:ascii="Arial" w:eastAsia="Arial" w:hAnsi="Arial" w:cs="Arial"/>
      <w:color w:val="231F20"/>
      <w:sz w:val="24"/>
      <w:szCs w:val="24"/>
      <w:lang w:eastAsia="en-US"/>
    </w:rPr>
  </w:style>
  <w:style w:type="paragraph" w:customStyle="1" w:styleId="BackPage">
    <w:name w:val="Back Page"/>
    <w:basedOn w:val="Normal"/>
    <w:qFormat/>
    <w:rsid w:val="00CF3352"/>
    <w:pPr>
      <w:suppressAutoHyphens w:val="0"/>
      <w:autoSpaceDN/>
      <w:spacing w:line="280" w:lineRule="atLeast"/>
      <w:textAlignment w:val="auto"/>
    </w:pPr>
    <w:rPr>
      <w:rFonts w:ascii="Arial" w:eastAsia="Arial" w:hAnsi="Arial" w:cs="Arial"/>
      <w:color w:val="005EB8"/>
      <w:sz w:val="24"/>
      <w:szCs w:val="24"/>
    </w:rPr>
  </w:style>
  <w:style w:type="paragraph" w:styleId="FootnoteText">
    <w:name w:val="footnote text"/>
    <w:basedOn w:val="Normal"/>
    <w:link w:val="FootnoteTextChar"/>
    <w:uiPriority w:val="99"/>
    <w:semiHidden/>
    <w:unhideWhenUsed/>
    <w:rsid w:val="00CF3352"/>
    <w:pPr>
      <w:suppressAutoHyphens w:val="0"/>
      <w:autoSpaceDN/>
      <w:textAlignment w:val="auto"/>
    </w:pPr>
    <w:rPr>
      <w:rFonts w:ascii="Arial" w:hAnsi="Arial"/>
      <w:color w:val="231F20"/>
      <w:sz w:val="20"/>
      <w:szCs w:val="20"/>
      <w:lang w:eastAsia="en-GB"/>
    </w:rPr>
  </w:style>
  <w:style w:type="character" w:customStyle="1" w:styleId="FootnoteTextChar1">
    <w:name w:val="Footnote Text Char1"/>
    <w:basedOn w:val="DefaultParagraphFont"/>
    <w:uiPriority w:val="99"/>
    <w:semiHidden/>
    <w:rsid w:val="00CF3352"/>
    <w:rPr>
      <w:lang w:eastAsia="en-US"/>
    </w:rPr>
  </w:style>
  <w:style w:type="paragraph" w:customStyle="1" w:styleId="IntroText">
    <w:name w:val="Intro Text"/>
    <w:basedOn w:val="Normal"/>
    <w:qFormat/>
    <w:rsid w:val="00CF3352"/>
    <w:pPr>
      <w:suppressAutoHyphens w:val="0"/>
      <w:autoSpaceDN/>
      <w:spacing w:line="400" w:lineRule="exact"/>
      <w:textAlignment w:val="auto"/>
    </w:pPr>
    <w:rPr>
      <w:rFonts w:ascii="Arial" w:eastAsia="Arial" w:hAnsi="Arial" w:cs="Arial"/>
      <w:color w:val="005EB8"/>
      <w:sz w:val="28"/>
      <w:szCs w:val="24"/>
    </w:rPr>
  </w:style>
  <w:style w:type="paragraph" w:customStyle="1" w:styleId="LastBullet">
    <w:name w:val="Last Bullet"/>
    <w:basedOn w:val="ListBullet"/>
    <w:next w:val="BodyText"/>
    <w:qFormat/>
    <w:rsid w:val="00CF3352"/>
    <w:pPr>
      <w:spacing w:after="280"/>
    </w:pPr>
  </w:style>
  <w:style w:type="paragraph" w:customStyle="1" w:styleId="LastBullet2">
    <w:name w:val="Last Bullet 2"/>
    <w:basedOn w:val="ListBullet2"/>
    <w:next w:val="BodyText"/>
    <w:qFormat/>
    <w:rsid w:val="00CF3352"/>
    <w:pPr>
      <w:spacing w:after="280"/>
      <w:ind w:left="1135" w:hanging="284"/>
    </w:pPr>
  </w:style>
  <w:style w:type="paragraph" w:customStyle="1" w:styleId="PageHeading">
    <w:name w:val="Page Heading"/>
    <w:basedOn w:val="Header"/>
    <w:next w:val="Normal"/>
    <w:qFormat/>
    <w:rsid w:val="00CF3352"/>
    <w:pPr>
      <w:suppressAutoHyphens w:val="0"/>
      <w:autoSpaceDN/>
      <w:textAlignment w:val="auto"/>
    </w:pPr>
    <w:rPr>
      <w:rFonts w:ascii="Arial" w:eastAsia="Arial" w:hAnsi="Arial" w:cs="Arial"/>
      <w:b/>
      <w:color w:val="768692"/>
      <w:sz w:val="44"/>
      <w:szCs w:val="24"/>
      <w:u w:val="single" w:color="00A9CE"/>
    </w:rPr>
  </w:style>
  <w:style w:type="paragraph" w:styleId="Quote">
    <w:name w:val="Quote"/>
    <w:basedOn w:val="Normal"/>
    <w:next w:val="BodyText"/>
    <w:link w:val="QuoteChar"/>
    <w:uiPriority w:val="29"/>
    <w:qFormat/>
    <w:rsid w:val="00CF3352"/>
    <w:pPr>
      <w:suppressAutoHyphens w:val="0"/>
      <w:autoSpaceDN/>
      <w:spacing w:before="200" w:after="160" w:line="360" w:lineRule="atLeast"/>
      <w:ind w:left="864" w:right="864"/>
      <w:jc w:val="center"/>
      <w:textAlignment w:val="auto"/>
    </w:pPr>
    <w:rPr>
      <w:rFonts w:ascii="Arial" w:hAnsi="Arial"/>
      <w:iCs/>
      <w:color w:val="005EB8"/>
      <w:sz w:val="20"/>
      <w:szCs w:val="20"/>
      <w:lang w:eastAsia="en-GB"/>
    </w:rPr>
  </w:style>
  <w:style w:type="character" w:customStyle="1" w:styleId="QuoteChar1">
    <w:name w:val="Quote Char1"/>
    <w:basedOn w:val="DefaultParagraphFont"/>
    <w:uiPriority w:val="29"/>
    <w:rsid w:val="00CF3352"/>
    <w:rPr>
      <w:i/>
      <w:iCs/>
      <w:color w:val="404040" w:themeColor="text1" w:themeTint="BF"/>
      <w:sz w:val="22"/>
      <w:szCs w:val="22"/>
      <w:lang w:eastAsia="en-US"/>
    </w:rPr>
  </w:style>
  <w:style w:type="paragraph" w:customStyle="1" w:styleId="Spacer">
    <w:name w:val="Spacer"/>
    <w:basedOn w:val="Normal"/>
    <w:next w:val="Normal"/>
    <w:qFormat/>
    <w:rsid w:val="00CF3352"/>
    <w:pPr>
      <w:suppressAutoHyphens w:val="0"/>
      <w:autoSpaceDN/>
      <w:textAlignment w:val="auto"/>
    </w:pPr>
    <w:rPr>
      <w:rFonts w:ascii="Arial" w:eastAsia="Arial" w:hAnsi="Arial" w:cs="Arial"/>
      <w:color w:val="231F20"/>
      <w:sz w:val="2"/>
      <w:szCs w:val="24"/>
    </w:rPr>
  </w:style>
  <w:style w:type="paragraph" w:customStyle="1" w:styleId="TableText">
    <w:name w:val="Table Text"/>
    <w:basedOn w:val="Normal"/>
    <w:qFormat/>
    <w:rsid w:val="00CF3352"/>
    <w:pPr>
      <w:suppressAutoHyphens w:val="0"/>
      <w:autoSpaceDN/>
      <w:textAlignment w:val="auto"/>
    </w:pPr>
    <w:rPr>
      <w:rFonts w:ascii="Arial" w:eastAsia="Arial" w:hAnsi="Arial" w:cs="Arial"/>
      <w:color w:val="231F20"/>
      <w:sz w:val="24"/>
      <w:szCs w:val="24"/>
    </w:rPr>
  </w:style>
  <w:style w:type="paragraph" w:customStyle="1" w:styleId="TableTitle">
    <w:name w:val="Table Title"/>
    <w:basedOn w:val="TableText"/>
    <w:qFormat/>
    <w:rsid w:val="00CF3352"/>
    <w:rPr>
      <w:b/>
      <w:color w:val="FFFFFF"/>
    </w:rPr>
  </w:style>
  <w:style w:type="paragraph" w:styleId="BodyText2">
    <w:name w:val="Body Text 2"/>
    <w:basedOn w:val="BodyText"/>
    <w:link w:val="BodyText2Char"/>
    <w:qFormat/>
    <w:rsid w:val="00CF3352"/>
    <w:pPr>
      <w:suppressAutoHyphens w:val="0"/>
      <w:spacing w:after="280" w:line="360" w:lineRule="atLeast"/>
      <w:textAlignment w:val="auto"/>
    </w:pPr>
    <w:rPr>
      <w:rFonts w:ascii="Arial" w:hAnsi="Arial"/>
      <w:color w:val="231F20"/>
      <w:sz w:val="20"/>
      <w:szCs w:val="20"/>
      <w:lang w:eastAsia="en-GB"/>
    </w:rPr>
  </w:style>
  <w:style w:type="character" w:customStyle="1" w:styleId="BodyText2Char1">
    <w:name w:val="Body Text 2 Char1"/>
    <w:basedOn w:val="DefaultParagraphFont"/>
    <w:uiPriority w:val="99"/>
    <w:semiHidden/>
    <w:rsid w:val="00CF3352"/>
    <w:rPr>
      <w:sz w:val="22"/>
      <w:szCs w:val="22"/>
      <w:lang w:eastAsia="en-US"/>
    </w:rPr>
  </w:style>
  <w:style w:type="paragraph" w:customStyle="1" w:styleId="p1">
    <w:name w:val="p1"/>
    <w:basedOn w:val="Normal"/>
    <w:qFormat/>
    <w:rsid w:val="00CF3352"/>
    <w:pPr>
      <w:suppressAutoHyphens w:val="0"/>
      <w:autoSpaceDN/>
      <w:textAlignment w:val="auto"/>
    </w:pPr>
    <w:rPr>
      <w:rFonts w:eastAsia="Arial"/>
      <w:sz w:val="18"/>
      <w:szCs w:val="18"/>
      <w:lang w:val="en-US"/>
    </w:rPr>
  </w:style>
  <w:style w:type="paragraph" w:styleId="NormalWeb">
    <w:name w:val="Normal (Web)"/>
    <w:basedOn w:val="Normal"/>
    <w:uiPriority w:val="99"/>
    <w:unhideWhenUsed/>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paragraph" w:customStyle="1" w:styleId="s4">
    <w:name w:val="s4"/>
    <w:basedOn w:val="Normal"/>
    <w:uiPriority w:val="99"/>
    <w:semiHidden/>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paragraph" w:customStyle="1" w:styleId="s13">
    <w:name w:val="s13"/>
    <w:basedOn w:val="Normal"/>
    <w:uiPriority w:val="99"/>
    <w:semiHidden/>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paragraph" w:customStyle="1" w:styleId="s20">
    <w:name w:val="s20"/>
    <w:basedOn w:val="Normal"/>
    <w:uiPriority w:val="99"/>
    <w:semiHidden/>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paragraph" w:customStyle="1" w:styleId="s26">
    <w:name w:val="s26"/>
    <w:basedOn w:val="Normal"/>
    <w:uiPriority w:val="99"/>
    <w:semiHidden/>
    <w:qFormat/>
    <w:rsid w:val="00CF3352"/>
    <w:pPr>
      <w:suppressAutoHyphens w:val="0"/>
      <w:autoSpaceDN/>
      <w:spacing w:beforeAutospacing="1" w:afterAutospacing="1"/>
      <w:textAlignment w:val="auto"/>
    </w:pPr>
    <w:rPr>
      <w:rFonts w:ascii="Times New Roman" w:eastAsia="Arial" w:hAnsi="Times New Roman"/>
      <w:sz w:val="24"/>
      <w:szCs w:val="24"/>
      <w:lang w:eastAsia="en-GB"/>
    </w:rPr>
  </w:style>
  <w:style w:type="numbering" w:customStyle="1" w:styleId="BulletList">
    <w:name w:val="Bullet List"/>
    <w:uiPriority w:val="99"/>
    <w:qFormat/>
    <w:rsid w:val="00CF3352"/>
  </w:style>
  <w:style w:type="numbering" w:customStyle="1" w:styleId="NumberList">
    <w:name w:val="Number List"/>
    <w:uiPriority w:val="99"/>
    <w:qFormat/>
    <w:rsid w:val="00CF3352"/>
  </w:style>
  <w:style w:type="numbering" w:customStyle="1" w:styleId="NHSBullets">
    <w:name w:val="NHS Bullets"/>
    <w:uiPriority w:val="99"/>
    <w:qFormat/>
    <w:rsid w:val="00CF3352"/>
  </w:style>
  <w:style w:type="numbering" w:customStyle="1" w:styleId="NHSHeadings">
    <w:name w:val="NHS Headings"/>
    <w:uiPriority w:val="99"/>
    <w:qFormat/>
    <w:rsid w:val="00CF3352"/>
  </w:style>
  <w:style w:type="numbering" w:customStyle="1" w:styleId="NHSOutlineLevels">
    <w:name w:val="NHS Outline Levels"/>
    <w:uiPriority w:val="99"/>
    <w:qFormat/>
    <w:rsid w:val="00CF3352"/>
  </w:style>
  <w:style w:type="numbering" w:customStyle="1" w:styleId="NHSTableHeadings">
    <w:name w:val="NHS Table Headings"/>
    <w:uiPriority w:val="99"/>
    <w:qFormat/>
    <w:rsid w:val="00CF3352"/>
  </w:style>
  <w:style w:type="table" w:customStyle="1" w:styleId="TableGrid1">
    <w:name w:val="Table Grid1"/>
    <w:basedOn w:val="TableNormal"/>
    <w:next w:val="TableGrid"/>
    <w:uiPriority w:val="59"/>
    <w:rsid w:val="00CF3352"/>
    <w:rPr>
      <w:rFonts w:ascii="Arial" w:eastAsia="Arial" w:hAnsi="Arial" w:cs="Arial"/>
      <w:sz w:val="24"/>
      <w:szCs w:val="24"/>
      <w:lang w:eastAsia="en-US"/>
    </w:rPr>
    <w:tblPr>
      <w:tblCellMar>
        <w:left w:w="0" w:type="dxa"/>
        <w:right w:w="0" w:type="dxa"/>
      </w:tblCellMar>
    </w:tblPr>
  </w:style>
  <w:style w:type="table" w:customStyle="1" w:styleId="NHSHighlightBox">
    <w:name w:val="NHS Highlight Box"/>
    <w:basedOn w:val="TableNormal"/>
    <w:uiPriority w:val="99"/>
    <w:rsid w:val="00CF3352"/>
    <w:rPr>
      <w:rFonts w:ascii="Times New Roman" w:eastAsia="Arial" w:hAnsi="Times New Roman" w:cs="Arial"/>
      <w:sz w:val="24"/>
      <w:szCs w:val="24"/>
      <w:lang w:val="id-ID" w:eastAsia="en-US"/>
    </w:rPr>
    <w:tblPr>
      <w:tblCellMar>
        <w:top w:w="284" w:type="dxa"/>
        <w:left w:w="284" w:type="dxa"/>
        <w:bottom w:w="284" w:type="dxa"/>
        <w:right w:w="284" w:type="dxa"/>
      </w:tblCellMar>
    </w:tblPr>
    <w:tcPr>
      <w:shd w:val="clear" w:color="auto" w:fill="CCDFF1"/>
    </w:tcPr>
  </w:style>
  <w:style w:type="table" w:customStyle="1" w:styleId="NHSIntroBox">
    <w:name w:val="NHS Intro Box"/>
    <w:basedOn w:val="TableNormal"/>
    <w:uiPriority w:val="99"/>
    <w:rsid w:val="00CF3352"/>
    <w:rPr>
      <w:rFonts w:ascii="Times New Roman" w:eastAsia="Arial" w:hAnsi="Times New Roman" w:cs="Arial"/>
      <w:sz w:val="24"/>
      <w:szCs w:val="24"/>
      <w:lang w:val="id-ID" w:eastAsia="en-US"/>
    </w:rPr>
    <w:tblPr>
      <w:tblCellMar>
        <w:top w:w="284" w:type="dxa"/>
        <w:left w:w="284" w:type="dxa"/>
        <w:bottom w:w="284" w:type="dxa"/>
        <w:right w:w="284" w:type="dxa"/>
      </w:tblCellMar>
    </w:tblPr>
    <w:tcPr>
      <w:shd w:val="clear" w:color="auto" w:fill="CCEEF5"/>
    </w:tcPr>
  </w:style>
  <w:style w:type="table" w:customStyle="1" w:styleId="NHSTable">
    <w:name w:val="NHS Table"/>
    <w:basedOn w:val="TableNormal"/>
    <w:uiPriority w:val="99"/>
    <w:rsid w:val="00CF3352"/>
    <w:rPr>
      <w:rFonts w:ascii="Times New Roman" w:eastAsia="Arial" w:hAnsi="Times New Roman" w:cs="Arial"/>
      <w:sz w:val="24"/>
      <w:szCs w:val="24"/>
      <w:lang w:val="id-ID" w:eastAsia="en-US"/>
    </w:r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character" w:customStyle="1" w:styleId="UnresolvedMention2">
    <w:name w:val="Unresolved Mention2"/>
    <w:basedOn w:val="DefaultParagraphFont"/>
    <w:uiPriority w:val="99"/>
    <w:semiHidden/>
    <w:unhideWhenUsed/>
    <w:rsid w:val="00CF3352"/>
    <w:rPr>
      <w:color w:val="605E5C"/>
      <w:shd w:val="clear" w:color="auto" w:fill="E1DFDD"/>
    </w:rPr>
  </w:style>
  <w:style w:type="character" w:customStyle="1" w:styleId="Heading4Char1">
    <w:name w:val="Heading 4 Char1"/>
    <w:basedOn w:val="DefaultParagraphFont"/>
    <w:uiPriority w:val="9"/>
    <w:semiHidden/>
    <w:rsid w:val="00CF3352"/>
    <w:rPr>
      <w:rFonts w:asciiTheme="majorHAnsi" w:eastAsiaTheme="majorEastAsia" w:hAnsiTheme="majorHAnsi" w:cstheme="majorBidi"/>
      <w:i/>
      <w:iCs/>
      <w:color w:val="365F91" w:themeColor="accent1" w:themeShade="BF"/>
      <w:sz w:val="22"/>
      <w:szCs w:val="22"/>
      <w:lang w:eastAsia="en-US"/>
    </w:rPr>
  </w:style>
  <w:style w:type="character" w:customStyle="1" w:styleId="Heading6Char1">
    <w:name w:val="Heading 6 Char1"/>
    <w:basedOn w:val="DefaultParagraphFont"/>
    <w:uiPriority w:val="9"/>
    <w:semiHidden/>
    <w:rsid w:val="00CF3352"/>
    <w:rPr>
      <w:rFonts w:asciiTheme="majorHAnsi" w:eastAsiaTheme="majorEastAsia" w:hAnsiTheme="majorHAnsi" w:cstheme="majorBidi"/>
      <w:color w:val="243F60" w:themeColor="accent1" w:themeShade="7F"/>
      <w:sz w:val="22"/>
      <w:szCs w:val="22"/>
      <w:lang w:eastAsia="en-US"/>
    </w:rPr>
  </w:style>
  <w:style w:type="paragraph" w:styleId="Subtitle">
    <w:name w:val="Subtitle"/>
    <w:basedOn w:val="Normal"/>
    <w:next w:val="Normal"/>
    <w:link w:val="SubtitleChar"/>
    <w:qFormat/>
    <w:rsid w:val="00CF3352"/>
    <w:pPr>
      <w:numPr>
        <w:ilvl w:val="1"/>
      </w:numPr>
      <w:spacing w:after="160"/>
    </w:pPr>
    <w:rPr>
      <w:rFonts w:ascii="Arial" w:eastAsia="Arial" w:hAnsi="Arial"/>
      <w:color w:val="231F20"/>
      <w:sz w:val="28"/>
      <w:szCs w:val="20"/>
      <w:lang w:eastAsia="en-GB"/>
    </w:rPr>
  </w:style>
  <w:style w:type="character" w:customStyle="1" w:styleId="SubtitleChar1">
    <w:name w:val="Subtitle Char1"/>
    <w:basedOn w:val="DefaultParagraphFont"/>
    <w:uiPriority w:val="11"/>
    <w:rsid w:val="00CF3352"/>
    <w:rPr>
      <w:rFonts w:asciiTheme="minorHAnsi" w:eastAsiaTheme="minorEastAsia" w:hAnsiTheme="minorHAnsi" w:cstheme="minorBidi"/>
      <w:color w:val="5A5A5A" w:themeColor="text1" w:themeTint="A5"/>
      <w:spacing w:val="15"/>
      <w:sz w:val="22"/>
      <w:szCs w:val="22"/>
      <w:lang w:eastAsia="en-US"/>
    </w:rPr>
  </w:style>
  <w:style w:type="paragraph" w:styleId="Title">
    <w:name w:val="Title"/>
    <w:basedOn w:val="Normal"/>
    <w:next w:val="Normal"/>
    <w:link w:val="TitleChar"/>
    <w:uiPriority w:val="10"/>
    <w:qFormat/>
    <w:rsid w:val="00CF3352"/>
    <w:pPr>
      <w:contextualSpacing/>
    </w:pPr>
    <w:rPr>
      <w:rFonts w:ascii="Arial" w:eastAsia="Arial" w:hAnsi="Arial" w:cs="Arial"/>
      <w:color w:val="005EB8"/>
      <w:spacing w:val="-10"/>
      <w:kern w:val="2"/>
      <w:sz w:val="96"/>
      <w:szCs w:val="56"/>
      <w:lang w:eastAsia="en-GB"/>
    </w:rPr>
  </w:style>
  <w:style w:type="character" w:customStyle="1" w:styleId="TitleChar1">
    <w:name w:val="Title Char1"/>
    <w:basedOn w:val="DefaultParagraphFont"/>
    <w:uiPriority w:val="10"/>
    <w:rsid w:val="00CF3352"/>
    <w:rPr>
      <w:rFonts w:asciiTheme="majorHAnsi" w:eastAsiaTheme="majorEastAsia" w:hAnsiTheme="majorHAnsi" w:cstheme="majorBidi"/>
      <w:spacing w:val="-10"/>
      <w:kern w:val="28"/>
      <w:sz w:val="56"/>
      <w:szCs w:val="56"/>
      <w:lang w:eastAsia="en-US"/>
    </w:rPr>
  </w:style>
  <w:style w:type="numbering" w:customStyle="1" w:styleId="NoList2">
    <w:name w:val="No List2"/>
    <w:next w:val="NoList"/>
    <w:uiPriority w:val="99"/>
    <w:semiHidden/>
    <w:unhideWhenUsed/>
    <w:rsid w:val="001119BF"/>
  </w:style>
  <w:style w:type="paragraph" w:customStyle="1" w:styleId="TableParagraph">
    <w:name w:val="Table Paragraph"/>
    <w:basedOn w:val="Normal"/>
    <w:uiPriority w:val="1"/>
    <w:qFormat/>
    <w:rsid w:val="001119BF"/>
    <w:pPr>
      <w:widowControl w:val="0"/>
      <w:suppressAutoHyphens w:val="0"/>
      <w:autoSpaceDE w:val="0"/>
      <w:ind w:left="582"/>
      <w:textAlignment w:val="auto"/>
    </w:pPr>
    <w:rPr>
      <w:rFonts w:ascii="Arial" w:eastAsia="Arial" w:hAnsi="Arial" w:cs="Arial"/>
    </w:rPr>
  </w:style>
  <w:style w:type="character" w:customStyle="1" w:styleId="UnresolvedMention3">
    <w:name w:val="Unresolved Mention3"/>
    <w:basedOn w:val="DefaultParagraphFont"/>
    <w:uiPriority w:val="99"/>
    <w:semiHidden/>
    <w:unhideWhenUsed/>
    <w:rsid w:val="001119BF"/>
    <w:rPr>
      <w:color w:val="605E5C"/>
      <w:shd w:val="clear" w:color="auto" w:fill="E1DFDD"/>
    </w:rPr>
  </w:style>
  <w:style w:type="character" w:styleId="BookTitle">
    <w:name w:val="Book Title"/>
    <w:basedOn w:val="DefaultParagraphFont"/>
    <w:uiPriority w:val="33"/>
    <w:qFormat/>
    <w:rsid w:val="00AF2783"/>
    <w:rPr>
      <w:b/>
      <w:bCs/>
      <w:smallCaps/>
      <w:spacing w:val="10"/>
    </w:rPr>
  </w:style>
  <w:style w:type="table" w:styleId="GridTable5Dark-Accent1">
    <w:name w:val="Grid Table 5 Dark Accent 1"/>
    <w:basedOn w:val="TableNormal"/>
    <w:uiPriority w:val="50"/>
    <w:rsid w:val="00AF2783"/>
    <w:pPr>
      <w:suppressAutoHyphens/>
    </w:pPr>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07217">
      <w:bodyDiv w:val="1"/>
      <w:marLeft w:val="0"/>
      <w:marRight w:val="0"/>
      <w:marTop w:val="0"/>
      <w:marBottom w:val="0"/>
      <w:divBdr>
        <w:top w:val="none" w:sz="0" w:space="0" w:color="auto"/>
        <w:left w:val="none" w:sz="0" w:space="0" w:color="auto"/>
        <w:bottom w:val="none" w:sz="0" w:space="0" w:color="auto"/>
        <w:right w:val="none" w:sz="0" w:space="0" w:color="auto"/>
      </w:divBdr>
    </w:div>
    <w:div w:id="280377098">
      <w:bodyDiv w:val="1"/>
      <w:marLeft w:val="0"/>
      <w:marRight w:val="0"/>
      <w:marTop w:val="0"/>
      <w:marBottom w:val="0"/>
      <w:divBdr>
        <w:top w:val="none" w:sz="0" w:space="0" w:color="auto"/>
        <w:left w:val="none" w:sz="0" w:space="0" w:color="auto"/>
        <w:bottom w:val="none" w:sz="0" w:space="0" w:color="auto"/>
        <w:right w:val="none" w:sz="0" w:space="0" w:color="auto"/>
      </w:divBdr>
    </w:div>
    <w:div w:id="373234874">
      <w:bodyDiv w:val="1"/>
      <w:marLeft w:val="0"/>
      <w:marRight w:val="0"/>
      <w:marTop w:val="0"/>
      <w:marBottom w:val="0"/>
      <w:divBdr>
        <w:top w:val="none" w:sz="0" w:space="0" w:color="auto"/>
        <w:left w:val="none" w:sz="0" w:space="0" w:color="auto"/>
        <w:bottom w:val="none" w:sz="0" w:space="0" w:color="auto"/>
        <w:right w:val="none" w:sz="0" w:space="0" w:color="auto"/>
      </w:divBdr>
    </w:div>
    <w:div w:id="494876747">
      <w:bodyDiv w:val="1"/>
      <w:marLeft w:val="0"/>
      <w:marRight w:val="0"/>
      <w:marTop w:val="0"/>
      <w:marBottom w:val="0"/>
      <w:divBdr>
        <w:top w:val="none" w:sz="0" w:space="0" w:color="auto"/>
        <w:left w:val="none" w:sz="0" w:space="0" w:color="auto"/>
        <w:bottom w:val="none" w:sz="0" w:space="0" w:color="auto"/>
        <w:right w:val="none" w:sz="0" w:space="0" w:color="auto"/>
      </w:divBdr>
    </w:div>
    <w:div w:id="528690055">
      <w:bodyDiv w:val="1"/>
      <w:marLeft w:val="0"/>
      <w:marRight w:val="0"/>
      <w:marTop w:val="0"/>
      <w:marBottom w:val="0"/>
      <w:divBdr>
        <w:top w:val="none" w:sz="0" w:space="0" w:color="auto"/>
        <w:left w:val="none" w:sz="0" w:space="0" w:color="auto"/>
        <w:bottom w:val="none" w:sz="0" w:space="0" w:color="auto"/>
        <w:right w:val="none" w:sz="0" w:space="0" w:color="auto"/>
      </w:divBdr>
    </w:div>
    <w:div w:id="753357595">
      <w:bodyDiv w:val="1"/>
      <w:marLeft w:val="0"/>
      <w:marRight w:val="0"/>
      <w:marTop w:val="0"/>
      <w:marBottom w:val="0"/>
      <w:divBdr>
        <w:top w:val="none" w:sz="0" w:space="0" w:color="auto"/>
        <w:left w:val="none" w:sz="0" w:space="0" w:color="auto"/>
        <w:bottom w:val="none" w:sz="0" w:space="0" w:color="auto"/>
        <w:right w:val="none" w:sz="0" w:space="0" w:color="auto"/>
      </w:divBdr>
    </w:div>
    <w:div w:id="864829188">
      <w:bodyDiv w:val="1"/>
      <w:marLeft w:val="0"/>
      <w:marRight w:val="0"/>
      <w:marTop w:val="0"/>
      <w:marBottom w:val="0"/>
      <w:divBdr>
        <w:top w:val="none" w:sz="0" w:space="0" w:color="auto"/>
        <w:left w:val="none" w:sz="0" w:space="0" w:color="auto"/>
        <w:bottom w:val="none" w:sz="0" w:space="0" w:color="auto"/>
        <w:right w:val="none" w:sz="0" w:space="0" w:color="auto"/>
      </w:divBdr>
    </w:div>
    <w:div w:id="874076864">
      <w:bodyDiv w:val="1"/>
      <w:marLeft w:val="0"/>
      <w:marRight w:val="0"/>
      <w:marTop w:val="0"/>
      <w:marBottom w:val="0"/>
      <w:divBdr>
        <w:top w:val="none" w:sz="0" w:space="0" w:color="auto"/>
        <w:left w:val="none" w:sz="0" w:space="0" w:color="auto"/>
        <w:bottom w:val="none" w:sz="0" w:space="0" w:color="auto"/>
        <w:right w:val="none" w:sz="0" w:space="0" w:color="auto"/>
      </w:divBdr>
    </w:div>
    <w:div w:id="899944929">
      <w:bodyDiv w:val="1"/>
      <w:marLeft w:val="0"/>
      <w:marRight w:val="0"/>
      <w:marTop w:val="0"/>
      <w:marBottom w:val="0"/>
      <w:divBdr>
        <w:top w:val="none" w:sz="0" w:space="0" w:color="auto"/>
        <w:left w:val="none" w:sz="0" w:space="0" w:color="auto"/>
        <w:bottom w:val="none" w:sz="0" w:space="0" w:color="auto"/>
        <w:right w:val="none" w:sz="0" w:space="0" w:color="auto"/>
      </w:divBdr>
    </w:div>
    <w:div w:id="1231309634">
      <w:bodyDiv w:val="1"/>
      <w:marLeft w:val="0"/>
      <w:marRight w:val="0"/>
      <w:marTop w:val="0"/>
      <w:marBottom w:val="0"/>
      <w:divBdr>
        <w:top w:val="none" w:sz="0" w:space="0" w:color="auto"/>
        <w:left w:val="none" w:sz="0" w:space="0" w:color="auto"/>
        <w:bottom w:val="none" w:sz="0" w:space="0" w:color="auto"/>
        <w:right w:val="none" w:sz="0" w:space="0" w:color="auto"/>
      </w:divBdr>
    </w:div>
    <w:div w:id="1504205021">
      <w:bodyDiv w:val="1"/>
      <w:marLeft w:val="0"/>
      <w:marRight w:val="0"/>
      <w:marTop w:val="0"/>
      <w:marBottom w:val="0"/>
      <w:divBdr>
        <w:top w:val="none" w:sz="0" w:space="0" w:color="auto"/>
        <w:left w:val="none" w:sz="0" w:space="0" w:color="auto"/>
        <w:bottom w:val="none" w:sz="0" w:space="0" w:color="auto"/>
        <w:right w:val="none" w:sz="0" w:space="0" w:color="auto"/>
      </w:divBdr>
    </w:div>
    <w:div w:id="1525439757">
      <w:bodyDiv w:val="1"/>
      <w:marLeft w:val="0"/>
      <w:marRight w:val="0"/>
      <w:marTop w:val="0"/>
      <w:marBottom w:val="0"/>
      <w:divBdr>
        <w:top w:val="none" w:sz="0" w:space="0" w:color="auto"/>
        <w:left w:val="none" w:sz="0" w:space="0" w:color="auto"/>
        <w:bottom w:val="none" w:sz="0" w:space="0" w:color="auto"/>
        <w:right w:val="none" w:sz="0" w:space="0" w:color="auto"/>
      </w:divBdr>
    </w:div>
    <w:div w:id="1767266790">
      <w:bodyDiv w:val="1"/>
      <w:marLeft w:val="0"/>
      <w:marRight w:val="0"/>
      <w:marTop w:val="0"/>
      <w:marBottom w:val="0"/>
      <w:divBdr>
        <w:top w:val="none" w:sz="0" w:space="0" w:color="auto"/>
        <w:left w:val="none" w:sz="0" w:space="0" w:color="auto"/>
        <w:bottom w:val="none" w:sz="0" w:space="0" w:color="auto"/>
        <w:right w:val="none" w:sz="0" w:space="0" w:color="auto"/>
      </w:divBdr>
    </w:div>
    <w:div w:id="1813138983">
      <w:bodyDiv w:val="1"/>
      <w:marLeft w:val="0"/>
      <w:marRight w:val="0"/>
      <w:marTop w:val="0"/>
      <w:marBottom w:val="0"/>
      <w:divBdr>
        <w:top w:val="none" w:sz="0" w:space="0" w:color="auto"/>
        <w:left w:val="none" w:sz="0" w:space="0" w:color="auto"/>
        <w:bottom w:val="none" w:sz="0" w:space="0" w:color="auto"/>
        <w:right w:val="none" w:sz="0" w:space="0" w:color="auto"/>
      </w:divBdr>
    </w:div>
    <w:div w:id="21078421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www.gov.uk/government/publications/uk-5-year-action-plan-for-antimicrobial-resistance-2024-to-202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ho.int/publications/i/item/2021-aware-classification"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footer" Target="footer2.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user.ad.ekhuft.nhs.uk\User\vladislav.ioannides\Documents\BSO%20Work\Micad%20Auditing%20Reporter%20Monthl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hare.ad.ekhuft.nhs.uk\share\Pharmacy\Staff\.11.%20AMS\AMS\Reports\Monthly%20AMS%20reports%20and%20reports%20for%20IPC-%20DDDs\Data%20for%20monthly%20reports\Data%20for%20monthly%20report%20-%20March%202025.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share.ad.ekhuft.nhs.uk\share\Pharmacy\Staff\.11.%20AMS\AMS\Reports\Monthly%20AMS%20reports%20and%20reports%20for%20IPC-%20DDDs\Data%20for%20monthly%20reports\Data%20for%20monthly%20report%20-%20March%202025.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oleObject" Target="file:///\\share.ad.ekhuft.nhs.uk\share\Pharmacy\Staff\.11.%20AMS\AMS\Reports\Monthly%20AMS%20reports%20and%20reports%20for%20IPC-%20DDDs\Data%20for%20monthly%20reports\Data%20for%20monthly%20report%20-%20March%202025.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All</a:t>
            </a:r>
            <a:r>
              <a:rPr lang="en-GB" baseline="0"/>
              <a:t> sites</a:t>
            </a:r>
            <a:r>
              <a:rPr lang="en-GB"/>
              <a:t> Average</a:t>
            </a:r>
            <a:r>
              <a:rPr lang="en-GB" baseline="0"/>
              <a:t> Audit Scores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137226519894953E-2"/>
          <c:y val="8.2342688746882359E-2"/>
          <c:w val="0.91691374947916349"/>
          <c:h val="0.82481717077844086"/>
        </c:manualLayout>
      </c:layout>
      <c:lineChart>
        <c:grouping val="standard"/>
        <c:varyColors val="0"/>
        <c:ser>
          <c:idx val="0"/>
          <c:order val="0"/>
          <c:tx>
            <c:strRef>
              <c:f>'EOM Report'!$B$131</c:f>
              <c:strCache>
                <c:ptCount val="1"/>
                <c:pt idx="0">
                  <c:v>FR1 (98%)</c:v>
                </c:pt>
              </c:strCache>
            </c:strRef>
          </c:tx>
          <c:spPr>
            <a:ln w="28575" cap="rnd">
              <a:solidFill>
                <a:schemeClr val="accent1"/>
              </a:solidFill>
              <a:round/>
            </a:ln>
            <a:effectLst/>
          </c:spPr>
          <c:marker>
            <c:symbol val="circle"/>
            <c:size val="5"/>
            <c:spPr>
              <a:solidFill>
                <a:schemeClr val="accent1"/>
              </a:solidFill>
              <a:ln w="76200">
                <a:solidFill>
                  <a:schemeClr val="accent1"/>
                </a:solidFill>
              </a:ln>
              <a:effectLst/>
            </c:spPr>
          </c:marker>
          <c:cat>
            <c:numRef>
              <c:f>'EOM Report'!$C$100:$O$100</c:f>
              <c:numCache>
                <c:formatCode>mmm\-yy</c:formatCode>
                <c:ptCount val="13"/>
                <c:pt idx="0">
                  <c:v>45384</c:v>
                </c:pt>
                <c:pt idx="1">
                  <c:v>45414</c:v>
                </c:pt>
                <c:pt idx="2">
                  <c:v>45445</c:v>
                </c:pt>
                <c:pt idx="3">
                  <c:v>45475</c:v>
                </c:pt>
                <c:pt idx="4">
                  <c:v>45506</c:v>
                </c:pt>
                <c:pt idx="5">
                  <c:v>45537</c:v>
                </c:pt>
                <c:pt idx="6">
                  <c:v>45567</c:v>
                </c:pt>
                <c:pt idx="7">
                  <c:v>45598</c:v>
                </c:pt>
                <c:pt idx="8">
                  <c:v>45628</c:v>
                </c:pt>
                <c:pt idx="9">
                  <c:v>45659</c:v>
                </c:pt>
                <c:pt idx="10">
                  <c:v>45690</c:v>
                </c:pt>
                <c:pt idx="11">
                  <c:v>45718</c:v>
                </c:pt>
                <c:pt idx="12">
                  <c:v>45749</c:v>
                </c:pt>
              </c:numCache>
            </c:numRef>
          </c:cat>
          <c:val>
            <c:numRef>
              <c:f>'EOM Report'!$C$131:$O$131</c:f>
              <c:numCache>
                <c:formatCode>0.00</c:formatCode>
                <c:ptCount val="13"/>
                <c:pt idx="0">
                  <c:v>99.342994858611775</c:v>
                </c:pt>
                <c:pt idx="1">
                  <c:v>99.421534825870623</c:v>
                </c:pt>
                <c:pt idx="2">
                  <c:v>99.289225071225019</c:v>
                </c:pt>
                <c:pt idx="3">
                  <c:v>99.444736585365817</c:v>
                </c:pt>
                <c:pt idx="4">
                  <c:v>99.395636125654434</c:v>
                </c:pt>
                <c:pt idx="5">
                  <c:v>99.3118579234972</c:v>
                </c:pt>
                <c:pt idx="6">
                  <c:v>98.936794871794874</c:v>
                </c:pt>
                <c:pt idx="7">
                  <c:v>99.255532981530266</c:v>
                </c:pt>
                <c:pt idx="8">
                  <c:v>99.385590909090865</c:v>
                </c:pt>
                <c:pt idx="9">
                  <c:v>99.418607407407336</c:v>
                </c:pt>
                <c:pt idx="10">
                  <c:v>99.323042735042677</c:v>
                </c:pt>
                <c:pt idx="11">
                  <c:v>99.133896000000007</c:v>
                </c:pt>
                <c:pt idx="12">
                  <c:v>99.379007575757541</c:v>
                </c:pt>
              </c:numCache>
            </c:numRef>
          </c:val>
          <c:smooth val="0"/>
          <c:extLst>
            <c:ext xmlns:c16="http://schemas.microsoft.com/office/drawing/2014/chart" uri="{C3380CC4-5D6E-409C-BE32-E72D297353CC}">
              <c16:uniqueId val="{00000000-3B25-4D67-AED1-36AF50E0BC9C}"/>
            </c:ext>
          </c:extLst>
        </c:ser>
        <c:ser>
          <c:idx val="1"/>
          <c:order val="1"/>
          <c:tx>
            <c:strRef>
              <c:f>'EOM Report'!$B$132</c:f>
              <c:strCache>
                <c:ptCount val="1"/>
                <c:pt idx="0">
                  <c:v>FR2 (95%)</c:v>
                </c:pt>
              </c:strCache>
            </c:strRef>
          </c:tx>
          <c:spPr>
            <a:ln w="28575" cap="rnd">
              <a:solidFill>
                <a:schemeClr val="accent2"/>
              </a:solidFill>
              <a:round/>
            </a:ln>
            <a:effectLst/>
          </c:spPr>
          <c:marker>
            <c:symbol val="circle"/>
            <c:size val="5"/>
            <c:spPr>
              <a:solidFill>
                <a:schemeClr val="accent2"/>
              </a:solidFill>
              <a:ln w="76200">
                <a:solidFill>
                  <a:schemeClr val="accent2"/>
                </a:solidFill>
              </a:ln>
              <a:effectLst/>
            </c:spPr>
          </c:marker>
          <c:cat>
            <c:numRef>
              <c:f>'EOM Report'!$C$100:$O$100</c:f>
              <c:numCache>
                <c:formatCode>mmm\-yy</c:formatCode>
                <c:ptCount val="13"/>
                <c:pt idx="0">
                  <c:v>45384</c:v>
                </c:pt>
                <c:pt idx="1">
                  <c:v>45414</c:v>
                </c:pt>
                <c:pt idx="2">
                  <c:v>45445</c:v>
                </c:pt>
                <c:pt idx="3">
                  <c:v>45475</c:v>
                </c:pt>
                <c:pt idx="4">
                  <c:v>45506</c:v>
                </c:pt>
                <c:pt idx="5">
                  <c:v>45537</c:v>
                </c:pt>
                <c:pt idx="6">
                  <c:v>45567</c:v>
                </c:pt>
                <c:pt idx="7">
                  <c:v>45598</c:v>
                </c:pt>
                <c:pt idx="8">
                  <c:v>45628</c:v>
                </c:pt>
                <c:pt idx="9">
                  <c:v>45659</c:v>
                </c:pt>
                <c:pt idx="10">
                  <c:v>45690</c:v>
                </c:pt>
                <c:pt idx="11">
                  <c:v>45718</c:v>
                </c:pt>
                <c:pt idx="12">
                  <c:v>45749</c:v>
                </c:pt>
              </c:numCache>
            </c:numRef>
          </c:cat>
          <c:val>
            <c:numRef>
              <c:f>'EOM Report'!$C$132:$O$132</c:f>
              <c:numCache>
                <c:formatCode>0.00</c:formatCode>
                <c:ptCount val="13"/>
                <c:pt idx="0">
                  <c:v>97.963333333333296</c:v>
                </c:pt>
                <c:pt idx="1">
                  <c:v>98.417109999999951</c:v>
                </c:pt>
                <c:pt idx="2">
                  <c:v>98.554923913043496</c:v>
                </c:pt>
                <c:pt idx="3">
                  <c:v>98.718811320754696</c:v>
                </c:pt>
                <c:pt idx="4">
                  <c:v>98.55181651376148</c:v>
                </c:pt>
                <c:pt idx="5">
                  <c:v>97.940032608695631</c:v>
                </c:pt>
                <c:pt idx="6">
                  <c:v>97.875065420560745</c:v>
                </c:pt>
                <c:pt idx="7">
                  <c:v>97.981890000000078</c:v>
                </c:pt>
                <c:pt idx="8">
                  <c:v>98.324539999999985</c:v>
                </c:pt>
                <c:pt idx="9">
                  <c:v>97.890523364485958</c:v>
                </c:pt>
                <c:pt idx="10">
                  <c:v>97.840091836734729</c:v>
                </c:pt>
                <c:pt idx="11">
                  <c:v>98.290469387755081</c:v>
                </c:pt>
                <c:pt idx="12">
                  <c:v>98.323619047619061</c:v>
                </c:pt>
              </c:numCache>
            </c:numRef>
          </c:val>
          <c:smooth val="0"/>
          <c:extLst>
            <c:ext xmlns:c16="http://schemas.microsoft.com/office/drawing/2014/chart" uri="{C3380CC4-5D6E-409C-BE32-E72D297353CC}">
              <c16:uniqueId val="{00000001-3B25-4D67-AED1-36AF50E0BC9C}"/>
            </c:ext>
          </c:extLst>
        </c:ser>
        <c:ser>
          <c:idx val="2"/>
          <c:order val="2"/>
          <c:tx>
            <c:strRef>
              <c:f>'EOM Report'!$B$133</c:f>
              <c:strCache>
                <c:ptCount val="1"/>
                <c:pt idx="0">
                  <c:v>FR3 (90%)</c:v>
                </c:pt>
              </c:strCache>
            </c:strRef>
          </c:tx>
          <c:spPr>
            <a:ln w="28575" cap="rnd">
              <a:solidFill>
                <a:schemeClr val="accent3"/>
              </a:solidFill>
              <a:round/>
            </a:ln>
            <a:effectLst/>
          </c:spPr>
          <c:marker>
            <c:symbol val="circle"/>
            <c:size val="5"/>
            <c:spPr>
              <a:solidFill>
                <a:schemeClr val="accent3"/>
              </a:solidFill>
              <a:ln w="76200">
                <a:solidFill>
                  <a:schemeClr val="accent3"/>
                </a:solidFill>
              </a:ln>
              <a:effectLst/>
            </c:spPr>
          </c:marker>
          <c:cat>
            <c:numRef>
              <c:f>'EOM Report'!$C$100:$O$100</c:f>
              <c:numCache>
                <c:formatCode>mmm\-yy</c:formatCode>
                <c:ptCount val="13"/>
                <c:pt idx="0">
                  <c:v>45384</c:v>
                </c:pt>
                <c:pt idx="1">
                  <c:v>45414</c:v>
                </c:pt>
                <c:pt idx="2">
                  <c:v>45445</c:v>
                </c:pt>
                <c:pt idx="3">
                  <c:v>45475</c:v>
                </c:pt>
                <c:pt idx="4">
                  <c:v>45506</c:v>
                </c:pt>
                <c:pt idx="5">
                  <c:v>45537</c:v>
                </c:pt>
                <c:pt idx="6">
                  <c:v>45567</c:v>
                </c:pt>
                <c:pt idx="7">
                  <c:v>45598</c:v>
                </c:pt>
                <c:pt idx="8">
                  <c:v>45628</c:v>
                </c:pt>
                <c:pt idx="9">
                  <c:v>45659</c:v>
                </c:pt>
                <c:pt idx="10">
                  <c:v>45690</c:v>
                </c:pt>
                <c:pt idx="11">
                  <c:v>45718</c:v>
                </c:pt>
                <c:pt idx="12">
                  <c:v>45749</c:v>
                </c:pt>
              </c:numCache>
            </c:numRef>
          </c:cat>
          <c:val>
            <c:numRef>
              <c:f>'EOM Report'!$C$133:$O$133</c:f>
              <c:numCache>
                <c:formatCode>0.00</c:formatCode>
                <c:ptCount val="13"/>
                <c:pt idx="0">
                  <c:v>99.363666666666674</c:v>
                </c:pt>
                <c:pt idx="1">
                  <c:v>98.733800000000002</c:v>
                </c:pt>
                <c:pt idx="2">
                  <c:v>99.290999999999997</c:v>
                </c:pt>
                <c:pt idx="3">
                  <c:v>99.516833333333338</c:v>
                </c:pt>
                <c:pt idx="4">
                  <c:v>99.195375000000013</c:v>
                </c:pt>
                <c:pt idx="5">
                  <c:v>98.248500000000007</c:v>
                </c:pt>
                <c:pt idx="6">
                  <c:v>98.033428571428573</c:v>
                </c:pt>
                <c:pt idx="7">
                  <c:v>97.992800000000003</c:v>
                </c:pt>
                <c:pt idx="8">
                  <c:v>99.307333333333332</c:v>
                </c:pt>
                <c:pt idx="9">
                  <c:v>97.714000000000013</c:v>
                </c:pt>
                <c:pt idx="10">
                  <c:v>97.708400000000012</c:v>
                </c:pt>
                <c:pt idx="11">
                  <c:v>98.402600000000007</c:v>
                </c:pt>
                <c:pt idx="12">
                  <c:v>99.019571428571439</c:v>
                </c:pt>
              </c:numCache>
            </c:numRef>
          </c:val>
          <c:smooth val="0"/>
          <c:extLst>
            <c:ext xmlns:c16="http://schemas.microsoft.com/office/drawing/2014/chart" uri="{C3380CC4-5D6E-409C-BE32-E72D297353CC}">
              <c16:uniqueId val="{00000002-3B25-4D67-AED1-36AF50E0BC9C}"/>
            </c:ext>
          </c:extLst>
        </c:ser>
        <c:ser>
          <c:idx val="3"/>
          <c:order val="3"/>
          <c:tx>
            <c:strRef>
              <c:f>'EOM Report'!$B$134</c:f>
              <c:strCache>
                <c:ptCount val="1"/>
                <c:pt idx="0">
                  <c:v>FR4 (85%)</c:v>
                </c:pt>
              </c:strCache>
            </c:strRef>
          </c:tx>
          <c:spPr>
            <a:ln w="28575" cap="rnd">
              <a:solidFill>
                <a:schemeClr val="accent4"/>
              </a:solidFill>
              <a:round/>
            </a:ln>
            <a:effectLst/>
          </c:spPr>
          <c:marker>
            <c:symbol val="circle"/>
            <c:size val="5"/>
            <c:spPr>
              <a:solidFill>
                <a:schemeClr val="accent4"/>
              </a:solidFill>
              <a:ln w="76200">
                <a:solidFill>
                  <a:schemeClr val="accent4"/>
                </a:solidFill>
              </a:ln>
              <a:effectLst/>
            </c:spPr>
          </c:marker>
          <c:cat>
            <c:numRef>
              <c:f>'EOM Report'!$C$100:$O$100</c:f>
              <c:numCache>
                <c:formatCode>mmm\-yy</c:formatCode>
                <c:ptCount val="13"/>
                <c:pt idx="0">
                  <c:v>45384</c:v>
                </c:pt>
                <c:pt idx="1">
                  <c:v>45414</c:v>
                </c:pt>
                <c:pt idx="2">
                  <c:v>45445</c:v>
                </c:pt>
                <c:pt idx="3">
                  <c:v>45475</c:v>
                </c:pt>
                <c:pt idx="4">
                  <c:v>45506</c:v>
                </c:pt>
                <c:pt idx="5">
                  <c:v>45537</c:v>
                </c:pt>
                <c:pt idx="6">
                  <c:v>45567</c:v>
                </c:pt>
                <c:pt idx="7">
                  <c:v>45598</c:v>
                </c:pt>
                <c:pt idx="8">
                  <c:v>45628</c:v>
                </c:pt>
                <c:pt idx="9">
                  <c:v>45659</c:v>
                </c:pt>
                <c:pt idx="10">
                  <c:v>45690</c:v>
                </c:pt>
                <c:pt idx="11">
                  <c:v>45718</c:v>
                </c:pt>
                <c:pt idx="12">
                  <c:v>45749</c:v>
                </c:pt>
              </c:numCache>
            </c:numRef>
          </c:cat>
          <c:val>
            <c:numRef>
              <c:f>'EOM Report'!$C$134:$O$134</c:f>
              <c:numCache>
                <c:formatCode>0.00</c:formatCode>
                <c:ptCount val="13"/>
                <c:pt idx="0">
                  <c:v>98.627933333333345</c:v>
                </c:pt>
                <c:pt idx="1">
                  <c:v>98.727975000000043</c:v>
                </c:pt>
                <c:pt idx="2">
                  <c:v>98.353294117647053</c:v>
                </c:pt>
                <c:pt idx="3">
                  <c:v>98.339673913043498</c:v>
                </c:pt>
                <c:pt idx="4">
                  <c:v>99.110117647058843</c:v>
                </c:pt>
                <c:pt idx="5">
                  <c:v>98.096711538461548</c:v>
                </c:pt>
                <c:pt idx="6">
                  <c:v>97.795081081081094</c:v>
                </c:pt>
                <c:pt idx="7">
                  <c:v>97.87997500000003</c:v>
                </c:pt>
                <c:pt idx="8">
                  <c:v>97.971340909090927</c:v>
                </c:pt>
                <c:pt idx="9">
                  <c:v>97.691999999999979</c:v>
                </c:pt>
                <c:pt idx="10">
                  <c:v>96.890500000000003</c:v>
                </c:pt>
                <c:pt idx="11">
                  <c:v>98.235199999999992</c:v>
                </c:pt>
                <c:pt idx="12">
                  <c:v>97.911675675675667</c:v>
                </c:pt>
              </c:numCache>
            </c:numRef>
          </c:val>
          <c:smooth val="0"/>
          <c:extLst>
            <c:ext xmlns:c16="http://schemas.microsoft.com/office/drawing/2014/chart" uri="{C3380CC4-5D6E-409C-BE32-E72D297353CC}">
              <c16:uniqueId val="{00000003-3B25-4D67-AED1-36AF50E0BC9C}"/>
            </c:ext>
          </c:extLst>
        </c:ser>
        <c:ser>
          <c:idx val="4"/>
          <c:order val="4"/>
          <c:tx>
            <c:strRef>
              <c:f>'EOM Report'!$B$135</c:f>
              <c:strCache>
                <c:ptCount val="1"/>
                <c:pt idx="0">
                  <c:v>FR5 (80%)</c:v>
                </c:pt>
              </c:strCache>
            </c:strRef>
          </c:tx>
          <c:spPr>
            <a:ln w="28575" cap="rnd">
              <a:solidFill>
                <a:srgbClr val="A568D2"/>
              </a:solidFill>
              <a:round/>
            </a:ln>
            <a:effectLst/>
          </c:spPr>
          <c:marker>
            <c:symbol val="circle"/>
            <c:size val="5"/>
            <c:spPr>
              <a:solidFill>
                <a:srgbClr val="A568D2"/>
              </a:solidFill>
              <a:ln w="25400">
                <a:solidFill>
                  <a:srgbClr val="A568D2"/>
                </a:solidFill>
              </a:ln>
              <a:effectLst/>
            </c:spPr>
          </c:marker>
          <c:cat>
            <c:numRef>
              <c:f>'EOM Report'!$C$100:$O$100</c:f>
              <c:numCache>
                <c:formatCode>mmm\-yy</c:formatCode>
                <c:ptCount val="13"/>
                <c:pt idx="0">
                  <c:v>45384</c:v>
                </c:pt>
                <c:pt idx="1">
                  <c:v>45414</c:v>
                </c:pt>
                <c:pt idx="2">
                  <c:v>45445</c:v>
                </c:pt>
                <c:pt idx="3">
                  <c:v>45475</c:v>
                </c:pt>
                <c:pt idx="4">
                  <c:v>45506</c:v>
                </c:pt>
                <c:pt idx="5">
                  <c:v>45537</c:v>
                </c:pt>
                <c:pt idx="6">
                  <c:v>45567</c:v>
                </c:pt>
                <c:pt idx="7">
                  <c:v>45598</c:v>
                </c:pt>
                <c:pt idx="8">
                  <c:v>45628</c:v>
                </c:pt>
                <c:pt idx="9">
                  <c:v>45659</c:v>
                </c:pt>
                <c:pt idx="10">
                  <c:v>45690</c:v>
                </c:pt>
                <c:pt idx="11">
                  <c:v>45718</c:v>
                </c:pt>
                <c:pt idx="12">
                  <c:v>45749</c:v>
                </c:pt>
              </c:numCache>
            </c:numRef>
          </c:cat>
          <c:val>
            <c:numRef>
              <c:f>'EOM Report'!$C$135:$O$135</c:f>
              <c:numCache>
                <c:formatCode>0.00</c:formatCode>
                <c:ptCount val="13"/>
                <c:pt idx="0">
                  <c:v>#N/A</c:v>
                </c:pt>
                <c:pt idx="1">
                  <c:v>#N/A</c:v>
                </c:pt>
                <c:pt idx="2">
                  <c:v>95.903500000000008</c:v>
                </c:pt>
                <c:pt idx="3">
                  <c:v>98.503</c:v>
                </c:pt>
                <c:pt idx="4">
                  <c:v>100</c:v>
                </c:pt>
                <c:pt idx="5">
                  <c:v>#N/A</c:v>
                </c:pt>
                <c:pt idx="6">
                  <c:v>96.323999999999998</c:v>
                </c:pt>
                <c:pt idx="7">
                  <c:v>#N/A</c:v>
                </c:pt>
                <c:pt idx="8">
                  <c:v>97.942000000000007</c:v>
                </c:pt>
                <c:pt idx="9">
                  <c:v>100</c:v>
                </c:pt>
                <c:pt idx="10">
                  <c:v>#N/A</c:v>
                </c:pt>
                <c:pt idx="11">
                  <c:v>#N/A</c:v>
                </c:pt>
                <c:pt idx="12">
                  <c:v>#N/A</c:v>
                </c:pt>
              </c:numCache>
            </c:numRef>
          </c:val>
          <c:smooth val="0"/>
          <c:extLst>
            <c:ext xmlns:c16="http://schemas.microsoft.com/office/drawing/2014/chart" uri="{C3380CC4-5D6E-409C-BE32-E72D297353CC}">
              <c16:uniqueId val="{00000004-3B25-4D67-AED1-36AF50E0BC9C}"/>
            </c:ext>
          </c:extLst>
        </c:ser>
        <c:ser>
          <c:idx val="5"/>
          <c:order val="5"/>
          <c:tx>
            <c:strRef>
              <c:f>'EOM Report'!$B$136</c:f>
              <c:strCache>
                <c:ptCount val="1"/>
                <c:pt idx="0">
                  <c:v>FR6 (75%)</c:v>
                </c:pt>
              </c:strCache>
            </c:strRef>
          </c:tx>
          <c:spPr>
            <a:ln w="28575" cap="rnd">
              <a:solidFill>
                <a:schemeClr val="accent6"/>
              </a:solidFill>
              <a:round/>
            </a:ln>
            <a:effectLst/>
          </c:spPr>
          <c:marker>
            <c:symbol val="circle"/>
            <c:size val="5"/>
            <c:spPr>
              <a:solidFill>
                <a:schemeClr val="accent6"/>
              </a:solidFill>
              <a:ln w="76200">
                <a:solidFill>
                  <a:schemeClr val="accent6"/>
                </a:solidFill>
              </a:ln>
              <a:effectLst/>
            </c:spPr>
          </c:marker>
          <c:cat>
            <c:numRef>
              <c:f>'EOM Report'!$C$100:$O$100</c:f>
              <c:numCache>
                <c:formatCode>mmm\-yy</c:formatCode>
                <c:ptCount val="13"/>
                <c:pt idx="0">
                  <c:v>45384</c:v>
                </c:pt>
                <c:pt idx="1">
                  <c:v>45414</c:v>
                </c:pt>
                <c:pt idx="2">
                  <c:v>45445</c:v>
                </c:pt>
                <c:pt idx="3">
                  <c:v>45475</c:v>
                </c:pt>
                <c:pt idx="4">
                  <c:v>45506</c:v>
                </c:pt>
                <c:pt idx="5">
                  <c:v>45537</c:v>
                </c:pt>
                <c:pt idx="6">
                  <c:v>45567</c:v>
                </c:pt>
                <c:pt idx="7">
                  <c:v>45598</c:v>
                </c:pt>
                <c:pt idx="8">
                  <c:v>45628</c:v>
                </c:pt>
                <c:pt idx="9">
                  <c:v>45659</c:v>
                </c:pt>
                <c:pt idx="10">
                  <c:v>45690</c:v>
                </c:pt>
                <c:pt idx="11">
                  <c:v>45718</c:v>
                </c:pt>
                <c:pt idx="12">
                  <c:v>45749</c:v>
                </c:pt>
              </c:numCache>
            </c:numRef>
          </c:cat>
          <c:val>
            <c:numRef>
              <c:f>'EOM Report'!$C$136:$O$136</c:f>
              <c:numCache>
                <c:formatCode>0.00</c:formatCode>
                <c:ptCount val="13"/>
                <c:pt idx="0">
                  <c:v>#N/A</c:v>
                </c:pt>
                <c:pt idx="1">
                  <c:v>#N/A</c:v>
                </c:pt>
                <c:pt idx="2">
                  <c:v>#N/A</c:v>
                </c:pt>
                <c:pt idx="3">
                  <c:v>97.202363636363643</c:v>
                </c:pt>
                <c:pt idx="4">
                  <c:v>98.302599999999984</c:v>
                </c:pt>
                <c:pt idx="5">
                  <c:v>99.017777777777781</c:v>
                </c:pt>
                <c:pt idx="6">
                  <c:v>98.429124999999999</c:v>
                </c:pt>
                <c:pt idx="7">
                  <c:v>98.041384615384615</c:v>
                </c:pt>
                <c:pt idx="8">
                  <c:v>99.103222222222229</c:v>
                </c:pt>
                <c:pt idx="9">
                  <c:v>97.780999999999977</c:v>
                </c:pt>
                <c:pt idx="10">
                  <c:v>97.925749999999994</c:v>
                </c:pt>
                <c:pt idx="11">
                  <c:v>#N/A</c:v>
                </c:pt>
                <c:pt idx="12">
                  <c:v>#N/A</c:v>
                </c:pt>
              </c:numCache>
            </c:numRef>
          </c:val>
          <c:smooth val="0"/>
          <c:extLst>
            <c:ext xmlns:c16="http://schemas.microsoft.com/office/drawing/2014/chart" uri="{C3380CC4-5D6E-409C-BE32-E72D297353CC}">
              <c16:uniqueId val="{00000005-3B25-4D67-AED1-36AF50E0BC9C}"/>
            </c:ext>
          </c:extLst>
        </c:ser>
        <c:dLbls>
          <c:showLegendKey val="0"/>
          <c:showVal val="0"/>
          <c:showCatName val="0"/>
          <c:showSerName val="0"/>
          <c:showPercent val="0"/>
          <c:showBubbleSize val="0"/>
        </c:dLbls>
        <c:marker val="1"/>
        <c:smooth val="0"/>
        <c:axId val="556730176"/>
        <c:axId val="556734112"/>
      </c:lineChart>
      <c:dateAx>
        <c:axId val="556730176"/>
        <c:scaling>
          <c:orientation val="minMax"/>
        </c:scaling>
        <c:delete val="0"/>
        <c:axPos val="b"/>
        <c:numFmt formatCode="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734112"/>
        <c:crosses val="autoZero"/>
        <c:auto val="0"/>
        <c:lblOffset val="100"/>
        <c:baseTimeUnit val="months"/>
      </c:dateAx>
      <c:valAx>
        <c:axId val="5567341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730176"/>
        <c:crossesAt val="44805"/>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92D050"/>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1714785651792"/>
          <c:y val="5.1044083526682132E-2"/>
          <c:w val="0.81862729658792655"/>
          <c:h val="0.5959449732356541"/>
        </c:manualLayout>
      </c:layout>
      <c:lineChart>
        <c:grouping val="standard"/>
        <c:varyColors val="0"/>
        <c:ser>
          <c:idx val="0"/>
          <c:order val="0"/>
          <c:tx>
            <c:strRef>
              <c:f>'WatRes by drug'!$B$2</c:f>
              <c:strCache>
                <c:ptCount val="1"/>
                <c:pt idx="0">
                  <c:v>Co-amoxiclav</c:v>
                </c:pt>
              </c:strCache>
            </c:strRef>
          </c:tx>
          <c:spPr>
            <a:ln w="28575" cap="rnd">
              <a:solidFill>
                <a:schemeClr val="accent1"/>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drug'!$B$3:$B$14</c:f>
              <c:numCache>
                <c:formatCode>General</c:formatCode>
                <c:ptCount val="12"/>
                <c:pt idx="0">
                  <c:v>641.00599999999997</c:v>
                </c:pt>
                <c:pt idx="1">
                  <c:v>739.89499999999998</c:v>
                </c:pt>
                <c:pt idx="2">
                  <c:v>938.51</c:v>
                </c:pt>
                <c:pt idx="3">
                  <c:v>1054.213</c:v>
                </c:pt>
                <c:pt idx="4">
                  <c:v>1308.671</c:v>
                </c:pt>
                <c:pt idx="5">
                  <c:v>1281.912</c:v>
                </c:pt>
                <c:pt idx="6">
                  <c:v>1353.4649999999999</c:v>
                </c:pt>
                <c:pt idx="7">
                  <c:v>1354.067</c:v>
                </c:pt>
                <c:pt idx="8">
                  <c:v>1494.7660000000001</c:v>
                </c:pt>
                <c:pt idx="9">
                  <c:v>1916.0029999999999</c:v>
                </c:pt>
                <c:pt idx="10">
                  <c:v>2027.181</c:v>
                </c:pt>
                <c:pt idx="11">
                  <c:v>1870.145</c:v>
                </c:pt>
              </c:numCache>
            </c:numRef>
          </c:val>
          <c:smooth val="0"/>
          <c:extLst>
            <c:ext xmlns:c16="http://schemas.microsoft.com/office/drawing/2014/chart" uri="{C3380CC4-5D6E-409C-BE32-E72D297353CC}">
              <c16:uniqueId val="{00000000-209A-45B0-960F-D7568462EEA3}"/>
            </c:ext>
          </c:extLst>
        </c:ser>
        <c:ser>
          <c:idx val="1"/>
          <c:order val="1"/>
          <c:tx>
            <c:strRef>
              <c:f>'WatRes by drug'!$C$2</c:f>
              <c:strCache>
                <c:ptCount val="1"/>
                <c:pt idx="0">
                  <c:v>Clarithromycin</c:v>
                </c:pt>
              </c:strCache>
            </c:strRef>
          </c:tx>
          <c:spPr>
            <a:ln w="28575" cap="rnd">
              <a:solidFill>
                <a:schemeClr val="accent2"/>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drug'!$C$3:$C$14</c:f>
              <c:numCache>
                <c:formatCode>General</c:formatCode>
                <c:ptCount val="12"/>
                <c:pt idx="0">
                  <c:v>528.05399999999997</c:v>
                </c:pt>
                <c:pt idx="1">
                  <c:v>540.774</c:v>
                </c:pt>
                <c:pt idx="2">
                  <c:v>550.61500000000001</c:v>
                </c:pt>
                <c:pt idx="3">
                  <c:v>530.03700000000003</c:v>
                </c:pt>
                <c:pt idx="4">
                  <c:v>624.50699999999995</c:v>
                </c:pt>
                <c:pt idx="5">
                  <c:v>688.24599999999998</c:v>
                </c:pt>
                <c:pt idx="6">
                  <c:v>840.14</c:v>
                </c:pt>
                <c:pt idx="7">
                  <c:v>823.30499999999995</c:v>
                </c:pt>
                <c:pt idx="8">
                  <c:v>844.52300000000002</c:v>
                </c:pt>
                <c:pt idx="9">
                  <c:v>1053.854</c:v>
                </c:pt>
                <c:pt idx="10">
                  <c:v>1113.982</c:v>
                </c:pt>
                <c:pt idx="11">
                  <c:v>929.46100000000001</c:v>
                </c:pt>
              </c:numCache>
            </c:numRef>
          </c:val>
          <c:smooth val="0"/>
          <c:extLst>
            <c:ext xmlns:c16="http://schemas.microsoft.com/office/drawing/2014/chart" uri="{C3380CC4-5D6E-409C-BE32-E72D297353CC}">
              <c16:uniqueId val="{00000001-209A-45B0-960F-D7568462EEA3}"/>
            </c:ext>
          </c:extLst>
        </c:ser>
        <c:ser>
          <c:idx val="2"/>
          <c:order val="2"/>
          <c:tx>
            <c:strRef>
              <c:f>'WatRes by drug'!$D$2</c:f>
              <c:strCache>
                <c:ptCount val="1"/>
                <c:pt idx="0">
                  <c:v>Ciprofloxacin</c:v>
                </c:pt>
              </c:strCache>
            </c:strRef>
          </c:tx>
          <c:spPr>
            <a:ln w="28575" cap="rnd">
              <a:solidFill>
                <a:schemeClr val="accent3"/>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drug'!$D$3:$D$14</c:f>
              <c:numCache>
                <c:formatCode>General</c:formatCode>
                <c:ptCount val="12"/>
                <c:pt idx="0">
                  <c:v>154.57300000000001</c:v>
                </c:pt>
                <c:pt idx="1">
                  <c:v>152.751</c:v>
                </c:pt>
                <c:pt idx="2">
                  <c:v>158.83099999999999</c:v>
                </c:pt>
                <c:pt idx="3">
                  <c:v>180.63399999999999</c:v>
                </c:pt>
                <c:pt idx="4">
                  <c:v>233.387</c:v>
                </c:pt>
                <c:pt idx="5">
                  <c:v>215.358</c:v>
                </c:pt>
                <c:pt idx="6">
                  <c:v>184.30500000000001</c:v>
                </c:pt>
                <c:pt idx="7">
                  <c:v>195.74600000000001</c:v>
                </c:pt>
                <c:pt idx="8">
                  <c:v>216.99199999999999</c:v>
                </c:pt>
                <c:pt idx="9">
                  <c:v>244.108</c:v>
                </c:pt>
                <c:pt idx="10">
                  <c:v>195.68799999999999</c:v>
                </c:pt>
                <c:pt idx="11">
                  <c:v>155.33500000000001</c:v>
                </c:pt>
              </c:numCache>
            </c:numRef>
          </c:val>
          <c:smooth val="0"/>
          <c:extLst>
            <c:ext xmlns:c16="http://schemas.microsoft.com/office/drawing/2014/chart" uri="{C3380CC4-5D6E-409C-BE32-E72D297353CC}">
              <c16:uniqueId val="{00000002-209A-45B0-960F-D7568462EEA3}"/>
            </c:ext>
          </c:extLst>
        </c:ser>
        <c:ser>
          <c:idx val="3"/>
          <c:order val="3"/>
          <c:tx>
            <c:strRef>
              <c:f>'WatRes by drug'!$E$2</c:f>
              <c:strCache>
                <c:ptCount val="1"/>
                <c:pt idx="0">
                  <c:v>Levofloxacin</c:v>
                </c:pt>
              </c:strCache>
            </c:strRef>
          </c:tx>
          <c:spPr>
            <a:ln w="28575" cap="rnd">
              <a:solidFill>
                <a:schemeClr val="accent4"/>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drug'!$E$3:$E$14</c:f>
              <c:numCache>
                <c:formatCode>General</c:formatCode>
                <c:ptCount val="12"/>
                <c:pt idx="0">
                  <c:v>88.533000000000001</c:v>
                </c:pt>
                <c:pt idx="1">
                  <c:v>115.428</c:v>
                </c:pt>
                <c:pt idx="2">
                  <c:v>162.59399999999999</c:v>
                </c:pt>
                <c:pt idx="3">
                  <c:v>153.364</c:v>
                </c:pt>
                <c:pt idx="4">
                  <c:v>230.36500000000001</c:v>
                </c:pt>
                <c:pt idx="5">
                  <c:v>209.32900000000001</c:v>
                </c:pt>
                <c:pt idx="6">
                  <c:v>144.55600000000001</c:v>
                </c:pt>
                <c:pt idx="7">
                  <c:v>26.347999999999999</c:v>
                </c:pt>
                <c:pt idx="8">
                  <c:v>46.872999999999998</c:v>
                </c:pt>
                <c:pt idx="9">
                  <c:v>66.953000000000003</c:v>
                </c:pt>
                <c:pt idx="10">
                  <c:v>68.555000000000007</c:v>
                </c:pt>
                <c:pt idx="11">
                  <c:v>85.992999999999995</c:v>
                </c:pt>
              </c:numCache>
            </c:numRef>
          </c:val>
          <c:smooth val="0"/>
          <c:extLst>
            <c:ext xmlns:c16="http://schemas.microsoft.com/office/drawing/2014/chart" uri="{C3380CC4-5D6E-409C-BE32-E72D297353CC}">
              <c16:uniqueId val="{00000003-209A-45B0-960F-D7568462EEA3}"/>
            </c:ext>
          </c:extLst>
        </c:ser>
        <c:ser>
          <c:idx val="4"/>
          <c:order val="4"/>
          <c:tx>
            <c:strRef>
              <c:f>'WatRes by drug'!$F$2</c:f>
              <c:strCache>
                <c:ptCount val="1"/>
                <c:pt idx="0">
                  <c:v>Piperacillin + Tazobactam</c:v>
                </c:pt>
              </c:strCache>
            </c:strRef>
          </c:tx>
          <c:spPr>
            <a:ln w="28575" cap="rnd">
              <a:solidFill>
                <a:schemeClr val="accent5"/>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drug'!$F$3:$F$14</c:f>
              <c:numCache>
                <c:formatCode>General</c:formatCode>
                <c:ptCount val="12"/>
                <c:pt idx="0">
                  <c:v>72.864000000000004</c:v>
                </c:pt>
                <c:pt idx="1">
                  <c:v>79.113</c:v>
                </c:pt>
                <c:pt idx="2">
                  <c:v>92.468000000000004</c:v>
                </c:pt>
                <c:pt idx="3">
                  <c:v>82.218999999999994</c:v>
                </c:pt>
                <c:pt idx="4">
                  <c:v>100.504</c:v>
                </c:pt>
                <c:pt idx="5">
                  <c:v>91.266000000000005</c:v>
                </c:pt>
                <c:pt idx="6">
                  <c:v>111.72</c:v>
                </c:pt>
                <c:pt idx="7">
                  <c:v>98.135999999999996</c:v>
                </c:pt>
                <c:pt idx="8">
                  <c:v>103.643</c:v>
                </c:pt>
                <c:pt idx="9">
                  <c:v>124.684</c:v>
                </c:pt>
                <c:pt idx="10">
                  <c:v>142.60499999999999</c:v>
                </c:pt>
                <c:pt idx="11">
                  <c:v>135.66200000000001</c:v>
                </c:pt>
              </c:numCache>
            </c:numRef>
          </c:val>
          <c:smooth val="0"/>
          <c:extLst>
            <c:ext xmlns:c16="http://schemas.microsoft.com/office/drawing/2014/chart" uri="{C3380CC4-5D6E-409C-BE32-E72D297353CC}">
              <c16:uniqueId val="{00000004-209A-45B0-960F-D7568462EEA3}"/>
            </c:ext>
          </c:extLst>
        </c:ser>
        <c:ser>
          <c:idx val="5"/>
          <c:order val="5"/>
          <c:tx>
            <c:strRef>
              <c:f>'WatRes by drug'!$G$2</c:f>
              <c:strCache>
                <c:ptCount val="1"/>
                <c:pt idx="0">
                  <c:v>Clindamycin</c:v>
                </c:pt>
              </c:strCache>
            </c:strRef>
          </c:tx>
          <c:spPr>
            <a:ln w="28575" cap="rnd">
              <a:solidFill>
                <a:schemeClr val="accent6"/>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drug'!$G$3:$G$14</c:f>
              <c:numCache>
                <c:formatCode>General</c:formatCode>
                <c:ptCount val="12"/>
                <c:pt idx="0">
                  <c:v>45.805999999999997</c:v>
                </c:pt>
                <c:pt idx="1">
                  <c:v>47.685000000000002</c:v>
                </c:pt>
                <c:pt idx="2">
                  <c:v>53.067</c:v>
                </c:pt>
                <c:pt idx="3">
                  <c:v>87.49</c:v>
                </c:pt>
                <c:pt idx="4">
                  <c:v>109.56399999999999</c:v>
                </c:pt>
                <c:pt idx="5">
                  <c:v>90.343000000000004</c:v>
                </c:pt>
                <c:pt idx="6">
                  <c:v>84.831000000000003</c:v>
                </c:pt>
                <c:pt idx="7">
                  <c:v>71.929000000000002</c:v>
                </c:pt>
                <c:pt idx="8">
                  <c:v>83.631</c:v>
                </c:pt>
                <c:pt idx="9">
                  <c:v>99.909000000000006</c:v>
                </c:pt>
                <c:pt idx="10">
                  <c:v>97.537999999999997</c:v>
                </c:pt>
                <c:pt idx="11">
                  <c:v>70.215000000000003</c:v>
                </c:pt>
              </c:numCache>
            </c:numRef>
          </c:val>
          <c:smooth val="0"/>
          <c:extLst>
            <c:ext xmlns:c16="http://schemas.microsoft.com/office/drawing/2014/chart" uri="{C3380CC4-5D6E-409C-BE32-E72D297353CC}">
              <c16:uniqueId val="{00000005-209A-45B0-960F-D7568462EEA3}"/>
            </c:ext>
          </c:extLst>
        </c:ser>
        <c:ser>
          <c:idx val="6"/>
          <c:order val="6"/>
          <c:tx>
            <c:strRef>
              <c:f>'WatRes by drug'!$H$2</c:f>
              <c:strCache>
                <c:ptCount val="1"/>
                <c:pt idx="0">
                  <c:v>Teicoplanin</c:v>
                </c:pt>
              </c:strCache>
            </c:strRef>
          </c:tx>
          <c:spPr>
            <a:ln w="28575" cap="rnd">
              <a:solidFill>
                <a:schemeClr val="accent1">
                  <a:lumMod val="60000"/>
                </a:schemeClr>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drug'!$H$3:$H$14</c:f>
              <c:numCache>
                <c:formatCode>General</c:formatCode>
                <c:ptCount val="12"/>
                <c:pt idx="0">
                  <c:v>85.757999999999996</c:v>
                </c:pt>
                <c:pt idx="1">
                  <c:v>80.765000000000001</c:v>
                </c:pt>
                <c:pt idx="2">
                  <c:v>68.948999999999998</c:v>
                </c:pt>
                <c:pt idx="3">
                  <c:v>76.013999999999996</c:v>
                </c:pt>
                <c:pt idx="4">
                  <c:v>75.471000000000004</c:v>
                </c:pt>
                <c:pt idx="5">
                  <c:v>66.522999999999996</c:v>
                </c:pt>
                <c:pt idx="6">
                  <c:v>59.847999999999999</c:v>
                </c:pt>
                <c:pt idx="7">
                  <c:v>67.700999999999993</c:v>
                </c:pt>
                <c:pt idx="8">
                  <c:v>58.418999999999997</c:v>
                </c:pt>
                <c:pt idx="9">
                  <c:v>80.525999999999996</c:v>
                </c:pt>
                <c:pt idx="10">
                  <c:v>80.325999999999993</c:v>
                </c:pt>
                <c:pt idx="11">
                  <c:v>65.091999999999999</c:v>
                </c:pt>
              </c:numCache>
            </c:numRef>
          </c:val>
          <c:smooth val="0"/>
          <c:extLst>
            <c:ext xmlns:c16="http://schemas.microsoft.com/office/drawing/2014/chart" uri="{C3380CC4-5D6E-409C-BE32-E72D297353CC}">
              <c16:uniqueId val="{00000006-209A-45B0-960F-D7568462EEA3}"/>
            </c:ext>
          </c:extLst>
        </c:ser>
        <c:ser>
          <c:idx val="7"/>
          <c:order val="7"/>
          <c:tx>
            <c:strRef>
              <c:f>'WatRes by drug'!$I$2</c:f>
              <c:strCache>
                <c:ptCount val="1"/>
                <c:pt idx="0">
                  <c:v>Cefuroxime</c:v>
                </c:pt>
              </c:strCache>
            </c:strRef>
          </c:tx>
          <c:spPr>
            <a:ln w="28575" cap="rnd">
              <a:solidFill>
                <a:schemeClr val="accent2">
                  <a:lumMod val="60000"/>
                </a:schemeClr>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drug'!$I$3:$I$14</c:f>
              <c:numCache>
                <c:formatCode>General</c:formatCode>
                <c:ptCount val="12"/>
                <c:pt idx="0">
                  <c:v>52.926000000000002</c:v>
                </c:pt>
                <c:pt idx="1">
                  <c:v>48.978000000000002</c:v>
                </c:pt>
                <c:pt idx="2">
                  <c:v>37.494999999999997</c:v>
                </c:pt>
                <c:pt idx="3">
                  <c:v>44.048999999999999</c:v>
                </c:pt>
                <c:pt idx="4">
                  <c:v>47.521000000000001</c:v>
                </c:pt>
                <c:pt idx="5">
                  <c:v>53.767000000000003</c:v>
                </c:pt>
                <c:pt idx="6">
                  <c:v>67.057000000000002</c:v>
                </c:pt>
                <c:pt idx="7">
                  <c:v>68.849999999999994</c:v>
                </c:pt>
                <c:pt idx="8">
                  <c:v>77.587999999999994</c:v>
                </c:pt>
                <c:pt idx="9">
                  <c:v>91.616</c:v>
                </c:pt>
                <c:pt idx="10">
                  <c:v>86.021000000000001</c:v>
                </c:pt>
                <c:pt idx="11">
                  <c:v>93.210999999999999</c:v>
                </c:pt>
              </c:numCache>
            </c:numRef>
          </c:val>
          <c:smooth val="0"/>
          <c:extLst>
            <c:ext xmlns:c16="http://schemas.microsoft.com/office/drawing/2014/chart" uri="{C3380CC4-5D6E-409C-BE32-E72D297353CC}">
              <c16:uniqueId val="{00000007-209A-45B0-960F-D7568462EEA3}"/>
            </c:ext>
          </c:extLst>
        </c:ser>
        <c:ser>
          <c:idx val="8"/>
          <c:order val="8"/>
          <c:tx>
            <c:strRef>
              <c:f>'WatRes by drug'!$J$2</c:f>
              <c:strCache>
                <c:ptCount val="1"/>
                <c:pt idx="0">
                  <c:v>Azithromycin</c:v>
                </c:pt>
              </c:strCache>
            </c:strRef>
          </c:tx>
          <c:spPr>
            <a:ln w="28575" cap="rnd">
              <a:solidFill>
                <a:schemeClr val="accent3">
                  <a:lumMod val="60000"/>
                </a:schemeClr>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drug'!$J$3:$J$14</c:f>
              <c:numCache>
                <c:formatCode>General</c:formatCode>
                <c:ptCount val="12"/>
                <c:pt idx="0">
                  <c:v>38.314</c:v>
                </c:pt>
                <c:pt idx="1">
                  <c:v>36.555999999999997</c:v>
                </c:pt>
                <c:pt idx="2">
                  <c:v>46.033999999999999</c:v>
                </c:pt>
                <c:pt idx="3">
                  <c:v>71.695999999999998</c:v>
                </c:pt>
                <c:pt idx="4">
                  <c:v>83.174999999999997</c:v>
                </c:pt>
                <c:pt idx="5">
                  <c:v>66.796999999999997</c:v>
                </c:pt>
                <c:pt idx="6">
                  <c:v>62.091999999999999</c:v>
                </c:pt>
                <c:pt idx="7">
                  <c:v>48.75</c:v>
                </c:pt>
                <c:pt idx="8">
                  <c:v>57.563000000000002</c:v>
                </c:pt>
                <c:pt idx="9">
                  <c:v>79.67</c:v>
                </c:pt>
                <c:pt idx="10">
                  <c:v>91.528999999999996</c:v>
                </c:pt>
                <c:pt idx="11">
                  <c:v>52.847999999999999</c:v>
                </c:pt>
              </c:numCache>
            </c:numRef>
          </c:val>
          <c:smooth val="0"/>
          <c:extLst>
            <c:ext xmlns:c16="http://schemas.microsoft.com/office/drawing/2014/chart" uri="{C3380CC4-5D6E-409C-BE32-E72D297353CC}">
              <c16:uniqueId val="{00000008-209A-45B0-960F-D7568462EEA3}"/>
            </c:ext>
          </c:extLst>
        </c:ser>
        <c:ser>
          <c:idx val="9"/>
          <c:order val="9"/>
          <c:tx>
            <c:strRef>
              <c:f>'WatRes by drug'!$K$2</c:f>
              <c:strCache>
                <c:ptCount val="1"/>
                <c:pt idx="0">
                  <c:v>Ceftriaxone</c:v>
                </c:pt>
              </c:strCache>
            </c:strRef>
          </c:tx>
          <c:spPr>
            <a:ln w="28575" cap="rnd">
              <a:solidFill>
                <a:schemeClr val="accent4">
                  <a:lumMod val="60000"/>
                </a:schemeClr>
              </a:solidFill>
              <a:round/>
            </a:ln>
            <a:effectLst/>
          </c:spPr>
          <c:marker>
            <c:symbol val="none"/>
          </c:marker>
          <c:cat>
            <c:numRef>
              <c:f>'WatRes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drug'!$K$3:$K$14</c:f>
              <c:numCache>
                <c:formatCode>General</c:formatCode>
                <c:ptCount val="12"/>
                <c:pt idx="0">
                  <c:v>34.805999999999997</c:v>
                </c:pt>
                <c:pt idx="1">
                  <c:v>38.524000000000001</c:v>
                </c:pt>
                <c:pt idx="2">
                  <c:v>39.927</c:v>
                </c:pt>
                <c:pt idx="3">
                  <c:v>52.847999999999999</c:v>
                </c:pt>
                <c:pt idx="4">
                  <c:v>53.456000000000003</c:v>
                </c:pt>
                <c:pt idx="5">
                  <c:v>60.662999999999997</c:v>
                </c:pt>
                <c:pt idx="6">
                  <c:v>60.26</c:v>
                </c:pt>
                <c:pt idx="7">
                  <c:v>49.250999999999998</c:v>
                </c:pt>
                <c:pt idx="8">
                  <c:v>63.140999999999998</c:v>
                </c:pt>
                <c:pt idx="9">
                  <c:v>73.799000000000007</c:v>
                </c:pt>
                <c:pt idx="10">
                  <c:v>85.585999999999999</c:v>
                </c:pt>
                <c:pt idx="11">
                  <c:v>101.904</c:v>
                </c:pt>
              </c:numCache>
            </c:numRef>
          </c:val>
          <c:smooth val="0"/>
          <c:extLst>
            <c:ext xmlns:c16="http://schemas.microsoft.com/office/drawing/2014/chart" uri="{C3380CC4-5D6E-409C-BE32-E72D297353CC}">
              <c16:uniqueId val="{00000009-209A-45B0-960F-D7568462EEA3}"/>
            </c:ext>
          </c:extLst>
        </c:ser>
        <c:dLbls>
          <c:showLegendKey val="0"/>
          <c:showVal val="0"/>
          <c:showCatName val="0"/>
          <c:showSerName val="0"/>
          <c:showPercent val="0"/>
          <c:showBubbleSize val="0"/>
        </c:dLbls>
        <c:smooth val="0"/>
        <c:axId val="256445416"/>
        <c:axId val="256446400"/>
      </c:lineChart>
      <c:catAx>
        <c:axId val="2564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446400"/>
        <c:crosses val="autoZero"/>
        <c:auto val="1"/>
        <c:lblAlgn val="ctr"/>
        <c:lblOffset val="100"/>
        <c:noMultiLvlLbl val="0"/>
      </c:catAx>
      <c:valAx>
        <c:axId val="25644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DDDs / 1000 admissions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445416"/>
        <c:crosses val="autoZero"/>
        <c:crossBetween val="between"/>
      </c:valAx>
      <c:spPr>
        <a:noFill/>
        <a:ln>
          <a:noFill/>
        </a:ln>
        <a:effectLst/>
      </c:spPr>
    </c:plotArea>
    <c:legend>
      <c:legendPos val="b"/>
      <c:layout>
        <c:manualLayout>
          <c:xMode val="edge"/>
          <c:yMode val="edge"/>
          <c:x val="1.6456911636045492E-2"/>
          <c:y val="0.71751466101540085"/>
          <c:w val="0.96153062117235344"/>
          <c:h val="0.254643111606408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1714785651792"/>
          <c:y val="5.1044083526682132E-2"/>
          <c:w val="0.81862729658792655"/>
          <c:h val="0.66439154502438935"/>
        </c:manualLayout>
      </c:layout>
      <c:lineChart>
        <c:grouping val="standard"/>
        <c:varyColors val="0"/>
        <c:ser>
          <c:idx val="0"/>
          <c:order val="0"/>
          <c:tx>
            <c:strRef>
              <c:f>'WatRes by directorate'!$B$2</c:f>
              <c:strCache>
                <c:ptCount val="1"/>
                <c:pt idx="0">
                  <c:v>103 - EMERGENCY MEDICINE</c:v>
                </c:pt>
              </c:strCache>
            </c:strRef>
          </c:tx>
          <c:spPr>
            <a:ln w="28575" cap="rnd">
              <a:solidFill>
                <a:schemeClr val="accent1"/>
              </a:solidFill>
              <a:round/>
            </a:ln>
            <a:effectLst/>
          </c:spPr>
          <c:marker>
            <c:symbol val="none"/>
          </c:marker>
          <c:cat>
            <c:numRef>
              <c:f>'WatRes by directorate'!$A$3:$A$14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directorate'!$B$3:$B$14</c:f>
              <c:numCache>
                <c:formatCode>General</c:formatCode>
                <c:ptCount val="12"/>
                <c:pt idx="0">
                  <c:v>497.4</c:v>
                </c:pt>
                <c:pt idx="1">
                  <c:v>523.92700000000002</c:v>
                </c:pt>
                <c:pt idx="2">
                  <c:v>630.024</c:v>
                </c:pt>
                <c:pt idx="3">
                  <c:v>634.21100000000001</c:v>
                </c:pt>
                <c:pt idx="4">
                  <c:v>810.34500000000003</c:v>
                </c:pt>
                <c:pt idx="5">
                  <c:v>885.63800000000003</c:v>
                </c:pt>
                <c:pt idx="6">
                  <c:v>888.71600000000001</c:v>
                </c:pt>
                <c:pt idx="7">
                  <c:v>1009.753</c:v>
                </c:pt>
                <c:pt idx="8">
                  <c:v>1210.1969999999999</c:v>
                </c:pt>
                <c:pt idx="9">
                  <c:v>1539.492</c:v>
                </c:pt>
                <c:pt idx="10">
                  <c:v>1650.2239999999999</c:v>
                </c:pt>
                <c:pt idx="11">
                  <c:v>1378.348</c:v>
                </c:pt>
              </c:numCache>
            </c:numRef>
          </c:val>
          <c:smooth val="0"/>
          <c:extLst>
            <c:ext xmlns:c16="http://schemas.microsoft.com/office/drawing/2014/chart" uri="{C3380CC4-5D6E-409C-BE32-E72D297353CC}">
              <c16:uniqueId val="{00000000-ABF1-449E-80C5-0B9F411A41AC}"/>
            </c:ext>
          </c:extLst>
        </c:ser>
        <c:ser>
          <c:idx val="1"/>
          <c:order val="1"/>
          <c:tx>
            <c:strRef>
              <c:f>'WatRes by directorate'!$C$2</c:f>
              <c:strCache>
                <c:ptCount val="1"/>
                <c:pt idx="0">
                  <c:v>100 - SPECIALTY MEDICINE</c:v>
                </c:pt>
              </c:strCache>
            </c:strRef>
          </c:tx>
          <c:spPr>
            <a:ln w="28575" cap="rnd">
              <a:solidFill>
                <a:schemeClr val="accent2"/>
              </a:solidFill>
              <a:round/>
            </a:ln>
            <a:effectLst/>
          </c:spPr>
          <c:marker>
            <c:symbol val="none"/>
          </c:marker>
          <c:cat>
            <c:numRef>
              <c:f>'WatRes by directorate'!$A$3:$A$14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directorate'!$C$3:$C$14</c:f>
              <c:numCache>
                <c:formatCode>General</c:formatCode>
                <c:ptCount val="12"/>
                <c:pt idx="0">
                  <c:v>294.61500000000001</c:v>
                </c:pt>
                <c:pt idx="1">
                  <c:v>337.20699999999999</c:v>
                </c:pt>
                <c:pt idx="2">
                  <c:v>384.04199999999997</c:v>
                </c:pt>
                <c:pt idx="3">
                  <c:v>432.31200000000001</c:v>
                </c:pt>
                <c:pt idx="4">
                  <c:v>512.76199999999994</c:v>
                </c:pt>
                <c:pt idx="5">
                  <c:v>527.07500000000005</c:v>
                </c:pt>
                <c:pt idx="6">
                  <c:v>609.13400000000001</c:v>
                </c:pt>
                <c:pt idx="7">
                  <c:v>424.16300000000001</c:v>
                </c:pt>
                <c:pt idx="8">
                  <c:v>404.51100000000002</c:v>
                </c:pt>
                <c:pt idx="9">
                  <c:v>529.91099999999994</c:v>
                </c:pt>
                <c:pt idx="10">
                  <c:v>521.08100000000002</c:v>
                </c:pt>
                <c:pt idx="11">
                  <c:v>422.53</c:v>
                </c:pt>
              </c:numCache>
            </c:numRef>
          </c:val>
          <c:smooth val="0"/>
          <c:extLst>
            <c:ext xmlns:c16="http://schemas.microsoft.com/office/drawing/2014/chart" uri="{C3380CC4-5D6E-409C-BE32-E72D297353CC}">
              <c16:uniqueId val="{00000001-ABF1-449E-80C5-0B9F411A41AC}"/>
            </c:ext>
          </c:extLst>
        </c:ser>
        <c:ser>
          <c:idx val="2"/>
          <c:order val="2"/>
          <c:tx>
            <c:strRef>
              <c:f>'WatRes by directorate'!$D$2</c:f>
              <c:strCache>
                <c:ptCount val="1"/>
                <c:pt idx="0">
                  <c:v>201 - GENERAL SURGERY</c:v>
                </c:pt>
              </c:strCache>
            </c:strRef>
          </c:tx>
          <c:spPr>
            <a:ln w="28575" cap="rnd">
              <a:solidFill>
                <a:schemeClr val="accent3"/>
              </a:solidFill>
              <a:round/>
            </a:ln>
            <a:effectLst/>
          </c:spPr>
          <c:marker>
            <c:symbol val="none"/>
          </c:marker>
          <c:cat>
            <c:numRef>
              <c:f>'WatRes by directorate'!$A$3:$A$14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directorate'!$D$3:$D$14</c:f>
              <c:numCache>
                <c:formatCode>General</c:formatCode>
                <c:ptCount val="12"/>
                <c:pt idx="0">
                  <c:v>174.166</c:v>
                </c:pt>
                <c:pt idx="1">
                  <c:v>189.18799999999999</c:v>
                </c:pt>
                <c:pt idx="2">
                  <c:v>205.34399999999999</c:v>
                </c:pt>
                <c:pt idx="3">
                  <c:v>208.13900000000001</c:v>
                </c:pt>
                <c:pt idx="4">
                  <c:v>271.822</c:v>
                </c:pt>
                <c:pt idx="5">
                  <c:v>269.88799999999998</c:v>
                </c:pt>
                <c:pt idx="6">
                  <c:v>253.49600000000001</c:v>
                </c:pt>
                <c:pt idx="7">
                  <c:v>264.51</c:v>
                </c:pt>
                <c:pt idx="8">
                  <c:v>282.40699999999998</c:v>
                </c:pt>
                <c:pt idx="9">
                  <c:v>353.83499999999998</c:v>
                </c:pt>
                <c:pt idx="10">
                  <c:v>373.77199999999999</c:v>
                </c:pt>
                <c:pt idx="11">
                  <c:v>318.58800000000002</c:v>
                </c:pt>
              </c:numCache>
            </c:numRef>
          </c:val>
          <c:smooth val="0"/>
          <c:extLst>
            <c:ext xmlns:c16="http://schemas.microsoft.com/office/drawing/2014/chart" uri="{C3380CC4-5D6E-409C-BE32-E72D297353CC}">
              <c16:uniqueId val="{00000002-ABF1-449E-80C5-0B9F411A41AC}"/>
            </c:ext>
          </c:extLst>
        </c:ser>
        <c:ser>
          <c:idx val="3"/>
          <c:order val="3"/>
          <c:tx>
            <c:strRef>
              <c:f>'WatRes by directorate'!$E$2</c:f>
              <c:strCache>
                <c:ptCount val="1"/>
                <c:pt idx="0">
                  <c:v>102 - ACUTE MEDICINE</c:v>
                </c:pt>
              </c:strCache>
            </c:strRef>
          </c:tx>
          <c:spPr>
            <a:ln w="28575" cap="rnd">
              <a:solidFill>
                <a:schemeClr val="accent4"/>
              </a:solidFill>
              <a:round/>
            </a:ln>
            <a:effectLst/>
          </c:spPr>
          <c:marker>
            <c:symbol val="none"/>
          </c:marker>
          <c:cat>
            <c:numRef>
              <c:f>'WatRes by directorate'!$A$3:$A$14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directorate'!$E$3:$E$14</c:f>
              <c:numCache>
                <c:formatCode>General</c:formatCode>
                <c:ptCount val="12"/>
                <c:pt idx="0">
                  <c:v>87.001999999999995</c:v>
                </c:pt>
                <c:pt idx="1">
                  <c:v>115.771</c:v>
                </c:pt>
                <c:pt idx="2">
                  <c:v>164.25200000000001</c:v>
                </c:pt>
                <c:pt idx="3">
                  <c:v>209.483</c:v>
                </c:pt>
                <c:pt idx="4">
                  <c:v>326.62799999999999</c:v>
                </c:pt>
                <c:pt idx="5">
                  <c:v>204.62700000000001</c:v>
                </c:pt>
                <c:pt idx="6">
                  <c:v>237.958</c:v>
                </c:pt>
                <c:pt idx="7">
                  <c:v>200.77500000000001</c:v>
                </c:pt>
                <c:pt idx="8">
                  <c:v>226.27099999999999</c:v>
                </c:pt>
                <c:pt idx="9">
                  <c:v>290.45499999999998</c:v>
                </c:pt>
                <c:pt idx="10">
                  <c:v>293.86</c:v>
                </c:pt>
                <c:pt idx="11">
                  <c:v>310.86599999999999</c:v>
                </c:pt>
              </c:numCache>
            </c:numRef>
          </c:val>
          <c:smooth val="0"/>
          <c:extLst>
            <c:ext xmlns:c16="http://schemas.microsoft.com/office/drawing/2014/chart" uri="{C3380CC4-5D6E-409C-BE32-E72D297353CC}">
              <c16:uniqueId val="{00000003-ABF1-449E-80C5-0B9F411A41AC}"/>
            </c:ext>
          </c:extLst>
        </c:ser>
        <c:ser>
          <c:idx val="4"/>
          <c:order val="4"/>
          <c:tx>
            <c:strRef>
              <c:f>'WatRes by directorate'!$F$2</c:f>
              <c:strCache>
                <c:ptCount val="1"/>
                <c:pt idx="0">
                  <c:v>101 - HCOOP</c:v>
                </c:pt>
              </c:strCache>
            </c:strRef>
          </c:tx>
          <c:spPr>
            <a:ln w="28575" cap="rnd">
              <a:solidFill>
                <a:schemeClr val="accent5"/>
              </a:solidFill>
              <a:round/>
            </a:ln>
            <a:effectLst/>
          </c:spPr>
          <c:marker>
            <c:symbol val="none"/>
          </c:marker>
          <c:cat>
            <c:numRef>
              <c:f>'WatRes by directorate'!$A$3:$A$14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by directorate'!$F$3:$F$14</c:f>
              <c:numCache>
                <c:formatCode>General</c:formatCode>
                <c:ptCount val="12"/>
                <c:pt idx="0">
                  <c:v>135.328</c:v>
                </c:pt>
                <c:pt idx="1">
                  <c:v>141.50700000000001</c:v>
                </c:pt>
                <c:pt idx="2">
                  <c:v>158.14400000000001</c:v>
                </c:pt>
                <c:pt idx="3">
                  <c:v>209.59800000000001</c:v>
                </c:pt>
                <c:pt idx="4">
                  <c:v>257.226</c:v>
                </c:pt>
                <c:pt idx="5">
                  <c:v>222.23400000000001</c:v>
                </c:pt>
                <c:pt idx="6">
                  <c:v>254.40100000000001</c:v>
                </c:pt>
                <c:pt idx="7">
                  <c:v>203.00399999999999</c:v>
                </c:pt>
                <c:pt idx="8">
                  <c:v>181.41200000000001</c:v>
                </c:pt>
                <c:pt idx="9">
                  <c:v>192.87</c:v>
                </c:pt>
                <c:pt idx="10">
                  <c:v>211.51400000000001</c:v>
                </c:pt>
                <c:pt idx="11">
                  <c:v>190.65299999999999</c:v>
                </c:pt>
              </c:numCache>
            </c:numRef>
          </c:val>
          <c:smooth val="0"/>
          <c:extLst>
            <c:ext xmlns:c16="http://schemas.microsoft.com/office/drawing/2014/chart" uri="{C3380CC4-5D6E-409C-BE32-E72D297353CC}">
              <c16:uniqueId val="{00000004-ABF1-449E-80C5-0B9F411A41AC}"/>
            </c:ext>
          </c:extLst>
        </c:ser>
        <c:dLbls>
          <c:showLegendKey val="0"/>
          <c:showVal val="0"/>
          <c:showCatName val="0"/>
          <c:showSerName val="0"/>
          <c:showPercent val="0"/>
          <c:showBubbleSize val="0"/>
        </c:dLbls>
        <c:smooth val="0"/>
        <c:axId val="801076752"/>
        <c:axId val="801072488"/>
      </c:lineChart>
      <c:catAx>
        <c:axId val="80107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072488"/>
        <c:crosses val="autoZero"/>
        <c:auto val="1"/>
        <c:lblAlgn val="ctr"/>
        <c:lblOffset val="100"/>
        <c:noMultiLvlLbl val="0"/>
      </c:catAx>
      <c:valAx>
        <c:axId val="801072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DDDs / 1000 admissions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1076752"/>
        <c:crosses val="autoZero"/>
        <c:crossBetween val="between"/>
      </c:valAx>
      <c:spPr>
        <a:noFill/>
        <a:ln>
          <a:noFill/>
        </a:ln>
        <a:effectLst/>
      </c:spPr>
    </c:plotArea>
    <c:legend>
      <c:legendPos val="b"/>
      <c:layout>
        <c:manualLayout>
          <c:xMode val="edge"/>
          <c:yMode val="edge"/>
          <c:x val="2.7359580052493431E-2"/>
          <c:y val="0.8045227177229296"/>
          <c:w val="0.92583639545056884"/>
          <c:h val="0.16763505489888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'WatRes ED no AMU by drug'!$B$2</c:f>
              <c:strCache>
                <c:ptCount val="1"/>
                <c:pt idx="0">
                  <c:v>Co-amoxiclav</c:v>
                </c:pt>
              </c:strCache>
            </c:strRef>
          </c:tx>
          <c:spPr>
            <a:ln w="28575" cap="rnd">
              <a:solidFill>
                <a:schemeClr val="accent1"/>
              </a:solidFill>
              <a:round/>
            </a:ln>
            <a:effectLst/>
          </c:spPr>
          <c:marker>
            <c:symbol val="none"/>
          </c:marker>
          <c:cat>
            <c:numRef>
              <c:f>'WatRes ED no AMU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ED no AMU by drug'!$B$3:$B$14</c:f>
              <c:numCache>
                <c:formatCode>General</c:formatCode>
                <c:ptCount val="12"/>
                <c:pt idx="0">
                  <c:v>183.559</c:v>
                </c:pt>
                <c:pt idx="1">
                  <c:v>209.31399999999999</c:v>
                </c:pt>
                <c:pt idx="2">
                  <c:v>251.328</c:v>
                </c:pt>
                <c:pt idx="3">
                  <c:v>274.17500000000001</c:v>
                </c:pt>
                <c:pt idx="4">
                  <c:v>351.44900000000001</c:v>
                </c:pt>
                <c:pt idx="5">
                  <c:v>382.73200000000003</c:v>
                </c:pt>
                <c:pt idx="6">
                  <c:v>425.09300000000002</c:v>
                </c:pt>
                <c:pt idx="7">
                  <c:v>457.12299999999999</c:v>
                </c:pt>
                <c:pt idx="8">
                  <c:v>542.10699999999997</c:v>
                </c:pt>
                <c:pt idx="9">
                  <c:v>707.40800000000002</c:v>
                </c:pt>
                <c:pt idx="10">
                  <c:v>736.43899999999996</c:v>
                </c:pt>
                <c:pt idx="11">
                  <c:v>669.54200000000003</c:v>
                </c:pt>
              </c:numCache>
            </c:numRef>
          </c:val>
          <c:smooth val="0"/>
          <c:extLst>
            <c:ext xmlns:c16="http://schemas.microsoft.com/office/drawing/2014/chart" uri="{C3380CC4-5D6E-409C-BE32-E72D297353CC}">
              <c16:uniqueId val="{00000000-C55F-4E92-9395-CDE2056079CD}"/>
            </c:ext>
          </c:extLst>
        </c:ser>
        <c:ser>
          <c:idx val="1"/>
          <c:order val="1"/>
          <c:tx>
            <c:strRef>
              <c:f>'WatRes ED no AMU by drug'!$C$2</c:f>
              <c:strCache>
                <c:ptCount val="1"/>
                <c:pt idx="0">
                  <c:v>Clarithromycin</c:v>
                </c:pt>
              </c:strCache>
            </c:strRef>
          </c:tx>
          <c:spPr>
            <a:ln w="28575" cap="rnd">
              <a:solidFill>
                <a:schemeClr val="accent2"/>
              </a:solidFill>
              <a:round/>
            </a:ln>
            <a:effectLst/>
          </c:spPr>
          <c:marker>
            <c:symbol val="none"/>
          </c:marker>
          <c:cat>
            <c:numRef>
              <c:f>'WatRes ED no AMU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ED no AMU by drug'!$C$3:$C$14</c:f>
              <c:numCache>
                <c:formatCode>General</c:formatCode>
                <c:ptCount val="12"/>
                <c:pt idx="0">
                  <c:v>131.048</c:v>
                </c:pt>
                <c:pt idx="1">
                  <c:v>135.69200000000001</c:v>
                </c:pt>
                <c:pt idx="2">
                  <c:v>143.72999999999999</c:v>
                </c:pt>
                <c:pt idx="3">
                  <c:v>142.11199999999999</c:v>
                </c:pt>
                <c:pt idx="4">
                  <c:v>200.95599999999999</c:v>
                </c:pt>
                <c:pt idx="5">
                  <c:v>234.97499999999999</c:v>
                </c:pt>
                <c:pt idx="6">
                  <c:v>241.58500000000001</c:v>
                </c:pt>
                <c:pt idx="7">
                  <c:v>312.56099999999998</c:v>
                </c:pt>
                <c:pt idx="8">
                  <c:v>393.43200000000002</c:v>
                </c:pt>
                <c:pt idx="9">
                  <c:v>503.03300000000002</c:v>
                </c:pt>
                <c:pt idx="10">
                  <c:v>577.08199999999999</c:v>
                </c:pt>
                <c:pt idx="11">
                  <c:v>420.38</c:v>
                </c:pt>
              </c:numCache>
            </c:numRef>
          </c:val>
          <c:smooth val="0"/>
          <c:extLst>
            <c:ext xmlns:c16="http://schemas.microsoft.com/office/drawing/2014/chart" uri="{C3380CC4-5D6E-409C-BE32-E72D297353CC}">
              <c16:uniqueId val="{00000001-C55F-4E92-9395-CDE2056079CD}"/>
            </c:ext>
          </c:extLst>
        </c:ser>
        <c:ser>
          <c:idx val="2"/>
          <c:order val="2"/>
          <c:tx>
            <c:strRef>
              <c:f>'WatRes ED no AMU by drug'!$D$2</c:f>
              <c:strCache>
                <c:ptCount val="1"/>
                <c:pt idx="0">
                  <c:v>Ciprofloxacin</c:v>
                </c:pt>
              </c:strCache>
            </c:strRef>
          </c:tx>
          <c:spPr>
            <a:ln w="28575" cap="rnd">
              <a:solidFill>
                <a:schemeClr val="accent3"/>
              </a:solidFill>
              <a:round/>
            </a:ln>
            <a:effectLst/>
          </c:spPr>
          <c:marker>
            <c:symbol val="none"/>
          </c:marker>
          <c:cat>
            <c:numRef>
              <c:f>'WatRes ED no AMU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ED no AMU by drug'!$D$3:$D$14</c:f>
              <c:numCache>
                <c:formatCode>General</c:formatCode>
                <c:ptCount val="12"/>
                <c:pt idx="0">
                  <c:v>22.805</c:v>
                </c:pt>
                <c:pt idx="1">
                  <c:v>22.83</c:v>
                </c:pt>
                <c:pt idx="2">
                  <c:v>15.715</c:v>
                </c:pt>
                <c:pt idx="3">
                  <c:v>16.77</c:v>
                </c:pt>
                <c:pt idx="4">
                  <c:v>20.844999999999999</c:v>
                </c:pt>
                <c:pt idx="5">
                  <c:v>25.245000000000001</c:v>
                </c:pt>
                <c:pt idx="6">
                  <c:v>27.934000000000001</c:v>
                </c:pt>
                <c:pt idx="7">
                  <c:v>40.637</c:v>
                </c:pt>
                <c:pt idx="8">
                  <c:v>44.893999999999998</c:v>
                </c:pt>
                <c:pt idx="9">
                  <c:v>58.963999999999999</c:v>
                </c:pt>
                <c:pt idx="10">
                  <c:v>51.012999999999998</c:v>
                </c:pt>
                <c:pt idx="11">
                  <c:v>35.363</c:v>
                </c:pt>
              </c:numCache>
            </c:numRef>
          </c:val>
          <c:smooth val="0"/>
          <c:extLst>
            <c:ext xmlns:c16="http://schemas.microsoft.com/office/drawing/2014/chart" uri="{C3380CC4-5D6E-409C-BE32-E72D297353CC}">
              <c16:uniqueId val="{00000002-C55F-4E92-9395-CDE2056079CD}"/>
            </c:ext>
          </c:extLst>
        </c:ser>
        <c:ser>
          <c:idx val="3"/>
          <c:order val="3"/>
          <c:tx>
            <c:strRef>
              <c:f>'WatRes ED no AMU by drug'!$E$2</c:f>
              <c:strCache>
                <c:ptCount val="1"/>
                <c:pt idx="0">
                  <c:v>Levofloxacin</c:v>
                </c:pt>
              </c:strCache>
            </c:strRef>
          </c:tx>
          <c:spPr>
            <a:ln w="28575" cap="rnd">
              <a:solidFill>
                <a:schemeClr val="accent4"/>
              </a:solidFill>
              <a:round/>
            </a:ln>
            <a:effectLst/>
          </c:spPr>
          <c:marker>
            <c:symbol val="none"/>
          </c:marker>
          <c:cat>
            <c:numRef>
              <c:f>'WatRes ED no AMU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ED no AMU by drug'!$E$3:$E$14</c:f>
              <c:numCache>
                <c:formatCode>General</c:formatCode>
                <c:ptCount val="12"/>
                <c:pt idx="0">
                  <c:v>10.254</c:v>
                </c:pt>
                <c:pt idx="1">
                  <c:v>14.973000000000001</c:v>
                </c:pt>
                <c:pt idx="2">
                  <c:v>25.042999999999999</c:v>
                </c:pt>
                <c:pt idx="3">
                  <c:v>22.369</c:v>
                </c:pt>
                <c:pt idx="4">
                  <c:v>36.871000000000002</c:v>
                </c:pt>
                <c:pt idx="5">
                  <c:v>44.548000000000002</c:v>
                </c:pt>
                <c:pt idx="6">
                  <c:v>26.177</c:v>
                </c:pt>
                <c:pt idx="7">
                  <c:v>5.8780000000000001</c:v>
                </c:pt>
                <c:pt idx="8">
                  <c:v>10.692</c:v>
                </c:pt>
                <c:pt idx="9">
                  <c:v>12.805</c:v>
                </c:pt>
                <c:pt idx="10">
                  <c:v>15.121</c:v>
                </c:pt>
                <c:pt idx="11">
                  <c:v>16.367000000000001</c:v>
                </c:pt>
              </c:numCache>
            </c:numRef>
          </c:val>
          <c:smooth val="0"/>
          <c:extLst>
            <c:ext xmlns:c16="http://schemas.microsoft.com/office/drawing/2014/chart" uri="{C3380CC4-5D6E-409C-BE32-E72D297353CC}">
              <c16:uniqueId val="{00000003-C55F-4E92-9395-CDE2056079CD}"/>
            </c:ext>
          </c:extLst>
        </c:ser>
        <c:ser>
          <c:idx val="4"/>
          <c:order val="4"/>
          <c:tx>
            <c:strRef>
              <c:f>'WatRes ED no AMU by drug'!$F$2</c:f>
              <c:strCache>
                <c:ptCount val="1"/>
                <c:pt idx="0">
                  <c:v>Erythromycin</c:v>
                </c:pt>
              </c:strCache>
            </c:strRef>
          </c:tx>
          <c:spPr>
            <a:ln w="28575" cap="rnd">
              <a:solidFill>
                <a:schemeClr val="accent5"/>
              </a:solidFill>
              <a:round/>
            </a:ln>
            <a:effectLst/>
          </c:spPr>
          <c:marker>
            <c:symbol val="none"/>
          </c:marker>
          <c:cat>
            <c:numRef>
              <c:f>'WatRes ED no AMU by drug'!$A$3:$A$14</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'WatRes ED no AMU by drug'!$F$3:$F$14</c:f>
              <c:numCache>
                <c:formatCode>General</c:formatCode>
                <c:ptCount val="12"/>
                <c:pt idx="0">
                  <c:v>26.876000000000001</c:v>
                </c:pt>
                <c:pt idx="1">
                  <c:v>20.314</c:v>
                </c:pt>
                <c:pt idx="2">
                  <c:v>17.468</c:v>
                </c:pt>
                <c:pt idx="3">
                  <c:v>16.341999999999999</c:v>
                </c:pt>
                <c:pt idx="4">
                  <c:v>14.218</c:v>
                </c:pt>
                <c:pt idx="5">
                  <c:v>9.8979999999999997</c:v>
                </c:pt>
                <c:pt idx="6">
                  <c:v>10.622</c:v>
                </c:pt>
                <c:pt idx="7">
                  <c:v>11.962</c:v>
                </c:pt>
                <c:pt idx="8">
                  <c:v>16.155999999999999</c:v>
                </c:pt>
                <c:pt idx="9">
                  <c:v>17.651</c:v>
                </c:pt>
                <c:pt idx="10">
                  <c:v>22.055</c:v>
                </c:pt>
                <c:pt idx="11">
                  <c:v>9.0960000000000001</c:v>
                </c:pt>
              </c:numCache>
            </c:numRef>
          </c:val>
          <c:smooth val="0"/>
          <c:extLst>
            <c:ext xmlns:c16="http://schemas.microsoft.com/office/drawing/2014/chart" uri="{C3380CC4-5D6E-409C-BE32-E72D297353CC}">
              <c16:uniqueId val="{00000004-C55F-4E92-9395-CDE2056079CD}"/>
            </c:ext>
          </c:extLst>
        </c:ser>
        <c:dLbls>
          <c:showLegendKey val="0"/>
          <c:showVal val="0"/>
          <c:showCatName val="0"/>
          <c:showSerName val="0"/>
          <c:showPercent val="0"/>
          <c:showBubbleSize val="0"/>
        </c:dLbls>
        <c:smooth val="0"/>
        <c:axId val="804973016"/>
        <c:axId val="804965800"/>
      </c:lineChart>
      <c:catAx>
        <c:axId val="80497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965800"/>
        <c:crosses val="autoZero"/>
        <c:auto val="1"/>
        <c:lblAlgn val="ctr"/>
        <c:lblOffset val="100"/>
        <c:noMultiLvlLbl val="0"/>
      </c:catAx>
      <c:valAx>
        <c:axId val="804965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DDDs / 1000 admissions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4973016"/>
        <c:crosses val="autoZero"/>
        <c:crossBetween val="between"/>
      </c:valAx>
      <c:spPr>
        <a:noFill/>
        <a:ln>
          <a:noFill/>
        </a:ln>
        <a:effectLst/>
      </c:spPr>
    </c:plotArea>
    <c:legend>
      <c:legendPos val="b"/>
      <c:layout>
        <c:manualLayout>
          <c:xMode val="edge"/>
          <c:yMode val="edge"/>
          <c:x val="1.7186351706036735E-2"/>
          <c:y val="0.82250470431335299"/>
          <c:w val="0.96840507436570433"/>
          <c:h val="0.149653068308456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EKHUFT Healthcare Associated C-Dif</a:t>
            </a:r>
          </a:p>
        </c:rich>
      </c:tx>
      <c:overlay val="0"/>
      <c:spPr>
        <a:noFill/>
        <a:ln>
          <a:noFill/>
        </a:ln>
      </c:spPr>
    </c:title>
    <c:autoTitleDeleted val="0"/>
    <c:plotArea>
      <c:layout/>
      <c:lineChart>
        <c:grouping val="standard"/>
        <c:varyColors val="0"/>
        <c:ser>
          <c:idx val="0"/>
          <c:order val="0"/>
          <c:tx>
            <c:strRef>
              <c:f>'CDI2425'!$A$3</c:f>
              <c:strCache>
                <c:ptCount val="1"/>
                <c:pt idx="0">
                  <c:v>2023 -24</c:v>
                </c:pt>
              </c:strCache>
            </c:strRef>
          </c:tx>
          <c:spPr>
            <a:ln w="28575" cap="rnd">
              <a:solidFill>
                <a:srgbClr val="5B9BD5"/>
              </a:solidFill>
              <a:prstDash val="solid"/>
              <a:round/>
            </a:ln>
          </c:spPr>
          <c:marker>
            <c:symbol val="none"/>
          </c:marker>
          <c:cat>
            <c:strRef>
              <c:f>'CDI2425'!$B$2:$M$2</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'CDI2425'!$B$3:$M$3</c:f>
              <c:numCache>
                <c:formatCode>General</c:formatCode>
                <c:ptCount val="12"/>
                <c:pt idx="0">
                  <c:v>16</c:v>
                </c:pt>
                <c:pt idx="1">
                  <c:v>31</c:v>
                </c:pt>
                <c:pt idx="2">
                  <c:v>40</c:v>
                </c:pt>
                <c:pt idx="3">
                  <c:v>52</c:v>
                </c:pt>
                <c:pt idx="4">
                  <c:v>65</c:v>
                </c:pt>
                <c:pt idx="5">
                  <c:v>76</c:v>
                </c:pt>
                <c:pt idx="6">
                  <c:v>85</c:v>
                </c:pt>
                <c:pt idx="7">
                  <c:v>98</c:v>
                </c:pt>
                <c:pt idx="8">
                  <c:v>108</c:v>
                </c:pt>
                <c:pt idx="9">
                  <c:v>119</c:v>
                </c:pt>
                <c:pt idx="10">
                  <c:v>127</c:v>
                </c:pt>
                <c:pt idx="11">
                  <c:v>141</c:v>
                </c:pt>
              </c:numCache>
            </c:numRef>
          </c:val>
          <c:smooth val="0"/>
          <c:extLst>
            <c:ext xmlns:c16="http://schemas.microsoft.com/office/drawing/2014/chart" uri="{C3380CC4-5D6E-409C-BE32-E72D297353CC}">
              <c16:uniqueId val="{00000000-DB31-4111-9F4E-D1ED63F0858F}"/>
            </c:ext>
          </c:extLst>
        </c:ser>
        <c:ser>
          <c:idx val="1"/>
          <c:order val="1"/>
          <c:tx>
            <c:strRef>
              <c:f>'CDI2425'!$A$4</c:f>
              <c:strCache>
                <c:ptCount val="1"/>
                <c:pt idx="0">
                  <c:v>2024 - 25</c:v>
                </c:pt>
              </c:strCache>
            </c:strRef>
          </c:tx>
          <c:spPr>
            <a:ln w="28575" cap="rnd">
              <a:solidFill>
                <a:srgbClr val="ED7D31"/>
              </a:solidFill>
              <a:prstDash val="solid"/>
              <a:round/>
            </a:ln>
          </c:spPr>
          <c:marker>
            <c:symbol val="none"/>
          </c:marker>
          <c:cat>
            <c:strRef>
              <c:f>'CDI2425'!$B$2:$M$2</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'CDI2425'!$B$4:$M$4</c:f>
              <c:numCache>
                <c:formatCode>General</c:formatCode>
                <c:ptCount val="12"/>
                <c:pt idx="0">
                  <c:v>4</c:v>
                </c:pt>
                <c:pt idx="1">
                  <c:v>8</c:v>
                </c:pt>
                <c:pt idx="2">
                  <c:v>14</c:v>
                </c:pt>
                <c:pt idx="3">
                  <c:v>23</c:v>
                </c:pt>
                <c:pt idx="4">
                  <c:v>31</c:v>
                </c:pt>
                <c:pt idx="5">
                  <c:v>43</c:v>
                </c:pt>
                <c:pt idx="6">
                  <c:v>54</c:v>
                </c:pt>
                <c:pt idx="7">
                  <c:v>65</c:v>
                </c:pt>
                <c:pt idx="8">
                  <c:v>74</c:v>
                </c:pt>
                <c:pt idx="9">
                  <c:v>85</c:v>
                </c:pt>
                <c:pt idx="10">
                  <c:v>93</c:v>
                </c:pt>
                <c:pt idx="11">
                  <c:v>105</c:v>
                </c:pt>
              </c:numCache>
            </c:numRef>
          </c:val>
          <c:smooth val="0"/>
          <c:extLst>
            <c:ext xmlns:c16="http://schemas.microsoft.com/office/drawing/2014/chart" uri="{C3380CC4-5D6E-409C-BE32-E72D297353CC}">
              <c16:uniqueId val="{00000001-DB31-4111-9F4E-D1ED63F0858F}"/>
            </c:ext>
          </c:extLst>
        </c:ser>
        <c:ser>
          <c:idx val="2"/>
          <c:order val="2"/>
          <c:tx>
            <c:strRef>
              <c:f>'CDI2425'!$A$5</c:f>
              <c:strCache>
                <c:ptCount val="1"/>
                <c:pt idx="0">
                  <c:v>Threshold</c:v>
                </c:pt>
              </c:strCache>
            </c:strRef>
          </c:tx>
          <c:spPr>
            <a:ln w="28575" cap="rnd">
              <a:solidFill>
                <a:srgbClr val="A5A5A5"/>
              </a:solidFill>
              <a:prstDash val="solid"/>
              <a:round/>
            </a:ln>
          </c:spPr>
          <c:marker>
            <c:symbol val="none"/>
          </c:marker>
          <c:cat>
            <c:strRef>
              <c:f>'CDI2425'!$B$2:$M$2</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'CDI2425'!$B$5:$M$5</c:f>
              <c:numCache>
                <c:formatCode>General</c:formatCode>
                <c:ptCount val="12"/>
                <c:pt idx="0">
                  <c:v>12</c:v>
                </c:pt>
                <c:pt idx="1">
                  <c:v>24</c:v>
                </c:pt>
                <c:pt idx="2">
                  <c:v>36</c:v>
                </c:pt>
                <c:pt idx="3">
                  <c:v>48</c:v>
                </c:pt>
                <c:pt idx="4">
                  <c:v>60</c:v>
                </c:pt>
                <c:pt idx="5">
                  <c:v>72</c:v>
                </c:pt>
                <c:pt idx="6">
                  <c:v>84</c:v>
                </c:pt>
                <c:pt idx="7">
                  <c:v>96</c:v>
                </c:pt>
                <c:pt idx="8">
                  <c:v>108</c:v>
                </c:pt>
                <c:pt idx="9">
                  <c:v>120</c:v>
                </c:pt>
                <c:pt idx="10">
                  <c:v>132</c:v>
                </c:pt>
                <c:pt idx="11">
                  <c:v>145</c:v>
                </c:pt>
              </c:numCache>
            </c:numRef>
          </c:val>
          <c:smooth val="0"/>
          <c:extLst>
            <c:ext xmlns:c16="http://schemas.microsoft.com/office/drawing/2014/chart" uri="{C3380CC4-5D6E-409C-BE32-E72D297353CC}">
              <c16:uniqueId val="{00000002-DB31-4111-9F4E-D1ED63F0858F}"/>
            </c:ext>
          </c:extLst>
        </c:ser>
        <c:dLbls>
          <c:showLegendKey val="0"/>
          <c:showVal val="0"/>
          <c:showCatName val="0"/>
          <c:showSerName val="0"/>
          <c:showPercent val="0"/>
          <c:showBubbleSize val="0"/>
        </c:dLbls>
        <c:smooth val="0"/>
        <c:axId val="458055824"/>
        <c:axId val="458058120"/>
      </c:lineChart>
      <c:valAx>
        <c:axId val="458058120"/>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55824"/>
        <c:crosses val="autoZero"/>
        <c:crossBetween val="between"/>
      </c:valAx>
      <c:catAx>
        <c:axId val="45805582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5812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C-dif onset</a:t>
            </a:r>
          </a:p>
        </c:rich>
      </c:tx>
      <c:layout>
        <c:manualLayout>
          <c:xMode val="edge"/>
          <c:yMode val="edge"/>
          <c:x val="0.43214889956525154"/>
          <c:y val="3.28531965692549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F3-43DE-9A71-1E06BFB545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F3-43DE-9A71-1E06BFB545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F3-43DE-9A71-1E06BFB54559}"/>
              </c:ext>
            </c:extLst>
          </c:dPt>
          <c:cat>
            <c:strRef>
              <c:f>'C-diff'!$B$222:$B$224</c:f>
              <c:strCache>
                <c:ptCount val="3"/>
                <c:pt idx="0">
                  <c:v>HOHA</c:v>
                </c:pt>
                <c:pt idx="1">
                  <c:v>COHA</c:v>
                </c:pt>
                <c:pt idx="2">
                  <c:v>COCA/COIA</c:v>
                </c:pt>
              </c:strCache>
            </c:strRef>
          </c:cat>
          <c:val>
            <c:numRef>
              <c:f>'C-diff'!$C$222:$C$224</c:f>
              <c:numCache>
                <c:formatCode>General</c:formatCode>
                <c:ptCount val="3"/>
                <c:pt idx="0">
                  <c:v>73</c:v>
                </c:pt>
                <c:pt idx="1">
                  <c:v>32</c:v>
                </c:pt>
                <c:pt idx="2">
                  <c:v>136</c:v>
                </c:pt>
              </c:numCache>
            </c:numRef>
          </c:val>
          <c:extLst>
            <c:ext xmlns:c16="http://schemas.microsoft.com/office/drawing/2014/chart" uri="{C3380CC4-5D6E-409C-BE32-E72D297353CC}">
              <c16:uniqueId val="{00000006-FEF3-43DE-9A71-1E06BFB545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EKHUFT Healthcare Associated MRSA  </a:t>
            </a:r>
          </a:p>
        </c:rich>
      </c:tx>
      <c:overlay val="0"/>
      <c:spPr>
        <a:noFill/>
        <a:ln>
          <a:noFill/>
        </a:ln>
      </c:spPr>
    </c:title>
    <c:autoTitleDeleted val="0"/>
    <c:plotArea>
      <c:layout/>
      <c:lineChart>
        <c:grouping val="standard"/>
        <c:varyColors val="0"/>
        <c:ser>
          <c:idx val="0"/>
          <c:order val="0"/>
          <c:tx>
            <c:strRef>
              <c:f>MRSA2425!$A$4</c:f>
              <c:strCache>
                <c:ptCount val="1"/>
                <c:pt idx="0">
                  <c:v>2023-24</c:v>
                </c:pt>
              </c:strCache>
            </c:strRef>
          </c:tx>
          <c:spPr>
            <a:ln w="28575" cap="rnd">
              <a:solidFill>
                <a:srgbClr val="5B9BD5"/>
              </a:solidFill>
              <a:prstDash val="solid"/>
              <a:round/>
            </a:ln>
          </c:spPr>
          <c:marker>
            <c:symbol val="none"/>
          </c:marker>
          <c:cat>
            <c:strRef>
              <c:f>MRSA2425!$B$3:$M$3</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MRSA2425!$B$4:$M$4</c:f>
              <c:numCache>
                <c:formatCode>General</c:formatCode>
                <c:ptCount val="12"/>
                <c:pt idx="0">
                  <c:v>1</c:v>
                </c:pt>
                <c:pt idx="1">
                  <c:v>1</c:v>
                </c:pt>
                <c:pt idx="2">
                  <c:v>2</c:v>
                </c:pt>
                <c:pt idx="3">
                  <c:v>2</c:v>
                </c:pt>
                <c:pt idx="4">
                  <c:v>2</c:v>
                </c:pt>
                <c:pt idx="5">
                  <c:v>2</c:v>
                </c:pt>
                <c:pt idx="6">
                  <c:v>3</c:v>
                </c:pt>
                <c:pt idx="7">
                  <c:v>4</c:v>
                </c:pt>
                <c:pt idx="8">
                  <c:v>6</c:v>
                </c:pt>
                <c:pt idx="9">
                  <c:v>7</c:v>
                </c:pt>
                <c:pt idx="10">
                  <c:v>7</c:v>
                </c:pt>
                <c:pt idx="11">
                  <c:v>8</c:v>
                </c:pt>
              </c:numCache>
            </c:numRef>
          </c:val>
          <c:smooth val="0"/>
          <c:extLst>
            <c:ext xmlns:c16="http://schemas.microsoft.com/office/drawing/2014/chart" uri="{C3380CC4-5D6E-409C-BE32-E72D297353CC}">
              <c16:uniqueId val="{00000000-3FE3-4C81-ABED-584D0AD1005D}"/>
            </c:ext>
          </c:extLst>
        </c:ser>
        <c:ser>
          <c:idx val="1"/>
          <c:order val="1"/>
          <c:tx>
            <c:strRef>
              <c:f>MRSA2425!$A$5</c:f>
              <c:strCache>
                <c:ptCount val="1"/>
                <c:pt idx="0">
                  <c:v>2024-25</c:v>
                </c:pt>
              </c:strCache>
            </c:strRef>
          </c:tx>
          <c:spPr>
            <a:ln w="28575" cap="rnd">
              <a:solidFill>
                <a:srgbClr val="ED7D31"/>
              </a:solidFill>
              <a:prstDash val="solid"/>
              <a:round/>
            </a:ln>
          </c:spPr>
          <c:marker>
            <c:symbol val="none"/>
          </c:marker>
          <c:cat>
            <c:strRef>
              <c:f>MRSA2425!$B$3:$M$3</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MRSA2425!$B$5:$M$5</c:f>
              <c:numCache>
                <c:formatCode>General</c:formatCode>
                <c:ptCount val="12"/>
                <c:pt idx="0">
                  <c:v>0</c:v>
                </c:pt>
                <c:pt idx="1">
                  <c:v>0</c:v>
                </c:pt>
                <c:pt idx="2">
                  <c:v>0</c:v>
                </c:pt>
                <c:pt idx="3">
                  <c:v>0</c:v>
                </c:pt>
                <c:pt idx="4">
                  <c:v>1</c:v>
                </c:pt>
                <c:pt idx="5">
                  <c:v>1</c:v>
                </c:pt>
                <c:pt idx="6">
                  <c:v>1</c:v>
                </c:pt>
                <c:pt idx="7">
                  <c:v>2</c:v>
                </c:pt>
                <c:pt idx="8">
                  <c:v>2</c:v>
                </c:pt>
                <c:pt idx="9">
                  <c:v>2</c:v>
                </c:pt>
                <c:pt idx="10">
                  <c:v>2</c:v>
                </c:pt>
                <c:pt idx="11">
                  <c:v>2</c:v>
                </c:pt>
              </c:numCache>
            </c:numRef>
          </c:val>
          <c:smooth val="0"/>
          <c:extLst>
            <c:ext xmlns:c16="http://schemas.microsoft.com/office/drawing/2014/chart" uri="{C3380CC4-5D6E-409C-BE32-E72D297353CC}">
              <c16:uniqueId val="{00000001-3FE3-4C81-ABED-584D0AD1005D}"/>
            </c:ext>
          </c:extLst>
        </c:ser>
        <c:dLbls>
          <c:showLegendKey val="0"/>
          <c:showVal val="0"/>
          <c:showCatName val="0"/>
          <c:showSerName val="0"/>
          <c:showPercent val="0"/>
          <c:showBubbleSize val="0"/>
        </c:dLbls>
        <c:smooth val="0"/>
        <c:axId val="585157576"/>
        <c:axId val="585148720"/>
      </c:lineChart>
      <c:valAx>
        <c:axId val="585148720"/>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85157576"/>
        <c:crosses val="autoZero"/>
        <c:crossBetween val="between"/>
      </c:valAx>
      <c:catAx>
        <c:axId val="58515757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58514872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EKHUFT Healthcare Associated MSSA</a:t>
            </a:r>
          </a:p>
        </c:rich>
      </c:tx>
      <c:overlay val="0"/>
      <c:spPr>
        <a:noFill/>
        <a:ln>
          <a:noFill/>
        </a:ln>
      </c:spPr>
    </c:title>
    <c:autoTitleDeleted val="0"/>
    <c:plotArea>
      <c:layout/>
      <c:lineChart>
        <c:grouping val="standard"/>
        <c:varyColors val="0"/>
        <c:ser>
          <c:idx val="0"/>
          <c:order val="0"/>
          <c:tx>
            <c:strRef>
              <c:f>MSSA2425!$A$2</c:f>
              <c:strCache>
                <c:ptCount val="1"/>
                <c:pt idx="0">
                  <c:v>2023-24</c:v>
                </c:pt>
              </c:strCache>
            </c:strRef>
          </c:tx>
          <c:spPr>
            <a:ln w="28575" cap="rnd">
              <a:solidFill>
                <a:srgbClr val="5B9BD5"/>
              </a:solidFill>
              <a:prstDash val="solid"/>
              <a:round/>
            </a:ln>
          </c:spPr>
          <c:marker>
            <c:symbol val="none"/>
          </c:marker>
          <c:cat>
            <c:strRef>
              <c:f>MSSA2425!$B$1:$M$1</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MSSA2425!$B$2:$M$2</c:f>
              <c:numCache>
                <c:formatCode>General</c:formatCode>
                <c:ptCount val="12"/>
                <c:pt idx="0">
                  <c:v>3</c:v>
                </c:pt>
                <c:pt idx="1">
                  <c:v>12</c:v>
                </c:pt>
                <c:pt idx="2">
                  <c:v>17</c:v>
                </c:pt>
                <c:pt idx="3">
                  <c:v>27</c:v>
                </c:pt>
                <c:pt idx="4">
                  <c:v>32</c:v>
                </c:pt>
                <c:pt idx="5">
                  <c:v>35</c:v>
                </c:pt>
                <c:pt idx="6">
                  <c:v>41</c:v>
                </c:pt>
                <c:pt idx="7">
                  <c:v>48</c:v>
                </c:pt>
                <c:pt idx="8">
                  <c:v>55</c:v>
                </c:pt>
                <c:pt idx="9">
                  <c:v>63</c:v>
                </c:pt>
                <c:pt idx="10">
                  <c:v>70</c:v>
                </c:pt>
                <c:pt idx="11">
                  <c:v>72</c:v>
                </c:pt>
              </c:numCache>
            </c:numRef>
          </c:val>
          <c:smooth val="0"/>
          <c:extLst>
            <c:ext xmlns:c16="http://schemas.microsoft.com/office/drawing/2014/chart" uri="{C3380CC4-5D6E-409C-BE32-E72D297353CC}">
              <c16:uniqueId val="{00000000-0F13-418A-8CCC-90A82B21F609}"/>
            </c:ext>
          </c:extLst>
        </c:ser>
        <c:ser>
          <c:idx val="1"/>
          <c:order val="1"/>
          <c:tx>
            <c:strRef>
              <c:f>MSSA2425!$A$3</c:f>
              <c:strCache>
                <c:ptCount val="1"/>
                <c:pt idx="0">
                  <c:v>2024-25</c:v>
                </c:pt>
              </c:strCache>
            </c:strRef>
          </c:tx>
          <c:spPr>
            <a:ln w="28575" cap="rnd">
              <a:solidFill>
                <a:srgbClr val="ED7D31"/>
              </a:solidFill>
              <a:prstDash val="solid"/>
              <a:round/>
            </a:ln>
          </c:spPr>
          <c:marker>
            <c:symbol val="none"/>
          </c:marker>
          <c:cat>
            <c:strRef>
              <c:f>MSSA2425!$B$1:$M$1</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MSSA2425!$B$3:$M$3</c:f>
              <c:numCache>
                <c:formatCode>General</c:formatCode>
                <c:ptCount val="12"/>
                <c:pt idx="0">
                  <c:v>6</c:v>
                </c:pt>
                <c:pt idx="1">
                  <c:v>13</c:v>
                </c:pt>
                <c:pt idx="2">
                  <c:v>18</c:v>
                </c:pt>
                <c:pt idx="3">
                  <c:v>26</c:v>
                </c:pt>
                <c:pt idx="4">
                  <c:v>32</c:v>
                </c:pt>
                <c:pt idx="5">
                  <c:v>40</c:v>
                </c:pt>
                <c:pt idx="6">
                  <c:v>45</c:v>
                </c:pt>
                <c:pt idx="7">
                  <c:v>47</c:v>
                </c:pt>
                <c:pt idx="8">
                  <c:v>54</c:v>
                </c:pt>
                <c:pt idx="9">
                  <c:v>63</c:v>
                </c:pt>
                <c:pt idx="10">
                  <c:v>74</c:v>
                </c:pt>
                <c:pt idx="11">
                  <c:v>87</c:v>
                </c:pt>
              </c:numCache>
            </c:numRef>
          </c:val>
          <c:smooth val="0"/>
          <c:extLst>
            <c:ext xmlns:c16="http://schemas.microsoft.com/office/drawing/2014/chart" uri="{C3380CC4-5D6E-409C-BE32-E72D297353CC}">
              <c16:uniqueId val="{00000001-0F13-418A-8CCC-90A82B21F609}"/>
            </c:ext>
          </c:extLst>
        </c:ser>
        <c:dLbls>
          <c:showLegendKey val="0"/>
          <c:showVal val="0"/>
          <c:showCatName val="0"/>
          <c:showSerName val="0"/>
          <c:showPercent val="0"/>
          <c:showBubbleSize val="0"/>
        </c:dLbls>
        <c:smooth val="0"/>
        <c:axId val="458091576"/>
        <c:axId val="458096168"/>
      </c:lineChart>
      <c:valAx>
        <c:axId val="458096168"/>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91576"/>
        <c:crosses val="autoZero"/>
        <c:crossBetween val="between"/>
      </c:valAx>
      <c:catAx>
        <c:axId val="45809157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9616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1" i="0" u="none" strike="noStrike" kern="1200" spc="0" baseline="0">
                <a:solidFill>
                  <a:srgbClr val="595959"/>
                </a:solidFill>
                <a:latin typeface="Calibri"/>
              </a:defRPr>
            </a:pPr>
            <a:r>
              <a:rPr lang="en-GB" sz="1400" b="1" i="0" u="none" strike="noStrike" kern="1200" cap="none" spc="0" baseline="0">
                <a:solidFill>
                  <a:srgbClr val="595959"/>
                </a:solidFill>
                <a:uFillTx/>
                <a:latin typeface="Calibri"/>
              </a:rPr>
              <a:t>Likely source - COHA/HOHA MSSA BSIs since April 2024</a:t>
            </a:r>
          </a:p>
        </c:rich>
      </c:tx>
      <c:overlay val="0"/>
      <c:spPr>
        <a:noFill/>
        <a:ln>
          <a:noFill/>
        </a:ln>
      </c:spPr>
    </c:title>
    <c:autoTitleDeleted val="0"/>
    <c:plotArea>
      <c:layout/>
      <c:pieChart>
        <c:varyColors val="1"/>
        <c:ser>
          <c:idx val="0"/>
          <c:order val="0"/>
          <c:dPt>
            <c:idx val="0"/>
            <c:bubble3D val="0"/>
            <c:spPr>
              <a:solidFill>
                <a:srgbClr val="5B9BD5"/>
              </a:solidFill>
              <a:ln w="19046">
                <a:solidFill>
                  <a:srgbClr val="FFFFFF"/>
                </a:solidFill>
                <a:prstDash val="solid"/>
              </a:ln>
            </c:spPr>
            <c:extLst>
              <c:ext xmlns:c16="http://schemas.microsoft.com/office/drawing/2014/chart" uri="{C3380CC4-5D6E-409C-BE32-E72D297353CC}">
                <c16:uniqueId val="{00000001-F464-44C1-AADF-4D0148C8C01F}"/>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F464-44C1-AADF-4D0148C8C01F}"/>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F464-44C1-AADF-4D0148C8C01F}"/>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F464-44C1-AADF-4D0148C8C01F}"/>
              </c:ext>
            </c:extLst>
          </c:dPt>
          <c:dPt>
            <c:idx val="4"/>
            <c:bubble3D val="0"/>
            <c:spPr>
              <a:solidFill>
                <a:srgbClr val="4472C4"/>
              </a:solidFill>
              <a:ln w="19046">
                <a:solidFill>
                  <a:srgbClr val="FFFFFF"/>
                </a:solidFill>
                <a:prstDash val="solid"/>
              </a:ln>
            </c:spPr>
            <c:extLst>
              <c:ext xmlns:c16="http://schemas.microsoft.com/office/drawing/2014/chart" uri="{C3380CC4-5D6E-409C-BE32-E72D297353CC}">
                <c16:uniqueId val="{00000009-F464-44C1-AADF-4D0148C8C01F}"/>
              </c:ext>
            </c:extLst>
          </c:dPt>
          <c:dPt>
            <c:idx val="5"/>
            <c:bubble3D val="0"/>
            <c:spPr>
              <a:solidFill>
                <a:srgbClr val="70AD47"/>
              </a:solidFill>
              <a:ln w="19046">
                <a:solidFill>
                  <a:srgbClr val="FFFFFF"/>
                </a:solidFill>
                <a:prstDash val="solid"/>
              </a:ln>
            </c:spPr>
            <c:extLst>
              <c:ext xmlns:c16="http://schemas.microsoft.com/office/drawing/2014/chart" uri="{C3380CC4-5D6E-409C-BE32-E72D297353CC}">
                <c16:uniqueId val="{0000000B-F464-44C1-AADF-4D0148C8C01F}"/>
              </c:ext>
            </c:extLst>
          </c:dPt>
          <c:dPt>
            <c:idx val="6"/>
            <c:bubble3D val="0"/>
            <c:spPr>
              <a:solidFill>
                <a:srgbClr val="255E91"/>
              </a:solidFill>
              <a:ln w="19046">
                <a:solidFill>
                  <a:srgbClr val="FFFFFF"/>
                </a:solidFill>
                <a:prstDash val="solid"/>
              </a:ln>
            </c:spPr>
            <c:extLst>
              <c:ext xmlns:c16="http://schemas.microsoft.com/office/drawing/2014/chart" uri="{C3380CC4-5D6E-409C-BE32-E72D297353CC}">
                <c16:uniqueId val="{0000000D-F464-44C1-AADF-4D0148C8C01F}"/>
              </c:ext>
            </c:extLst>
          </c:dPt>
          <c:dPt>
            <c:idx val="7"/>
            <c:bubble3D val="0"/>
            <c:spPr>
              <a:solidFill>
                <a:srgbClr val="F1A78A"/>
              </a:solidFill>
              <a:ln>
                <a:noFill/>
              </a:ln>
            </c:spPr>
            <c:extLst>
              <c:ext xmlns:c16="http://schemas.microsoft.com/office/drawing/2014/chart" uri="{C3380CC4-5D6E-409C-BE32-E72D297353CC}">
                <c16:uniqueId val="{0000000F-F464-44C1-AADF-4D0148C8C01F}"/>
              </c:ext>
            </c:extLst>
          </c:dPt>
          <c:dLbls>
            <c:dLbl>
              <c:idx val="5"/>
              <c:layout>
                <c:manualLayout>
                  <c:x val="-5.6507200800017809E-2"/>
                  <c:y val="-5.452494441816399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464-44C1-AADF-4D0148C8C01F}"/>
                </c:ext>
              </c:extLst>
            </c:dLbl>
            <c:spPr>
              <a:solidFill>
                <a:srgbClr val="FFFFFF"/>
              </a:solidFill>
              <a:ln w="9528">
                <a:solidFill>
                  <a:srgbClr val="BFBFBF"/>
                </a:solidFill>
                <a:prstDash val="solid"/>
              </a:ln>
              <a:effectLst/>
            </c:spPr>
            <c:txPr>
              <a:bodyPr lIns="0" tIns="0" rIns="0" bIns="0"/>
              <a:lstStyle/>
              <a:p>
                <a:pPr marL="0" marR="0" indent="0" algn="ctr"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Ref>
              <c:f>MSSA!$R$3:$Y$3</c:f>
              <c:strCache>
                <c:ptCount val="8"/>
                <c:pt idx="0">
                  <c:v>Wound</c:v>
                </c:pt>
                <c:pt idx="1">
                  <c:v>Line related</c:v>
                </c:pt>
                <c:pt idx="2">
                  <c:v>Urinary</c:v>
                </c:pt>
                <c:pt idx="3">
                  <c:v>CAUTI</c:v>
                </c:pt>
                <c:pt idx="4">
                  <c:v>Procedure related</c:v>
                </c:pt>
                <c:pt idx="5">
                  <c:v>Other*</c:v>
                </c:pt>
                <c:pt idx="6">
                  <c:v>Respiratory</c:v>
                </c:pt>
                <c:pt idx="7">
                  <c:v>Unknown</c:v>
                </c:pt>
              </c:strCache>
            </c:strRef>
          </c:cat>
          <c:val>
            <c:numRef>
              <c:f>MSSA!$R$4:$Y$4</c:f>
              <c:numCache>
                <c:formatCode>General</c:formatCode>
                <c:ptCount val="8"/>
                <c:pt idx="0">
                  <c:v>15</c:v>
                </c:pt>
                <c:pt idx="1">
                  <c:v>13</c:v>
                </c:pt>
                <c:pt idx="2">
                  <c:v>6</c:v>
                </c:pt>
                <c:pt idx="3">
                  <c:v>2</c:v>
                </c:pt>
                <c:pt idx="4">
                  <c:v>5</c:v>
                </c:pt>
                <c:pt idx="5">
                  <c:v>1</c:v>
                </c:pt>
                <c:pt idx="6">
                  <c:v>1</c:v>
                </c:pt>
                <c:pt idx="7">
                  <c:v>5</c:v>
                </c:pt>
              </c:numCache>
            </c:numRef>
          </c:val>
          <c:extLst>
            <c:ext xmlns:c16="http://schemas.microsoft.com/office/drawing/2014/chart" uri="{C3380CC4-5D6E-409C-BE32-E72D297353CC}">
              <c16:uniqueId val="{00000010-F464-44C1-AADF-4D0148C8C01F}"/>
            </c:ext>
          </c:extLst>
        </c:ser>
        <c:dLbls>
          <c:showLegendKey val="0"/>
          <c:showVal val="0"/>
          <c:showCatName val="0"/>
          <c:showSerName val="0"/>
          <c:showPercent val="0"/>
          <c:showBubbleSize val="0"/>
          <c:showLeaderLines val="1"/>
        </c:dLbls>
        <c:firstSliceAng val="0"/>
      </c:pie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EKHUFT Healthcare Associated E coli</a:t>
            </a:r>
          </a:p>
        </c:rich>
      </c:tx>
      <c:overlay val="0"/>
      <c:spPr>
        <a:noFill/>
        <a:ln>
          <a:noFill/>
        </a:ln>
      </c:spPr>
    </c:title>
    <c:autoTitleDeleted val="0"/>
    <c:plotArea>
      <c:layout/>
      <c:lineChart>
        <c:grouping val="standard"/>
        <c:varyColors val="0"/>
        <c:ser>
          <c:idx val="0"/>
          <c:order val="0"/>
          <c:tx>
            <c:strRef>
              <c:f>Ecoli2425!$A$3</c:f>
              <c:strCache>
                <c:ptCount val="1"/>
                <c:pt idx="0">
                  <c:v>2023-24</c:v>
                </c:pt>
              </c:strCache>
            </c:strRef>
          </c:tx>
          <c:spPr>
            <a:ln w="28575" cap="rnd">
              <a:solidFill>
                <a:srgbClr val="5B9BD5"/>
              </a:solidFill>
              <a:prstDash val="solid"/>
              <a:round/>
            </a:ln>
          </c:spPr>
          <c:marker>
            <c:symbol val="none"/>
          </c:marker>
          <c:cat>
            <c:strRef>
              <c:f>Ecoli2425!$B$1:$M$2</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Ecoli2425!$B$3:$M$3</c:f>
              <c:numCache>
                <c:formatCode>General</c:formatCode>
                <c:ptCount val="12"/>
                <c:pt idx="0">
                  <c:v>5</c:v>
                </c:pt>
                <c:pt idx="1">
                  <c:v>18</c:v>
                </c:pt>
                <c:pt idx="2">
                  <c:v>32</c:v>
                </c:pt>
                <c:pt idx="3">
                  <c:v>42</c:v>
                </c:pt>
                <c:pt idx="4">
                  <c:v>56</c:v>
                </c:pt>
                <c:pt idx="5">
                  <c:v>68</c:v>
                </c:pt>
                <c:pt idx="6">
                  <c:v>83</c:v>
                </c:pt>
                <c:pt idx="7">
                  <c:v>93</c:v>
                </c:pt>
                <c:pt idx="8">
                  <c:v>109</c:v>
                </c:pt>
                <c:pt idx="9">
                  <c:v>123</c:v>
                </c:pt>
                <c:pt idx="10">
                  <c:v>137</c:v>
                </c:pt>
                <c:pt idx="11">
                  <c:v>153</c:v>
                </c:pt>
              </c:numCache>
            </c:numRef>
          </c:val>
          <c:smooth val="0"/>
          <c:extLst>
            <c:ext xmlns:c16="http://schemas.microsoft.com/office/drawing/2014/chart" uri="{C3380CC4-5D6E-409C-BE32-E72D297353CC}">
              <c16:uniqueId val="{00000000-78A1-4A9A-9B79-46F604914AB0}"/>
            </c:ext>
          </c:extLst>
        </c:ser>
        <c:ser>
          <c:idx val="1"/>
          <c:order val="1"/>
          <c:tx>
            <c:strRef>
              <c:f>Ecoli2425!$A$4</c:f>
              <c:strCache>
                <c:ptCount val="1"/>
                <c:pt idx="0">
                  <c:v>2024 - 25</c:v>
                </c:pt>
              </c:strCache>
            </c:strRef>
          </c:tx>
          <c:spPr>
            <a:ln w="28575" cap="rnd">
              <a:solidFill>
                <a:srgbClr val="ED7D31"/>
              </a:solidFill>
              <a:prstDash val="solid"/>
              <a:round/>
            </a:ln>
          </c:spPr>
          <c:marker>
            <c:symbol val="none"/>
          </c:marker>
          <c:cat>
            <c:strRef>
              <c:f>Ecoli2425!$B$1:$M$2</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Ecoli2425!$B$4:$M$4</c:f>
              <c:numCache>
                <c:formatCode>General</c:formatCode>
                <c:ptCount val="12"/>
                <c:pt idx="0">
                  <c:v>10</c:v>
                </c:pt>
                <c:pt idx="1">
                  <c:v>21</c:v>
                </c:pt>
                <c:pt idx="2">
                  <c:v>37</c:v>
                </c:pt>
                <c:pt idx="3">
                  <c:v>51</c:v>
                </c:pt>
                <c:pt idx="4">
                  <c:v>64</c:v>
                </c:pt>
                <c:pt idx="5">
                  <c:v>80</c:v>
                </c:pt>
                <c:pt idx="6">
                  <c:v>89</c:v>
                </c:pt>
                <c:pt idx="7">
                  <c:v>98</c:v>
                </c:pt>
                <c:pt idx="8">
                  <c:v>111</c:v>
                </c:pt>
                <c:pt idx="9">
                  <c:v>125</c:v>
                </c:pt>
                <c:pt idx="10">
                  <c:v>137</c:v>
                </c:pt>
                <c:pt idx="11">
                  <c:v>147</c:v>
                </c:pt>
              </c:numCache>
            </c:numRef>
          </c:val>
          <c:smooth val="0"/>
          <c:extLst>
            <c:ext xmlns:c16="http://schemas.microsoft.com/office/drawing/2014/chart" uri="{C3380CC4-5D6E-409C-BE32-E72D297353CC}">
              <c16:uniqueId val="{00000001-78A1-4A9A-9B79-46F604914AB0}"/>
            </c:ext>
          </c:extLst>
        </c:ser>
        <c:ser>
          <c:idx val="2"/>
          <c:order val="2"/>
          <c:tx>
            <c:strRef>
              <c:f>Ecoli2425!$A$5</c:f>
              <c:strCache>
                <c:ptCount val="1"/>
                <c:pt idx="0">
                  <c:v>Threshold</c:v>
                </c:pt>
              </c:strCache>
            </c:strRef>
          </c:tx>
          <c:spPr>
            <a:ln w="28575" cap="rnd">
              <a:solidFill>
                <a:srgbClr val="A5A5A5"/>
              </a:solidFill>
              <a:prstDash val="solid"/>
              <a:round/>
            </a:ln>
          </c:spPr>
          <c:marker>
            <c:symbol val="none"/>
          </c:marker>
          <c:cat>
            <c:strRef>
              <c:f>Ecoli2425!$B$1:$M$2</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Ecoli2425!$B$5:$M$5</c:f>
              <c:numCache>
                <c:formatCode>General</c:formatCode>
                <c:ptCount val="12"/>
                <c:pt idx="0">
                  <c:v>14</c:v>
                </c:pt>
                <c:pt idx="1">
                  <c:v>28</c:v>
                </c:pt>
                <c:pt idx="2">
                  <c:v>42</c:v>
                </c:pt>
                <c:pt idx="3">
                  <c:v>56</c:v>
                </c:pt>
                <c:pt idx="4">
                  <c:v>69</c:v>
                </c:pt>
                <c:pt idx="5">
                  <c:v>81</c:v>
                </c:pt>
                <c:pt idx="6">
                  <c:v>94</c:v>
                </c:pt>
                <c:pt idx="7">
                  <c:v>107</c:v>
                </c:pt>
                <c:pt idx="8">
                  <c:v>120</c:v>
                </c:pt>
                <c:pt idx="9">
                  <c:v>133</c:v>
                </c:pt>
                <c:pt idx="10">
                  <c:v>147</c:v>
                </c:pt>
                <c:pt idx="11">
                  <c:v>160</c:v>
                </c:pt>
              </c:numCache>
            </c:numRef>
          </c:val>
          <c:smooth val="0"/>
          <c:extLst>
            <c:ext xmlns:c16="http://schemas.microsoft.com/office/drawing/2014/chart" uri="{C3380CC4-5D6E-409C-BE32-E72D297353CC}">
              <c16:uniqueId val="{00000002-78A1-4A9A-9B79-46F604914AB0}"/>
            </c:ext>
          </c:extLst>
        </c:ser>
        <c:dLbls>
          <c:showLegendKey val="0"/>
          <c:showVal val="0"/>
          <c:showCatName val="0"/>
          <c:showSerName val="0"/>
          <c:showPercent val="0"/>
          <c:showBubbleSize val="0"/>
        </c:dLbls>
        <c:smooth val="0"/>
        <c:axId val="458068944"/>
        <c:axId val="458068288"/>
      </c:lineChart>
      <c:valAx>
        <c:axId val="458068288"/>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68944"/>
        <c:crosses val="autoZero"/>
        <c:crossBetween val="between"/>
      </c:valAx>
      <c:catAx>
        <c:axId val="45806894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6828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EKHUFT Healthcare Associated Klebsiella spp.</a:t>
            </a:r>
          </a:p>
        </c:rich>
      </c:tx>
      <c:overlay val="0"/>
      <c:spPr>
        <a:noFill/>
        <a:ln>
          <a:noFill/>
        </a:ln>
      </c:spPr>
    </c:title>
    <c:autoTitleDeleted val="0"/>
    <c:plotArea>
      <c:layout/>
      <c:lineChart>
        <c:grouping val="standard"/>
        <c:varyColors val="0"/>
        <c:ser>
          <c:idx val="0"/>
          <c:order val="0"/>
          <c:tx>
            <c:strRef>
              <c:f>Kleb2425!$A$2</c:f>
              <c:strCache>
                <c:ptCount val="1"/>
                <c:pt idx="0">
                  <c:v>2023-24</c:v>
                </c:pt>
              </c:strCache>
            </c:strRef>
          </c:tx>
          <c:spPr>
            <a:ln w="28575" cap="rnd">
              <a:solidFill>
                <a:srgbClr val="5B9BD5"/>
              </a:solidFill>
              <a:prstDash val="solid"/>
              <a:round/>
            </a:ln>
          </c:spPr>
          <c:marker>
            <c:symbol val="none"/>
          </c:marker>
          <c:cat>
            <c:strRef>
              <c:f>Kleb2425!$B$1:$M$1</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Kleb2425!$B$2:$M$2</c:f>
              <c:numCache>
                <c:formatCode>General</c:formatCode>
                <c:ptCount val="12"/>
                <c:pt idx="0">
                  <c:v>7</c:v>
                </c:pt>
                <c:pt idx="1">
                  <c:v>13</c:v>
                </c:pt>
                <c:pt idx="2">
                  <c:v>22</c:v>
                </c:pt>
                <c:pt idx="3">
                  <c:v>28</c:v>
                </c:pt>
                <c:pt idx="4">
                  <c:v>35</c:v>
                </c:pt>
                <c:pt idx="5">
                  <c:v>42</c:v>
                </c:pt>
                <c:pt idx="6">
                  <c:v>48</c:v>
                </c:pt>
                <c:pt idx="7">
                  <c:v>59</c:v>
                </c:pt>
                <c:pt idx="8">
                  <c:v>67</c:v>
                </c:pt>
                <c:pt idx="9">
                  <c:v>72</c:v>
                </c:pt>
                <c:pt idx="10">
                  <c:v>76</c:v>
                </c:pt>
                <c:pt idx="11">
                  <c:v>81</c:v>
                </c:pt>
              </c:numCache>
            </c:numRef>
          </c:val>
          <c:smooth val="0"/>
          <c:extLst>
            <c:ext xmlns:c16="http://schemas.microsoft.com/office/drawing/2014/chart" uri="{C3380CC4-5D6E-409C-BE32-E72D297353CC}">
              <c16:uniqueId val="{00000000-2110-4784-8305-AE9BDE081F29}"/>
            </c:ext>
          </c:extLst>
        </c:ser>
        <c:ser>
          <c:idx val="1"/>
          <c:order val="1"/>
          <c:tx>
            <c:strRef>
              <c:f>Kleb2425!$A$3</c:f>
              <c:strCache>
                <c:ptCount val="1"/>
                <c:pt idx="0">
                  <c:v>2024-25</c:v>
                </c:pt>
              </c:strCache>
            </c:strRef>
          </c:tx>
          <c:spPr>
            <a:ln w="28575" cap="rnd">
              <a:solidFill>
                <a:srgbClr val="ED7D31"/>
              </a:solidFill>
              <a:prstDash val="solid"/>
              <a:round/>
            </a:ln>
          </c:spPr>
          <c:marker>
            <c:symbol val="none"/>
          </c:marker>
          <c:cat>
            <c:strRef>
              <c:f>Kleb2425!$B$1:$M$1</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Kleb2425!$B$3:$M$3</c:f>
              <c:numCache>
                <c:formatCode>General</c:formatCode>
                <c:ptCount val="12"/>
                <c:pt idx="0">
                  <c:v>10</c:v>
                </c:pt>
                <c:pt idx="1">
                  <c:v>17</c:v>
                </c:pt>
                <c:pt idx="2">
                  <c:v>24</c:v>
                </c:pt>
                <c:pt idx="3">
                  <c:v>33</c:v>
                </c:pt>
                <c:pt idx="4">
                  <c:v>40</c:v>
                </c:pt>
                <c:pt idx="5">
                  <c:v>51</c:v>
                </c:pt>
                <c:pt idx="6">
                  <c:v>56</c:v>
                </c:pt>
                <c:pt idx="7">
                  <c:v>62</c:v>
                </c:pt>
                <c:pt idx="8">
                  <c:v>71</c:v>
                </c:pt>
                <c:pt idx="9">
                  <c:v>77</c:v>
                </c:pt>
                <c:pt idx="10">
                  <c:v>82</c:v>
                </c:pt>
                <c:pt idx="11">
                  <c:v>91</c:v>
                </c:pt>
              </c:numCache>
            </c:numRef>
          </c:val>
          <c:smooth val="0"/>
          <c:extLst>
            <c:ext xmlns:c16="http://schemas.microsoft.com/office/drawing/2014/chart" uri="{C3380CC4-5D6E-409C-BE32-E72D297353CC}">
              <c16:uniqueId val="{00000001-2110-4784-8305-AE9BDE081F29}"/>
            </c:ext>
          </c:extLst>
        </c:ser>
        <c:ser>
          <c:idx val="2"/>
          <c:order val="2"/>
          <c:tx>
            <c:strRef>
              <c:f>Kleb2425!$A$4</c:f>
              <c:strCache>
                <c:ptCount val="1"/>
                <c:pt idx="0">
                  <c:v>Threshold</c:v>
                </c:pt>
              </c:strCache>
            </c:strRef>
          </c:tx>
          <c:spPr>
            <a:ln w="28575" cap="rnd">
              <a:solidFill>
                <a:srgbClr val="A5A5A5"/>
              </a:solidFill>
              <a:prstDash val="solid"/>
              <a:round/>
            </a:ln>
          </c:spPr>
          <c:marker>
            <c:symbol val="none"/>
          </c:marker>
          <c:cat>
            <c:strRef>
              <c:f>Kleb2425!$B$1:$M$1</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Kleb2425!$B$4:$M$4</c:f>
              <c:numCache>
                <c:formatCode>General</c:formatCode>
                <c:ptCount val="12"/>
                <c:pt idx="0">
                  <c:v>7</c:v>
                </c:pt>
                <c:pt idx="1">
                  <c:v>14</c:v>
                </c:pt>
                <c:pt idx="2">
                  <c:v>21</c:v>
                </c:pt>
                <c:pt idx="3">
                  <c:v>28</c:v>
                </c:pt>
                <c:pt idx="4">
                  <c:v>35</c:v>
                </c:pt>
                <c:pt idx="5">
                  <c:v>41</c:v>
                </c:pt>
                <c:pt idx="6">
                  <c:v>47</c:v>
                </c:pt>
                <c:pt idx="7">
                  <c:v>53</c:v>
                </c:pt>
                <c:pt idx="8">
                  <c:v>59</c:v>
                </c:pt>
                <c:pt idx="9">
                  <c:v>65</c:v>
                </c:pt>
                <c:pt idx="10">
                  <c:v>71</c:v>
                </c:pt>
                <c:pt idx="11">
                  <c:v>77</c:v>
                </c:pt>
              </c:numCache>
            </c:numRef>
          </c:val>
          <c:smooth val="0"/>
          <c:extLst>
            <c:ext xmlns:c16="http://schemas.microsoft.com/office/drawing/2014/chart" uri="{C3380CC4-5D6E-409C-BE32-E72D297353CC}">
              <c16:uniqueId val="{00000002-2110-4784-8305-AE9BDE081F29}"/>
            </c:ext>
          </c:extLst>
        </c:ser>
        <c:dLbls>
          <c:showLegendKey val="0"/>
          <c:showVal val="0"/>
          <c:showCatName val="0"/>
          <c:showSerName val="0"/>
          <c:showPercent val="0"/>
          <c:showBubbleSize val="0"/>
        </c:dLbls>
        <c:smooth val="0"/>
        <c:axId val="458070256"/>
        <c:axId val="458065008"/>
      </c:lineChart>
      <c:valAx>
        <c:axId val="458065008"/>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70256"/>
        <c:crosses val="autoZero"/>
        <c:crossBetween val="between"/>
      </c:valAx>
      <c:catAx>
        <c:axId val="45807025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65008"/>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GB" sz="1400" b="0" i="0" u="none" strike="noStrike" kern="1200" cap="none" spc="0" baseline="0">
                <a:solidFill>
                  <a:srgbClr val="595959"/>
                </a:solidFill>
                <a:uFillTx/>
                <a:latin typeface="Calibri"/>
              </a:rPr>
              <a:t>EKHUFT Healthcare Associated P. Aeruginosa</a:t>
            </a:r>
          </a:p>
        </c:rich>
      </c:tx>
      <c:overlay val="0"/>
      <c:spPr>
        <a:noFill/>
        <a:ln>
          <a:noFill/>
        </a:ln>
      </c:spPr>
    </c:title>
    <c:autoTitleDeleted val="0"/>
    <c:plotArea>
      <c:layout/>
      <c:lineChart>
        <c:grouping val="standard"/>
        <c:varyColors val="0"/>
        <c:ser>
          <c:idx val="0"/>
          <c:order val="0"/>
          <c:tx>
            <c:strRef>
              <c:f>Pseud2425!$A$3</c:f>
              <c:strCache>
                <c:ptCount val="1"/>
                <c:pt idx="0">
                  <c:v>2023-24</c:v>
                </c:pt>
              </c:strCache>
            </c:strRef>
          </c:tx>
          <c:spPr>
            <a:ln w="28575" cap="rnd">
              <a:solidFill>
                <a:srgbClr val="5B9BD5"/>
              </a:solidFill>
              <a:prstDash val="solid"/>
              <a:round/>
            </a:ln>
          </c:spPr>
          <c:marker>
            <c:symbol val="none"/>
          </c:marker>
          <c:cat>
            <c:strRef>
              <c:f>Pseud2425!$B$1:$M$1</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Pseud2425!$B$3:$M$3</c:f>
              <c:numCache>
                <c:formatCode>General</c:formatCode>
                <c:ptCount val="12"/>
                <c:pt idx="0">
                  <c:v>3</c:v>
                </c:pt>
                <c:pt idx="1">
                  <c:v>5</c:v>
                </c:pt>
                <c:pt idx="2">
                  <c:v>5</c:v>
                </c:pt>
                <c:pt idx="3">
                  <c:v>6</c:v>
                </c:pt>
                <c:pt idx="4">
                  <c:v>6</c:v>
                </c:pt>
                <c:pt idx="5">
                  <c:v>9</c:v>
                </c:pt>
                <c:pt idx="6">
                  <c:v>12</c:v>
                </c:pt>
                <c:pt idx="7">
                  <c:v>13</c:v>
                </c:pt>
                <c:pt idx="8">
                  <c:v>16</c:v>
                </c:pt>
                <c:pt idx="9">
                  <c:v>19</c:v>
                </c:pt>
                <c:pt idx="10">
                  <c:v>23</c:v>
                </c:pt>
                <c:pt idx="11">
                  <c:v>26</c:v>
                </c:pt>
              </c:numCache>
            </c:numRef>
          </c:val>
          <c:smooth val="0"/>
          <c:extLst>
            <c:ext xmlns:c16="http://schemas.microsoft.com/office/drawing/2014/chart" uri="{C3380CC4-5D6E-409C-BE32-E72D297353CC}">
              <c16:uniqueId val="{00000000-C716-454B-9A1F-ECCAFE04ED92}"/>
            </c:ext>
          </c:extLst>
        </c:ser>
        <c:ser>
          <c:idx val="1"/>
          <c:order val="1"/>
          <c:tx>
            <c:strRef>
              <c:f>Pseud2425!$A$4</c:f>
              <c:strCache>
                <c:ptCount val="1"/>
                <c:pt idx="0">
                  <c:v>2024-25</c:v>
                </c:pt>
              </c:strCache>
            </c:strRef>
          </c:tx>
          <c:spPr>
            <a:ln w="28575" cap="rnd">
              <a:solidFill>
                <a:srgbClr val="ED7D31"/>
              </a:solidFill>
              <a:prstDash val="solid"/>
              <a:round/>
            </a:ln>
          </c:spPr>
          <c:marker>
            <c:symbol val="none"/>
          </c:marker>
          <c:cat>
            <c:strRef>
              <c:f>Pseud2425!$B$1:$M$1</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Pseud2425!$B$4:$M$4</c:f>
              <c:numCache>
                <c:formatCode>General</c:formatCode>
                <c:ptCount val="12"/>
                <c:pt idx="0">
                  <c:v>2</c:v>
                </c:pt>
                <c:pt idx="1">
                  <c:v>4</c:v>
                </c:pt>
                <c:pt idx="2">
                  <c:v>8</c:v>
                </c:pt>
                <c:pt idx="3">
                  <c:v>12</c:v>
                </c:pt>
                <c:pt idx="4">
                  <c:v>14</c:v>
                </c:pt>
                <c:pt idx="5">
                  <c:v>19</c:v>
                </c:pt>
                <c:pt idx="6">
                  <c:v>21</c:v>
                </c:pt>
                <c:pt idx="7">
                  <c:v>28</c:v>
                </c:pt>
                <c:pt idx="8">
                  <c:v>32</c:v>
                </c:pt>
                <c:pt idx="9">
                  <c:v>37</c:v>
                </c:pt>
                <c:pt idx="10">
                  <c:v>38</c:v>
                </c:pt>
                <c:pt idx="11">
                  <c:v>40</c:v>
                </c:pt>
              </c:numCache>
            </c:numRef>
          </c:val>
          <c:smooth val="0"/>
          <c:extLst>
            <c:ext xmlns:c16="http://schemas.microsoft.com/office/drawing/2014/chart" uri="{C3380CC4-5D6E-409C-BE32-E72D297353CC}">
              <c16:uniqueId val="{00000001-C716-454B-9A1F-ECCAFE04ED92}"/>
            </c:ext>
          </c:extLst>
        </c:ser>
        <c:ser>
          <c:idx val="2"/>
          <c:order val="2"/>
          <c:tx>
            <c:strRef>
              <c:f>Pseud2425!$A$5</c:f>
              <c:strCache>
                <c:ptCount val="1"/>
                <c:pt idx="0">
                  <c:v>Threshold</c:v>
                </c:pt>
              </c:strCache>
            </c:strRef>
          </c:tx>
          <c:spPr>
            <a:ln w="28575" cap="rnd">
              <a:solidFill>
                <a:srgbClr val="A5A5A5"/>
              </a:solidFill>
              <a:prstDash val="solid"/>
              <a:round/>
            </a:ln>
          </c:spPr>
          <c:marker>
            <c:symbol val="none"/>
          </c:marker>
          <c:cat>
            <c:strRef>
              <c:f>Pseud2425!$B$1:$M$1</c:f>
              <c:strCache>
                <c:ptCount val="12"/>
                <c:pt idx="0">
                  <c:v>April</c:v>
                </c:pt>
                <c:pt idx="1">
                  <c:v>May</c:v>
                </c:pt>
                <c:pt idx="2">
                  <c:v>June</c:v>
                </c:pt>
                <c:pt idx="3">
                  <c:v>July</c:v>
                </c:pt>
                <c:pt idx="4">
                  <c:v>August</c:v>
                </c:pt>
                <c:pt idx="5">
                  <c:v>Sept</c:v>
                </c:pt>
                <c:pt idx="6">
                  <c:v>Oct</c:v>
                </c:pt>
                <c:pt idx="7">
                  <c:v>Nov</c:v>
                </c:pt>
                <c:pt idx="8">
                  <c:v>Dec</c:v>
                </c:pt>
                <c:pt idx="9">
                  <c:v>Jan</c:v>
                </c:pt>
                <c:pt idx="10">
                  <c:v>Feb </c:v>
                </c:pt>
                <c:pt idx="11">
                  <c:v>March</c:v>
                </c:pt>
              </c:strCache>
            </c:strRef>
          </c:cat>
          <c:val>
            <c:numRef>
              <c:f>Pseud2425!$B$5:$M$5</c:f>
              <c:numCache>
                <c:formatCode>General</c:formatCode>
                <c:ptCount val="12"/>
                <c:pt idx="0">
                  <c:v>2</c:v>
                </c:pt>
                <c:pt idx="1">
                  <c:v>4</c:v>
                </c:pt>
                <c:pt idx="2">
                  <c:v>6</c:v>
                </c:pt>
                <c:pt idx="3">
                  <c:v>8</c:v>
                </c:pt>
                <c:pt idx="4">
                  <c:v>10</c:v>
                </c:pt>
                <c:pt idx="5">
                  <c:v>12</c:v>
                </c:pt>
                <c:pt idx="6">
                  <c:v>14</c:v>
                </c:pt>
                <c:pt idx="7">
                  <c:v>16</c:v>
                </c:pt>
                <c:pt idx="8">
                  <c:v>18</c:v>
                </c:pt>
                <c:pt idx="9">
                  <c:v>20</c:v>
                </c:pt>
                <c:pt idx="10">
                  <c:v>22</c:v>
                </c:pt>
                <c:pt idx="11">
                  <c:v>24</c:v>
                </c:pt>
              </c:numCache>
            </c:numRef>
          </c:val>
          <c:smooth val="0"/>
          <c:extLst>
            <c:ext xmlns:c16="http://schemas.microsoft.com/office/drawing/2014/chart" uri="{C3380CC4-5D6E-409C-BE32-E72D297353CC}">
              <c16:uniqueId val="{00000002-C716-454B-9A1F-ECCAFE04ED92}"/>
            </c:ext>
          </c:extLst>
        </c:ser>
        <c:dLbls>
          <c:showLegendKey val="0"/>
          <c:showVal val="0"/>
          <c:showCatName val="0"/>
          <c:showSerName val="0"/>
          <c:showPercent val="0"/>
          <c:showBubbleSize val="0"/>
        </c:dLbls>
        <c:smooth val="0"/>
        <c:axId val="458082392"/>
        <c:axId val="458076160"/>
      </c:lineChart>
      <c:valAx>
        <c:axId val="458076160"/>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82392"/>
        <c:crosses val="autoZero"/>
        <c:crossBetween val="between"/>
      </c:valAx>
      <c:catAx>
        <c:axId val="458082392"/>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45807616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148E2-4C19-4EC5-99AB-A1A4391EB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5525</Words>
  <Characters>31499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East Kent Hospitals Infection Prevention and Control Annual Report for 2024-2025</vt:lpstr>
    </vt:vector>
  </TitlesOfParts>
  <Company>East Kent Hospital University Foundation Trust</Company>
  <LinksUpToDate>false</LinksUpToDate>
  <CharactersWithSpaces>36951</CharactersWithSpaces>
  <SharedDoc>false</SharedDoc>
  <HLinks>
    <vt:vector size="174" baseType="variant">
      <vt:variant>
        <vt:i4>393244</vt:i4>
      </vt:variant>
      <vt:variant>
        <vt:i4>84</vt:i4>
      </vt:variant>
      <vt:variant>
        <vt:i4>0</vt:i4>
      </vt:variant>
      <vt:variant>
        <vt:i4>5</vt:i4>
      </vt:variant>
      <vt:variant>
        <vt:lpwstr/>
      </vt:variant>
      <vt:variant>
        <vt:lpwstr>Contents</vt:lpwstr>
      </vt:variant>
      <vt:variant>
        <vt:i4>393244</vt:i4>
      </vt:variant>
      <vt:variant>
        <vt:i4>81</vt:i4>
      </vt:variant>
      <vt:variant>
        <vt:i4>0</vt:i4>
      </vt:variant>
      <vt:variant>
        <vt:i4>5</vt:i4>
      </vt:variant>
      <vt:variant>
        <vt:lpwstr/>
      </vt:variant>
      <vt:variant>
        <vt:lpwstr>Contents</vt:lpwstr>
      </vt:variant>
      <vt:variant>
        <vt:i4>3866697</vt:i4>
      </vt:variant>
      <vt:variant>
        <vt:i4>78</vt:i4>
      </vt:variant>
      <vt:variant>
        <vt:i4>0</vt:i4>
      </vt:variant>
      <vt:variant>
        <vt:i4>5</vt:i4>
      </vt:variant>
      <vt:variant>
        <vt:lpwstr/>
      </vt:variant>
      <vt:variant>
        <vt:lpwstr>Appendix_2</vt:lpwstr>
      </vt:variant>
      <vt:variant>
        <vt:i4>3670089</vt:i4>
      </vt:variant>
      <vt:variant>
        <vt:i4>75</vt:i4>
      </vt:variant>
      <vt:variant>
        <vt:i4>0</vt:i4>
      </vt:variant>
      <vt:variant>
        <vt:i4>5</vt:i4>
      </vt:variant>
      <vt:variant>
        <vt:lpwstr/>
      </vt:variant>
      <vt:variant>
        <vt:lpwstr>Appendix_1</vt:lpwstr>
      </vt:variant>
      <vt:variant>
        <vt:i4>8257661</vt:i4>
      </vt:variant>
      <vt:variant>
        <vt:i4>72</vt:i4>
      </vt:variant>
      <vt:variant>
        <vt:i4>0</vt:i4>
      </vt:variant>
      <vt:variant>
        <vt:i4>5</vt:i4>
      </vt:variant>
      <vt:variant>
        <vt:lpwstr/>
      </vt:variant>
      <vt:variant>
        <vt:lpwstr>Conclusion</vt:lpwstr>
      </vt:variant>
      <vt:variant>
        <vt:i4>6684792</vt:i4>
      </vt:variant>
      <vt:variant>
        <vt:i4>69</vt:i4>
      </vt:variant>
      <vt:variant>
        <vt:i4>0</vt:i4>
      </vt:variant>
      <vt:variant>
        <vt:i4>5</vt:i4>
      </vt:variant>
      <vt:variant>
        <vt:lpwstr/>
      </vt:variant>
      <vt:variant>
        <vt:lpwstr>Trauma</vt:lpwstr>
      </vt:variant>
      <vt:variant>
        <vt:i4>2031645</vt:i4>
      </vt:variant>
      <vt:variant>
        <vt:i4>66</vt:i4>
      </vt:variant>
      <vt:variant>
        <vt:i4>0</vt:i4>
      </vt:variant>
      <vt:variant>
        <vt:i4>5</vt:i4>
      </vt:variant>
      <vt:variant>
        <vt:lpwstr/>
      </vt:variant>
      <vt:variant>
        <vt:lpwstr>Antimicrobial</vt:lpwstr>
      </vt:variant>
      <vt:variant>
        <vt:i4>7471203</vt:i4>
      </vt:variant>
      <vt:variant>
        <vt:i4>63</vt:i4>
      </vt:variant>
      <vt:variant>
        <vt:i4>0</vt:i4>
      </vt:variant>
      <vt:variant>
        <vt:i4>5</vt:i4>
      </vt:variant>
      <vt:variant>
        <vt:lpwstr/>
      </vt:variant>
      <vt:variant>
        <vt:lpwstr>CRO</vt:lpwstr>
      </vt:variant>
      <vt:variant>
        <vt:i4>5832810</vt:i4>
      </vt:variant>
      <vt:variant>
        <vt:i4>60</vt:i4>
      </vt:variant>
      <vt:variant>
        <vt:i4>0</vt:i4>
      </vt:variant>
      <vt:variant>
        <vt:i4>5</vt:i4>
      </vt:variant>
      <vt:variant>
        <vt:lpwstr/>
      </vt:variant>
      <vt:variant>
        <vt:lpwstr>E_coli</vt:lpwstr>
      </vt:variant>
      <vt:variant>
        <vt:i4>2228232</vt:i4>
      </vt:variant>
      <vt:variant>
        <vt:i4>57</vt:i4>
      </vt:variant>
      <vt:variant>
        <vt:i4>0</vt:i4>
      </vt:variant>
      <vt:variant>
        <vt:i4>5</vt:i4>
      </vt:variant>
      <vt:variant>
        <vt:lpwstr/>
      </vt:variant>
      <vt:variant>
        <vt:lpwstr>Methicillin_Resistant</vt:lpwstr>
      </vt:variant>
      <vt:variant>
        <vt:i4>524291</vt:i4>
      </vt:variant>
      <vt:variant>
        <vt:i4>54</vt:i4>
      </vt:variant>
      <vt:variant>
        <vt:i4>0</vt:i4>
      </vt:variant>
      <vt:variant>
        <vt:i4>5</vt:i4>
      </vt:variant>
      <vt:variant>
        <vt:lpwstr/>
      </vt:variant>
      <vt:variant>
        <vt:lpwstr>MRSA_and_MSSA</vt:lpwstr>
      </vt:variant>
      <vt:variant>
        <vt:i4>6226017</vt:i4>
      </vt:variant>
      <vt:variant>
        <vt:i4>51</vt:i4>
      </vt:variant>
      <vt:variant>
        <vt:i4>0</vt:i4>
      </vt:variant>
      <vt:variant>
        <vt:i4>5</vt:i4>
      </vt:variant>
      <vt:variant>
        <vt:lpwstr/>
      </vt:variant>
      <vt:variant>
        <vt:lpwstr>C_difficile</vt:lpwstr>
      </vt:variant>
      <vt:variant>
        <vt:i4>1900564</vt:i4>
      </vt:variant>
      <vt:variant>
        <vt:i4>48</vt:i4>
      </vt:variant>
      <vt:variant>
        <vt:i4>0</vt:i4>
      </vt:variant>
      <vt:variant>
        <vt:i4>5</vt:i4>
      </vt:variant>
      <vt:variant>
        <vt:lpwstr/>
      </vt:variant>
      <vt:variant>
        <vt:lpwstr>Influenza</vt:lpwstr>
      </vt:variant>
      <vt:variant>
        <vt:i4>851978</vt:i4>
      </vt:variant>
      <vt:variant>
        <vt:i4>45</vt:i4>
      </vt:variant>
      <vt:variant>
        <vt:i4>0</vt:i4>
      </vt:variant>
      <vt:variant>
        <vt:i4>5</vt:i4>
      </vt:variant>
      <vt:variant>
        <vt:lpwstr/>
      </vt:variant>
      <vt:variant>
        <vt:lpwstr>Surveillance</vt:lpwstr>
      </vt:variant>
      <vt:variant>
        <vt:i4>5767268</vt:i4>
      </vt:variant>
      <vt:variant>
        <vt:i4>42</vt:i4>
      </vt:variant>
      <vt:variant>
        <vt:i4>0</vt:i4>
      </vt:variant>
      <vt:variant>
        <vt:i4>5</vt:i4>
      </vt:variant>
      <vt:variant>
        <vt:lpwstr/>
      </vt:variant>
      <vt:variant>
        <vt:lpwstr>Contact_Tracing</vt:lpwstr>
      </vt:variant>
      <vt:variant>
        <vt:i4>1835032</vt:i4>
      </vt:variant>
      <vt:variant>
        <vt:i4>39</vt:i4>
      </vt:variant>
      <vt:variant>
        <vt:i4>0</vt:i4>
      </vt:variant>
      <vt:variant>
        <vt:i4>5</vt:i4>
      </vt:variant>
      <vt:variant>
        <vt:lpwstr/>
      </vt:variant>
      <vt:variant>
        <vt:lpwstr>Norovirus</vt:lpwstr>
      </vt:variant>
      <vt:variant>
        <vt:i4>5243003</vt:i4>
      </vt:variant>
      <vt:variant>
        <vt:i4>36</vt:i4>
      </vt:variant>
      <vt:variant>
        <vt:i4>0</vt:i4>
      </vt:variant>
      <vt:variant>
        <vt:i4>5</vt:i4>
      </vt:variant>
      <vt:variant>
        <vt:lpwstr/>
      </vt:variant>
      <vt:variant>
        <vt:lpwstr>Incidents_Outbreaks</vt:lpwstr>
      </vt:variant>
      <vt:variant>
        <vt:i4>3538952</vt:i4>
      </vt:variant>
      <vt:variant>
        <vt:i4>33</vt:i4>
      </vt:variant>
      <vt:variant>
        <vt:i4>0</vt:i4>
      </vt:variant>
      <vt:variant>
        <vt:i4>5</vt:i4>
      </vt:variant>
      <vt:variant>
        <vt:lpwstr/>
      </vt:variant>
      <vt:variant>
        <vt:lpwstr>Water_Quality</vt:lpwstr>
      </vt:variant>
      <vt:variant>
        <vt:i4>4849776</vt:i4>
      </vt:variant>
      <vt:variant>
        <vt:i4>30</vt:i4>
      </vt:variant>
      <vt:variant>
        <vt:i4>0</vt:i4>
      </vt:variant>
      <vt:variant>
        <vt:i4>5</vt:i4>
      </vt:variant>
      <vt:variant>
        <vt:lpwstr/>
      </vt:variant>
      <vt:variant>
        <vt:lpwstr>Other_Work</vt:lpwstr>
      </vt:variant>
      <vt:variant>
        <vt:i4>524338</vt:i4>
      </vt:variant>
      <vt:variant>
        <vt:i4>27</vt:i4>
      </vt:variant>
      <vt:variant>
        <vt:i4>0</vt:i4>
      </vt:variant>
      <vt:variant>
        <vt:i4>5</vt:i4>
      </vt:variant>
      <vt:variant>
        <vt:lpwstr/>
      </vt:variant>
      <vt:variant>
        <vt:lpwstr>Hospital_Hygiene</vt:lpwstr>
      </vt:variant>
      <vt:variant>
        <vt:i4>655399</vt:i4>
      </vt:variant>
      <vt:variant>
        <vt:i4>24</vt:i4>
      </vt:variant>
      <vt:variant>
        <vt:i4>0</vt:i4>
      </vt:variant>
      <vt:variant>
        <vt:i4>5</vt:i4>
      </vt:variant>
      <vt:variant>
        <vt:lpwstr/>
      </vt:variant>
      <vt:variant>
        <vt:lpwstr>Hand_Hygiene</vt:lpwstr>
      </vt:variant>
      <vt:variant>
        <vt:i4>1835013</vt:i4>
      </vt:variant>
      <vt:variant>
        <vt:i4>21</vt:i4>
      </vt:variant>
      <vt:variant>
        <vt:i4>0</vt:i4>
      </vt:variant>
      <vt:variant>
        <vt:i4>5</vt:i4>
      </vt:variant>
      <vt:variant>
        <vt:lpwstr/>
      </vt:variant>
      <vt:variant>
        <vt:lpwstr>Audit</vt:lpwstr>
      </vt:variant>
      <vt:variant>
        <vt:i4>1835018</vt:i4>
      </vt:variant>
      <vt:variant>
        <vt:i4>18</vt:i4>
      </vt:variant>
      <vt:variant>
        <vt:i4>0</vt:i4>
      </vt:variant>
      <vt:variant>
        <vt:i4>5</vt:i4>
      </vt:variant>
      <vt:variant>
        <vt:lpwstr/>
      </vt:variant>
      <vt:variant>
        <vt:lpwstr>IPCLP</vt:lpwstr>
      </vt:variant>
      <vt:variant>
        <vt:i4>1835032</vt:i4>
      </vt:variant>
      <vt:variant>
        <vt:i4>15</vt:i4>
      </vt:variant>
      <vt:variant>
        <vt:i4>0</vt:i4>
      </vt:variant>
      <vt:variant>
        <vt:i4>5</vt:i4>
      </vt:variant>
      <vt:variant>
        <vt:lpwstr/>
      </vt:variant>
      <vt:variant>
        <vt:lpwstr>Education</vt:lpwstr>
      </vt:variant>
      <vt:variant>
        <vt:i4>4587634</vt:i4>
      </vt:variant>
      <vt:variant>
        <vt:i4>12</vt:i4>
      </vt:variant>
      <vt:variant>
        <vt:i4>0</vt:i4>
      </vt:variant>
      <vt:variant>
        <vt:i4>5</vt:i4>
      </vt:variant>
      <vt:variant>
        <vt:lpwstr/>
      </vt:variant>
      <vt:variant>
        <vt:lpwstr>The_CQC</vt:lpwstr>
      </vt:variant>
      <vt:variant>
        <vt:i4>3932185</vt:i4>
      </vt:variant>
      <vt:variant>
        <vt:i4>9</vt:i4>
      </vt:variant>
      <vt:variant>
        <vt:i4>0</vt:i4>
      </vt:variant>
      <vt:variant>
        <vt:i4>5</vt:i4>
      </vt:variant>
      <vt:variant>
        <vt:lpwstr/>
      </vt:variant>
      <vt:variant>
        <vt:lpwstr>IPC_Committee</vt:lpwstr>
      </vt:variant>
      <vt:variant>
        <vt:i4>3342363</vt:i4>
      </vt:variant>
      <vt:variant>
        <vt:i4>6</vt:i4>
      </vt:variant>
      <vt:variant>
        <vt:i4>0</vt:i4>
      </vt:variant>
      <vt:variant>
        <vt:i4>5</vt:i4>
      </vt:variant>
      <vt:variant>
        <vt:lpwstr/>
      </vt:variant>
      <vt:variant>
        <vt:lpwstr>The_IPCT</vt:lpwstr>
      </vt:variant>
      <vt:variant>
        <vt:i4>1179688</vt:i4>
      </vt:variant>
      <vt:variant>
        <vt:i4>3</vt:i4>
      </vt:variant>
      <vt:variant>
        <vt:i4>0</vt:i4>
      </vt:variant>
      <vt:variant>
        <vt:i4>5</vt:i4>
      </vt:variant>
      <vt:variant>
        <vt:lpwstr/>
      </vt:variant>
      <vt:variant>
        <vt:lpwstr>Annual_Programme</vt:lpwstr>
      </vt:variant>
      <vt:variant>
        <vt:i4>1835036</vt:i4>
      </vt:variant>
      <vt:variant>
        <vt:i4>0</vt:i4>
      </vt:variant>
      <vt:variant>
        <vt:i4>0</vt:i4>
      </vt:variant>
      <vt:variant>
        <vt:i4>5</vt:i4>
      </vt:variant>
      <vt:variant>
        <vt:lpwstr/>
      </vt:variant>
      <vt:variant>
        <vt:lpwstr>Introduction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Kent Hospitals Infection Prevention and Control Annual Report for 2024-2025</dc:title>
  <dc:creator>Joe Allan</dc:creator>
  <cp:lastModifiedBy>Hollie Godwin</cp:lastModifiedBy>
  <cp:revision>3</cp:revision>
  <cp:lastPrinted>2025-07-15T14:51:00Z</cp:lastPrinted>
  <dcterms:created xsi:type="dcterms:W3CDTF">2025-09-18T10:16:00Z</dcterms:created>
  <dcterms:modified xsi:type="dcterms:W3CDTF">2025-09-18T11:27:00Z</dcterms:modified>
</cp:coreProperties>
</file>