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FAD" w:rsidRDefault="00143F09" w:rsidP="00E90FAD">
      <w:pPr>
        <w:ind w:right="57"/>
      </w:pPr>
      <w:r>
        <w:rPr>
          <w:noProof/>
          <w:szCs w:val="24"/>
        </w:rPr>
        <mc:AlternateContent>
          <mc:Choice Requires="wps">
            <w:drawing>
              <wp:inline distT="0" distB="0" distL="0" distR="0">
                <wp:extent cx="5857592" cy="4362450"/>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592" cy="436245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F58E6" w:rsidRPr="00CC7238" w:rsidRDefault="00866C29" w:rsidP="00CC7238">
                            <w:pPr>
                              <w:rPr>
                                <w:rFonts w:eastAsiaTheme="minorHAnsi"/>
                                <w:b/>
                                <w:color w:val="005EB8" w:themeColor="accent1"/>
                              </w:rPr>
                            </w:pPr>
                            <w:bookmarkStart w:id="0" w:name="_Toc139979781"/>
                            <w:bookmarkStart w:id="1" w:name="_GoBack"/>
                            <w:bookmarkEnd w:id="1"/>
                            <w:r>
                              <w:rPr>
                                <w:rFonts w:eastAsiaTheme="minorHAnsi"/>
                                <w:b/>
                                <w:color w:val="005EB8" w:themeColor="accent1"/>
                              </w:rPr>
                              <w:t>January</w:t>
                            </w:r>
                            <w:r w:rsidR="001F58E6" w:rsidRPr="00CC7238">
                              <w:rPr>
                                <w:rFonts w:eastAsiaTheme="minorHAnsi"/>
                                <w:b/>
                                <w:color w:val="005EB8" w:themeColor="accent1"/>
                              </w:rPr>
                              <w:t xml:space="preserve"> 202</w:t>
                            </w:r>
                            <w:r>
                              <w:rPr>
                                <w:rFonts w:eastAsiaTheme="minorHAnsi"/>
                                <w:b/>
                                <w:color w:val="005EB8" w:themeColor="accent1"/>
                              </w:rPr>
                              <w:t>6</w:t>
                            </w:r>
                          </w:p>
                          <w:sdt>
                            <w:sdtPr>
                              <w:rPr>
                                <w:rStyle w:val="TitleChar"/>
                                <w:rFonts w:eastAsiaTheme="minorHAnsi"/>
                              </w:rPr>
                              <w:alias w:val="Title"/>
                              <w:id w:val="1317071641"/>
                              <w:placeholder>
                                <w:docPart w:val="CBF2872F561045818250E1F309D792AA"/>
                              </w:placeholder>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p w:rsidR="001F58E6" w:rsidRPr="00CC7238" w:rsidRDefault="001F58E6" w:rsidP="00CC7238">
                                <w:pPr>
                                  <w:spacing w:before="720" w:after="360" w:line="240" w:lineRule="auto"/>
                                  <w:rPr>
                                    <w:rStyle w:val="SubtitleChar"/>
                                    <w:rFonts w:eastAsiaTheme="minorHAnsi" w:cs="Arial"/>
                                    <w:b/>
                                    <w:bCs/>
                                    <w:i w:val="0"/>
                                    <w:color w:val="auto"/>
                                    <w:kern w:val="28"/>
                                    <w:sz w:val="60"/>
                                    <w:szCs w:val="32"/>
                                  </w:rPr>
                                </w:pPr>
                                <w:r>
                                  <w:rPr>
                                    <w:rStyle w:val="TitleChar"/>
                                    <w:rFonts w:eastAsiaTheme="minorHAnsi"/>
                                  </w:rPr>
                                  <w:t>Board paper pack - part 3</w:t>
                                </w:r>
                              </w:p>
                            </w:sdtContent>
                          </w:sdt>
                          <w:bookmarkEnd w:id="0" w:displacedByCustomXml="prev"/>
                          <w:p w:rsidR="001F58E6" w:rsidRDefault="001F58E6" w:rsidP="00143F09">
                            <w:pPr>
                              <w:pStyle w:val="NoSpacing"/>
                            </w:pPr>
                          </w:p>
                          <w:sdt>
                            <w:sdtPr>
                              <w:alias w:val="Author"/>
                              <w:id w:val="1142005934"/>
                              <w:placeholder>
                                <w:docPart w:val="9BDF8AF1A94C424E8A8449383E7367BC"/>
                              </w:placeholder>
                              <w:dataBinding w:prefixMappings="xmlns:ns0='http://purl.org/dc/elements/1.1/' xmlns:ns1='http://schemas.openxmlformats.org/package/2006/metadata/core-properties' " w:xpath="/ns1:coreProperties[1]/ns0:creator[1]" w:storeItemID="{6C3C8BC8-F283-45AE-878A-BAB7291924A1}"/>
                              <w:text/>
                            </w:sdtPr>
                            <w:sdtEndPr/>
                            <w:sdtContent>
                              <w:p w:rsidR="001F58E6" w:rsidRDefault="001F58E6" w:rsidP="00CC7238">
                                <w:pPr>
                                  <w:pStyle w:val="NoSpacing"/>
                                  <w:spacing w:after="120"/>
                                </w:pPr>
                                <w:r>
                                  <w:t>East Kent Hospitals University NHS Foundation Trust</w:t>
                                </w:r>
                              </w:p>
                            </w:sdtContent>
                          </w:sdt>
                          <w:p w:rsidR="001F58E6" w:rsidRDefault="001F58E6" w:rsidP="00143F09">
                            <w:pPr>
                              <w:pStyle w:val="NoSpacing"/>
                            </w:pPr>
                          </w:p>
                          <w:p w:rsidR="001F58E6" w:rsidRPr="004B37FA" w:rsidRDefault="001F58E6" w:rsidP="00CC7238">
                            <w:pPr>
                              <w:pStyle w:val="Calloutbox"/>
                              <w:shd w:val="clear" w:color="auto" w:fill="E8EDEE" w:themeFill="background2"/>
                            </w:pPr>
                            <w:r>
                              <w:t xml:space="preserve">If you have any queries about the readability of this document, or need any information in an alternative format, please contact </w:t>
                            </w:r>
                            <w:hyperlink r:id="rId8" w:history="1">
                              <w:r w:rsidRPr="003171AD">
                                <w:rPr>
                                  <w:rStyle w:val="Hyperlink"/>
                                </w:rPr>
                                <w:t>ekh-tr.communications@nhs.net</w:t>
                              </w:r>
                            </w:hyperlink>
                            <w:r>
                              <w:t xml:space="preserve">. </w:t>
                            </w:r>
                          </w:p>
                        </w:txbxContent>
                      </wps:txbx>
                      <wps:bodyPr rot="0" vert="horz" wrap="square" lIns="91440" tIns="45720" rIns="91440" bIns="45720" anchor="b"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61.25pt;height:343.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" fillcolor="white [3201]" stroked="f" strokeweight=".5pt">
                <v:textbox>
                  <w:txbxContent>
                    <w:p w:rsidR="001F58E6" w:rsidRPr="00CC7238" w:rsidRDefault="00866C29" w:rsidP="00CC7238">
                      <w:pPr>
                        <w:rPr>
                          <w:rFonts w:eastAsiaTheme="minorHAnsi"/>
                          <w:b/>
                          <w:color w:val="005EB8" w:themeColor="accent1"/>
                        </w:rPr>
                      </w:pPr>
                      <w:bookmarkStart w:id="2" w:name="_Toc139979781"/>
                      <w:bookmarkStart w:id="3" w:name="_GoBack"/>
                      <w:bookmarkEnd w:id="3"/>
                      <w:r>
                        <w:rPr>
                          <w:rFonts w:eastAsiaTheme="minorHAnsi"/>
                          <w:b/>
                          <w:color w:val="005EB8" w:themeColor="accent1"/>
                        </w:rPr>
                        <w:t>January</w:t>
                      </w:r>
                      <w:r w:rsidR="001F58E6" w:rsidRPr="00CC7238">
                        <w:rPr>
                          <w:rFonts w:eastAsiaTheme="minorHAnsi"/>
                          <w:b/>
                          <w:color w:val="005EB8" w:themeColor="accent1"/>
                        </w:rPr>
                        <w:t xml:space="preserve"> 202</w:t>
                      </w:r>
                      <w:r>
                        <w:rPr>
                          <w:rFonts w:eastAsiaTheme="minorHAnsi"/>
                          <w:b/>
                          <w:color w:val="005EB8" w:themeColor="accent1"/>
                        </w:rPr>
                        <w:t>6</w:t>
                      </w:r>
                    </w:p>
                    <w:sdt>
                      <w:sdtPr>
                        <w:rPr>
                          <w:rStyle w:val="TitleChar"/>
                          <w:rFonts w:eastAsiaTheme="minorHAnsi"/>
                        </w:rPr>
                        <w:alias w:val="Title"/>
                        <w:id w:val="1317071641"/>
                        <w:placeholder>
                          <w:docPart w:val="CBF2872F561045818250E1F309D792AA"/>
                        </w:placeholder>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p w:rsidR="001F58E6" w:rsidRPr="00CC7238" w:rsidRDefault="001F58E6" w:rsidP="00CC7238">
                          <w:pPr>
                            <w:spacing w:before="720" w:after="360" w:line="240" w:lineRule="auto"/>
                            <w:rPr>
                              <w:rStyle w:val="SubtitleChar"/>
                              <w:rFonts w:eastAsiaTheme="minorHAnsi" w:cs="Arial"/>
                              <w:b/>
                              <w:bCs/>
                              <w:i w:val="0"/>
                              <w:color w:val="auto"/>
                              <w:kern w:val="28"/>
                              <w:sz w:val="60"/>
                              <w:szCs w:val="32"/>
                            </w:rPr>
                          </w:pPr>
                          <w:r>
                            <w:rPr>
                              <w:rStyle w:val="TitleChar"/>
                              <w:rFonts w:eastAsiaTheme="minorHAnsi"/>
                            </w:rPr>
                            <w:t>Board paper pack - part 3</w:t>
                          </w:r>
                        </w:p>
                      </w:sdtContent>
                    </w:sdt>
                    <w:bookmarkEnd w:id="2" w:displacedByCustomXml="prev"/>
                    <w:p w:rsidR="001F58E6" w:rsidRDefault="001F58E6" w:rsidP="00143F09">
                      <w:pPr>
                        <w:pStyle w:val="NoSpacing"/>
                      </w:pPr>
                    </w:p>
                    <w:sdt>
                      <w:sdtPr>
                        <w:alias w:val="Author"/>
                        <w:id w:val="1142005934"/>
                        <w:placeholder>
                          <w:docPart w:val="9BDF8AF1A94C424E8A8449383E7367BC"/>
                        </w:placeholder>
                        <w:dataBinding w:prefixMappings="xmlns:ns0='http://purl.org/dc/elements/1.1/' xmlns:ns1='http://schemas.openxmlformats.org/package/2006/metadata/core-properties' " w:xpath="/ns1:coreProperties[1]/ns0:creator[1]" w:storeItemID="{6C3C8BC8-F283-45AE-878A-BAB7291924A1}"/>
                        <w:text/>
                      </w:sdtPr>
                      <w:sdtEndPr/>
                      <w:sdtContent>
                        <w:p w:rsidR="001F58E6" w:rsidRDefault="001F58E6" w:rsidP="00CC7238">
                          <w:pPr>
                            <w:pStyle w:val="NoSpacing"/>
                            <w:spacing w:after="120"/>
                          </w:pPr>
                          <w:r>
                            <w:t>East Kent Hospitals University NHS Foundation Trust</w:t>
                          </w:r>
                        </w:p>
                      </w:sdtContent>
                    </w:sdt>
                    <w:p w:rsidR="001F58E6" w:rsidRDefault="001F58E6" w:rsidP="00143F09">
                      <w:pPr>
                        <w:pStyle w:val="NoSpacing"/>
                      </w:pPr>
                    </w:p>
                    <w:p w:rsidR="001F58E6" w:rsidRPr="004B37FA" w:rsidRDefault="001F58E6" w:rsidP="00CC7238">
                      <w:pPr>
                        <w:pStyle w:val="Calloutbox"/>
                        <w:shd w:val="clear" w:color="auto" w:fill="E8EDEE" w:themeFill="background2"/>
                      </w:pPr>
                      <w:r>
                        <w:t xml:space="preserve">If you have any queries about the readability of this document, or need any information in an alternative format, please contact </w:t>
                      </w:r>
                      <w:hyperlink r:id="rId9" w:history="1">
                        <w:r w:rsidRPr="003171AD">
                          <w:rPr>
                            <w:rStyle w:val="Hyperlink"/>
                          </w:rPr>
                          <w:t>ekh-tr.communications@nhs.net</w:t>
                        </w:r>
                      </w:hyperlink>
                      <w:r>
                        <w:t xml:space="preserve">. </w:t>
                      </w:r>
                    </w:p>
                  </w:txbxContent>
                </v:textbox>
                <w10:anchorlock/>
              </v:shape>
            </w:pict>
          </mc:Fallback>
        </mc:AlternateContent>
      </w:r>
    </w:p>
    <w:p w:rsidR="00E90FAD" w:rsidRDefault="00E90FAD">
      <w:pPr>
        <w:spacing w:after="0" w:line="240" w:lineRule="auto"/>
      </w:pPr>
      <w:r>
        <w:br w:type="page"/>
      </w:r>
    </w:p>
    <w:sdt>
      <w:sdtPr>
        <w:rPr>
          <w:rFonts w:eastAsia="Times New Roman" w:cs="Times New Roman"/>
          <w:b w:val="0"/>
          <w:sz w:val="24"/>
          <w:szCs w:val="22"/>
          <w:lang w:val="en-GB" w:eastAsia="en-GB"/>
        </w:rPr>
        <w:id w:val="-1973660631"/>
        <w:docPartObj>
          <w:docPartGallery w:val="Table of Contents"/>
          <w:docPartUnique/>
        </w:docPartObj>
      </w:sdtPr>
      <w:sdtEndPr>
        <w:rPr>
          <w:bCs/>
          <w:noProof/>
        </w:rPr>
      </w:sdtEndPr>
      <w:sdtContent>
        <w:p w:rsidR="00E90FAD" w:rsidRDefault="00E90FAD" w:rsidP="00E90FAD">
          <w:pPr>
            <w:pStyle w:val="TOCHeading"/>
            <w:ind w:right="538"/>
          </w:pPr>
          <w:r w:rsidRPr="00E90FAD">
            <w:t>Contents</w:t>
          </w:r>
        </w:p>
        <w:p w:rsidR="00C34415" w:rsidRPr="00C34415" w:rsidRDefault="00C34415" w:rsidP="00C34415">
          <w:pPr>
            <w:rPr>
              <w:lang w:val="en-US" w:eastAsia="en-US"/>
            </w:rPr>
          </w:pPr>
        </w:p>
        <w:p w:rsidR="007A317E" w:rsidRDefault="00E90FAD">
          <w:pPr>
            <w:pStyle w:val="TOC1"/>
            <w:tabs>
              <w:tab w:val="right" w:leader="dot" w:pos="9686"/>
            </w:tabs>
            <w:rPr>
              <w:rFonts w:asciiTheme="minorHAnsi" w:eastAsiaTheme="minorEastAsia" w:hAnsiTheme="minorHAnsi" w:cstheme="minorBidi"/>
              <w:noProof/>
              <w:sz w:val="22"/>
            </w:rPr>
          </w:pPr>
          <w:r>
            <w:fldChar w:fldCharType="begin"/>
          </w:r>
          <w:r>
            <w:instrText xml:space="preserve"> TOC \o "3-3" \h \z \t "Heading 1,1,Heading 2,2" </w:instrText>
          </w:r>
          <w:r>
            <w:fldChar w:fldCharType="separate"/>
          </w:r>
          <w:hyperlink w:anchor="_Toc221093373" w:history="1">
            <w:r w:rsidR="007A317E" w:rsidRPr="00957883">
              <w:rPr>
                <w:rStyle w:val="Hyperlink"/>
                <w:rFonts w:eastAsiaTheme="majorEastAsia"/>
                <w:noProof/>
              </w:rPr>
              <w:t>122.1 BOARD COMMITTEE ASSURANCE REPORT TO THE BOARD OF DIRECTORS (BoD)</w:t>
            </w:r>
            <w:r w:rsidR="007A317E">
              <w:rPr>
                <w:noProof/>
                <w:webHidden/>
              </w:rPr>
              <w:tab/>
            </w:r>
            <w:r w:rsidR="007A317E">
              <w:rPr>
                <w:noProof/>
                <w:webHidden/>
              </w:rPr>
              <w:fldChar w:fldCharType="begin"/>
            </w:r>
            <w:r w:rsidR="007A317E">
              <w:rPr>
                <w:noProof/>
                <w:webHidden/>
              </w:rPr>
              <w:instrText xml:space="preserve"> PAGEREF _Toc221093373 \h </w:instrText>
            </w:r>
            <w:r w:rsidR="007A317E">
              <w:rPr>
                <w:noProof/>
                <w:webHidden/>
              </w:rPr>
            </w:r>
            <w:r w:rsidR="007A317E">
              <w:rPr>
                <w:noProof/>
                <w:webHidden/>
              </w:rPr>
              <w:fldChar w:fldCharType="separate"/>
            </w:r>
            <w:r w:rsidR="007A317E">
              <w:rPr>
                <w:noProof/>
                <w:webHidden/>
              </w:rPr>
              <w:t>4</w:t>
            </w:r>
            <w:r w:rsidR="007A317E">
              <w:rPr>
                <w:noProof/>
                <w:webHidden/>
              </w:rPr>
              <w:fldChar w:fldCharType="end"/>
            </w:r>
          </w:hyperlink>
        </w:p>
        <w:p w:rsidR="007A317E" w:rsidRDefault="00866C29">
          <w:pPr>
            <w:pStyle w:val="TOC2"/>
            <w:rPr>
              <w:rFonts w:asciiTheme="minorHAnsi" w:eastAsiaTheme="minorEastAsia" w:hAnsiTheme="minorHAnsi" w:cstheme="minorBidi"/>
              <w:noProof/>
              <w:sz w:val="22"/>
            </w:rPr>
          </w:pPr>
          <w:hyperlink w:anchor="_Toc221093374" w:history="1">
            <w:r w:rsidR="007A317E" w:rsidRPr="00957883">
              <w:rPr>
                <w:rStyle w:val="Hyperlink"/>
                <w:rFonts w:eastAsiaTheme="majorEastAsia"/>
                <w:noProof/>
              </w:rPr>
              <w:t>Appendices:</w:t>
            </w:r>
            <w:r w:rsidR="007A317E">
              <w:rPr>
                <w:noProof/>
                <w:webHidden/>
              </w:rPr>
              <w:tab/>
            </w:r>
            <w:r w:rsidR="007A317E">
              <w:rPr>
                <w:noProof/>
                <w:webHidden/>
              </w:rPr>
              <w:fldChar w:fldCharType="begin"/>
            </w:r>
            <w:r w:rsidR="007A317E">
              <w:rPr>
                <w:noProof/>
                <w:webHidden/>
              </w:rPr>
              <w:instrText xml:space="preserve"> PAGEREF _Toc221093374 \h </w:instrText>
            </w:r>
            <w:r w:rsidR="007A317E">
              <w:rPr>
                <w:noProof/>
                <w:webHidden/>
              </w:rPr>
            </w:r>
            <w:r w:rsidR="007A317E">
              <w:rPr>
                <w:noProof/>
                <w:webHidden/>
              </w:rPr>
              <w:fldChar w:fldCharType="separate"/>
            </w:r>
            <w:r w:rsidR="007A317E">
              <w:rPr>
                <w:noProof/>
                <w:webHidden/>
              </w:rPr>
              <w:t>4</w:t>
            </w:r>
            <w:r w:rsidR="007A317E">
              <w:rPr>
                <w:noProof/>
                <w:webHidden/>
              </w:rPr>
              <w:fldChar w:fldCharType="end"/>
            </w:r>
          </w:hyperlink>
        </w:p>
        <w:p w:rsidR="007A317E" w:rsidRDefault="00866C29">
          <w:pPr>
            <w:pStyle w:val="TOC2"/>
            <w:rPr>
              <w:rFonts w:asciiTheme="minorHAnsi" w:eastAsiaTheme="minorEastAsia" w:hAnsiTheme="minorHAnsi" w:cstheme="minorBidi"/>
              <w:noProof/>
              <w:sz w:val="22"/>
            </w:rPr>
          </w:pPr>
          <w:hyperlink w:anchor="_Toc221093375" w:history="1">
            <w:r w:rsidR="007A317E" w:rsidRPr="00957883">
              <w:rPr>
                <w:rStyle w:val="Hyperlink"/>
                <w:rFonts w:eastAsiaTheme="majorEastAsia"/>
                <w:noProof/>
              </w:rPr>
              <w:t>Declarations of interest made:</w:t>
            </w:r>
            <w:r w:rsidR="007A317E">
              <w:rPr>
                <w:noProof/>
                <w:webHidden/>
              </w:rPr>
              <w:tab/>
            </w:r>
            <w:r w:rsidR="007A317E">
              <w:rPr>
                <w:noProof/>
                <w:webHidden/>
              </w:rPr>
              <w:fldChar w:fldCharType="begin"/>
            </w:r>
            <w:r w:rsidR="007A317E">
              <w:rPr>
                <w:noProof/>
                <w:webHidden/>
              </w:rPr>
              <w:instrText xml:space="preserve"> PAGEREF _Toc221093375 \h </w:instrText>
            </w:r>
            <w:r w:rsidR="007A317E">
              <w:rPr>
                <w:noProof/>
                <w:webHidden/>
              </w:rPr>
            </w:r>
            <w:r w:rsidR="007A317E">
              <w:rPr>
                <w:noProof/>
                <w:webHidden/>
              </w:rPr>
              <w:fldChar w:fldCharType="separate"/>
            </w:r>
            <w:r w:rsidR="007A317E">
              <w:rPr>
                <w:noProof/>
                <w:webHidden/>
              </w:rPr>
              <w:t>4</w:t>
            </w:r>
            <w:r w:rsidR="007A317E">
              <w:rPr>
                <w:noProof/>
                <w:webHidden/>
              </w:rPr>
              <w:fldChar w:fldCharType="end"/>
            </w:r>
          </w:hyperlink>
        </w:p>
        <w:p w:rsidR="007A317E" w:rsidRDefault="00866C29">
          <w:pPr>
            <w:pStyle w:val="TOC2"/>
            <w:rPr>
              <w:rFonts w:asciiTheme="minorHAnsi" w:eastAsiaTheme="minorEastAsia" w:hAnsiTheme="minorHAnsi" w:cstheme="minorBidi"/>
              <w:noProof/>
              <w:sz w:val="22"/>
            </w:rPr>
          </w:pPr>
          <w:hyperlink w:anchor="_Toc221093376" w:history="1">
            <w:r w:rsidR="007A317E" w:rsidRPr="00957883">
              <w:rPr>
                <w:rStyle w:val="Hyperlink"/>
                <w:rFonts w:eastAsiaTheme="majorEastAsia"/>
                <w:noProof/>
              </w:rPr>
              <w:t>Assurances received at the Committee meeting:</w:t>
            </w:r>
            <w:r w:rsidR="007A317E">
              <w:rPr>
                <w:noProof/>
                <w:webHidden/>
              </w:rPr>
              <w:tab/>
            </w:r>
            <w:r w:rsidR="007A317E">
              <w:rPr>
                <w:noProof/>
                <w:webHidden/>
              </w:rPr>
              <w:fldChar w:fldCharType="begin"/>
            </w:r>
            <w:r w:rsidR="007A317E">
              <w:rPr>
                <w:noProof/>
                <w:webHidden/>
              </w:rPr>
              <w:instrText xml:space="preserve"> PAGEREF _Toc221093376 \h </w:instrText>
            </w:r>
            <w:r w:rsidR="007A317E">
              <w:rPr>
                <w:noProof/>
                <w:webHidden/>
              </w:rPr>
            </w:r>
            <w:r w:rsidR="007A317E">
              <w:rPr>
                <w:noProof/>
                <w:webHidden/>
              </w:rPr>
              <w:fldChar w:fldCharType="separate"/>
            </w:r>
            <w:r w:rsidR="007A317E">
              <w:rPr>
                <w:noProof/>
                <w:webHidden/>
              </w:rPr>
              <w:t>4</w:t>
            </w:r>
            <w:r w:rsidR="007A317E">
              <w:rPr>
                <w:noProof/>
                <w:webHidden/>
              </w:rPr>
              <w:fldChar w:fldCharType="end"/>
            </w:r>
          </w:hyperlink>
        </w:p>
        <w:p w:rsidR="007A317E" w:rsidRDefault="00866C29">
          <w:pPr>
            <w:pStyle w:val="TOC2"/>
            <w:rPr>
              <w:rFonts w:asciiTheme="minorHAnsi" w:eastAsiaTheme="minorEastAsia" w:hAnsiTheme="minorHAnsi" w:cstheme="minorBidi"/>
              <w:noProof/>
              <w:sz w:val="22"/>
            </w:rPr>
          </w:pPr>
          <w:hyperlink w:anchor="_Toc221093377" w:history="1">
            <w:r w:rsidR="007A317E" w:rsidRPr="00957883">
              <w:rPr>
                <w:rStyle w:val="Hyperlink"/>
                <w:rFonts w:eastAsiaTheme="majorEastAsia"/>
                <w:noProof/>
              </w:rPr>
              <w:t>Other items of business</w:t>
            </w:r>
            <w:r w:rsidR="007A317E">
              <w:rPr>
                <w:noProof/>
                <w:webHidden/>
              </w:rPr>
              <w:tab/>
            </w:r>
            <w:r w:rsidR="007A317E">
              <w:rPr>
                <w:noProof/>
                <w:webHidden/>
              </w:rPr>
              <w:fldChar w:fldCharType="begin"/>
            </w:r>
            <w:r w:rsidR="007A317E">
              <w:rPr>
                <w:noProof/>
                <w:webHidden/>
              </w:rPr>
              <w:instrText xml:space="preserve"> PAGEREF _Toc221093377 \h </w:instrText>
            </w:r>
            <w:r w:rsidR="007A317E">
              <w:rPr>
                <w:noProof/>
                <w:webHidden/>
              </w:rPr>
            </w:r>
            <w:r w:rsidR="007A317E">
              <w:rPr>
                <w:noProof/>
                <w:webHidden/>
              </w:rPr>
              <w:fldChar w:fldCharType="separate"/>
            </w:r>
            <w:r w:rsidR="007A317E">
              <w:rPr>
                <w:noProof/>
                <w:webHidden/>
              </w:rPr>
              <w:t>7</w:t>
            </w:r>
            <w:r w:rsidR="007A317E">
              <w:rPr>
                <w:noProof/>
                <w:webHidden/>
              </w:rPr>
              <w:fldChar w:fldCharType="end"/>
            </w:r>
          </w:hyperlink>
        </w:p>
        <w:p w:rsidR="007A317E" w:rsidRDefault="00866C29">
          <w:pPr>
            <w:pStyle w:val="TOC2"/>
            <w:rPr>
              <w:rFonts w:asciiTheme="minorHAnsi" w:eastAsiaTheme="minorEastAsia" w:hAnsiTheme="minorHAnsi" w:cstheme="minorBidi"/>
              <w:noProof/>
              <w:sz w:val="22"/>
            </w:rPr>
          </w:pPr>
          <w:hyperlink w:anchor="_Toc221093378" w:history="1">
            <w:r w:rsidR="007A317E" w:rsidRPr="00957883">
              <w:rPr>
                <w:rStyle w:val="Hyperlink"/>
                <w:rFonts w:eastAsiaTheme="majorEastAsia"/>
                <w:noProof/>
              </w:rPr>
              <w:t>Items referred to the BoD or another Committee for approval, decision or action:</w:t>
            </w:r>
            <w:r w:rsidR="007A317E">
              <w:rPr>
                <w:noProof/>
                <w:webHidden/>
              </w:rPr>
              <w:tab/>
            </w:r>
            <w:r w:rsidR="007A317E">
              <w:rPr>
                <w:noProof/>
                <w:webHidden/>
              </w:rPr>
              <w:fldChar w:fldCharType="begin"/>
            </w:r>
            <w:r w:rsidR="007A317E">
              <w:rPr>
                <w:noProof/>
                <w:webHidden/>
              </w:rPr>
              <w:instrText xml:space="preserve"> PAGEREF _Toc221093378 \h </w:instrText>
            </w:r>
            <w:r w:rsidR="007A317E">
              <w:rPr>
                <w:noProof/>
                <w:webHidden/>
              </w:rPr>
            </w:r>
            <w:r w:rsidR="007A317E">
              <w:rPr>
                <w:noProof/>
                <w:webHidden/>
              </w:rPr>
              <w:fldChar w:fldCharType="separate"/>
            </w:r>
            <w:r w:rsidR="007A317E">
              <w:rPr>
                <w:noProof/>
                <w:webHidden/>
              </w:rPr>
              <w:t>7</w:t>
            </w:r>
            <w:r w:rsidR="007A317E">
              <w:rPr>
                <w:noProof/>
                <w:webHidden/>
              </w:rPr>
              <w:fldChar w:fldCharType="end"/>
            </w:r>
          </w:hyperlink>
        </w:p>
        <w:p w:rsidR="007A317E" w:rsidRDefault="00866C29">
          <w:pPr>
            <w:pStyle w:val="TOC1"/>
            <w:tabs>
              <w:tab w:val="right" w:leader="dot" w:pos="9686"/>
            </w:tabs>
            <w:rPr>
              <w:rFonts w:asciiTheme="minorHAnsi" w:eastAsiaTheme="minorEastAsia" w:hAnsiTheme="minorHAnsi" w:cstheme="minorBidi"/>
              <w:noProof/>
              <w:sz w:val="22"/>
            </w:rPr>
          </w:pPr>
          <w:hyperlink w:anchor="_Toc221093379" w:history="1">
            <w:r w:rsidR="007A317E" w:rsidRPr="00957883">
              <w:rPr>
                <w:rStyle w:val="Hyperlink"/>
                <w:rFonts w:eastAsiaTheme="majorEastAsia"/>
                <w:noProof/>
              </w:rPr>
              <w:t>122.2 BOARD COMMITTEE ASSURANCE REPORT TO THE BOARD OF DIRECTORS (BoD)</w:t>
            </w:r>
            <w:r w:rsidR="007A317E">
              <w:rPr>
                <w:noProof/>
                <w:webHidden/>
              </w:rPr>
              <w:tab/>
            </w:r>
            <w:r w:rsidR="007A317E">
              <w:rPr>
                <w:noProof/>
                <w:webHidden/>
              </w:rPr>
              <w:fldChar w:fldCharType="begin"/>
            </w:r>
            <w:r w:rsidR="007A317E">
              <w:rPr>
                <w:noProof/>
                <w:webHidden/>
              </w:rPr>
              <w:instrText xml:space="preserve"> PAGEREF _Toc221093379 \h </w:instrText>
            </w:r>
            <w:r w:rsidR="007A317E">
              <w:rPr>
                <w:noProof/>
                <w:webHidden/>
              </w:rPr>
            </w:r>
            <w:r w:rsidR="007A317E">
              <w:rPr>
                <w:noProof/>
                <w:webHidden/>
              </w:rPr>
              <w:fldChar w:fldCharType="separate"/>
            </w:r>
            <w:r w:rsidR="007A317E">
              <w:rPr>
                <w:noProof/>
                <w:webHidden/>
              </w:rPr>
              <w:t>8</w:t>
            </w:r>
            <w:r w:rsidR="007A317E">
              <w:rPr>
                <w:noProof/>
                <w:webHidden/>
              </w:rPr>
              <w:fldChar w:fldCharType="end"/>
            </w:r>
          </w:hyperlink>
        </w:p>
        <w:p w:rsidR="007A317E" w:rsidRDefault="00866C29">
          <w:pPr>
            <w:pStyle w:val="TOC2"/>
            <w:rPr>
              <w:rFonts w:asciiTheme="minorHAnsi" w:eastAsiaTheme="minorEastAsia" w:hAnsiTheme="minorHAnsi" w:cstheme="minorBidi"/>
              <w:noProof/>
              <w:sz w:val="22"/>
            </w:rPr>
          </w:pPr>
          <w:hyperlink w:anchor="_Toc221093380" w:history="1">
            <w:r w:rsidR="007A317E" w:rsidRPr="00957883">
              <w:rPr>
                <w:rStyle w:val="Hyperlink"/>
                <w:rFonts w:eastAsiaTheme="majorEastAsia" w:cs="Arial"/>
                <w:noProof/>
              </w:rPr>
              <w:t>Appendices:</w:t>
            </w:r>
            <w:r w:rsidR="007A317E">
              <w:rPr>
                <w:noProof/>
                <w:webHidden/>
              </w:rPr>
              <w:tab/>
            </w:r>
            <w:r w:rsidR="007A317E">
              <w:rPr>
                <w:noProof/>
                <w:webHidden/>
              </w:rPr>
              <w:fldChar w:fldCharType="begin"/>
            </w:r>
            <w:r w:rsidR="007A317E">
              <w:rPr>
                <w:noProof/>
                <w:webHidden/>
              </w:rPr>
              <w:instrText xml:space="preserve"> PAGEREF _Toc221093380 \h </w:instrText>
            </w:r>
            <w:r w:rsidR="007A317E">
              <w:rPr>
                <w:noProof/>
                <w:webHidden/>
              </w:rPr>
            </w:r>
            <w:r w:rsidR="007A317E">
              <w:rPr>
                <w:noProof/>
                <w:webHidden/>
              </w:rPr>
              <w:fldChar w:fldCharType="separate"/>
            </w:r>
            <w:r w:rsidR="007A317E">
              <w:rPr>
                <w:noProof/>
                <w:webHidden/>
              </w:rPr>
              <w:t>8</w:t>
            </w:r>
            <w:r w:rsidR="007A317E">
              <w:rPr>
                <w:noProof/>
                <w:webHidden/>
              </w:rPr>
              <w:fldChar w:fldCharType="end"/>
            </w:r>
          </w:hyperlink>
        </w:p>
        <w:p w:rsidR="007A317E" w:rsidRDefault="00866C29">
          <w:pPr>
            <w:pStyle w:val="TOC2"/>
            <w:rPr>
              <w:rFonts w:asciiTheme="minorHAnsi" w:eastAsiaTheme="minorEastAsia" w:hAnsiTheme="minorHAnsi" w:cstheme="minorBidi"/>
              <w:noProof/>
              <w:sz w:val="22"/>
            </w:rPr>
          </w:pPr>
          <w:hyperlink w:anchor="_Toc221093381" w:history="1">
            <w:r w:rsidR="007A317E" w:rsidRPr="00957883">
              <w:rPr>
                <w:rStyle w:val="Hyperlink"/>
                <w:rFonts w:eastAsiaTheme="majorEastAsia" w:cs="Arial"/>
                <w:noProof/>
              </w:rPr>
              <w:t>Declarations of interest made:</w:t>
            </w:r>
            <w:r w:rsidR="007A317E">
              <w:rPr>
                <w:noProof/>
                <w:webHidden/>
              </w:rPr>
              <w:tab/>
            </w:r>
            <w:r w:rsidR="007A317E">
              <w:rPr>
                <w:noProof/>
                <w:webHidden/>
              </w:rPr>
              <w:fldChar w:fldCharType="begin"/>
            </w:r>
            <w:r w:rsidR="007A317E">
              <w:rPr>
                <w:noProof/>
                <w:webHidden/>
              </w:rPr>
              <w:instrText xml:space="preserve"> PAGEREF _Toc221093381 \h </w:instrText>
            </w:r>
            <w:r w:rsidR="007A317E">
              <w:rPr>
                <w:noProof/>
                <w:webHidden/>
              </w:rPr>
            </w:r>
            <w:r w:rsidR="007A317E">
              <w:rPr>
                <w:noProof/>
                <w:webHidden/>
              </w:rPr>
              <w:fldChar w:fldCharType="separate"/>
            </w:r>
            <w:r w:rsidR="007A317E">
              <w:rPr>
                <w:noProof/>
                <w:webHidden/>
              </w:rPr>
              <w:t>8</w:t>
            </w:r>
            <w:r w:rsidR="007A317E">
              <w:rPr>
                <w:noProof/>
                <w:webHidden/>
              </w:rPr>
              <w:fldChar w:fldCharType="end"/>
            </w:r>
          </w:hyperlink>
        </w:p>
        <w:p w:rsidR="007A317E" w:rsidRDefault="00866C29">
          <w:pPr>
            <w:pStyle w:val="TOC2"/>
            <w:rPr>
              <w:rFonts w:asciiTheme="minorHAnsi" w:eastAsiaTheme="minorEastAsia" w:hAnsiTheme="minorHAnsi" w:cstheme="minorBidi"/>
              <w:noProof/>
              <w:sz w:val="22"/>
            </w:rPr>
          </w:pPr>
          <w:hyperlink w:anchor="_Toc221093382" w:history="1">
            <w:r w:rsidR="007A317E" w:rsidRPr="00957883">
              <w:rPr>
                <w:rStyle w:val="Hyperlink"/>
                <w:rFonts w:eastAsiaTheme="majorEastAsia" w:cs="Arial"/>
                <w:noProof/>
              </w:rPr>
              <w:t>Assurances received at the Committee meeting - focus on learning and improvement:</w:t>
            </w:r>
            <w:r w:rsidR="007A317E">
              <w:rPr>
                <w:noProof/>
                <w:webHidden/>
              </w:rPr>
              <w:tab/>
            </w:r>
            <w:r w:rsidR="007A317E">
              <w:rPr>
                <w:noProof/>
                <w:webHidden/>
              </w:rPr>
              <w:fldChar w:fldCharType="begin"/>
            </w:r>
            <w:r w:rsidR="007A317E">
              <w:rPr>
                <w:noProof/>
                <w:webHidden/>
              </w:rPr>
              <w:instrText xml:space="preserve"> PAGEREF _Toc221093382 \h </w:instrText>
            </w:r>
            <w:r w:rsidR="007A317E">
              <w:rPr>
                <w:noProof/>
                <w:webHidden/>
              </w:rPr>
            </w:r>
            <w:r w:rsidR="007A317E">
              <w:rPr>
                <w:noProof/>
                <w:webHidden/>
              </w:rPr>
              <w:fldChar w:fldCharType="separate"/>
            </w:r>
            <w:r w:rsidR="007A317E">
              <w:rPr>
                <w:noProof/>
                <w:webHidden/>
              </w:rPr>
              <w:t>8</w:t>
            </w:r>
            <w:r w:rsidR="007A317E">
              <w:rPr>
                <w:noProof/>
                <w:webHidden/>
              </w:rPr>
              <w:fldChar w:fldCharType="end"/>
            </w:r>
          </w:hyperlink>
        </w:p>
        <w:p w:rsidR="007A317E" w:rsidRDefault="00866C29">
          <w:pPr>
            <w:pStyle w:val="TOC2"/>
            <w:rPr>
              <w:rFonts w:asciiTheme="minorHAnsi" w:eastAsiaTheme="minorEastAsia" w:hAnsiTheme="minorHAnsi" w:cstheme="minorBidi"/>
              <w:noProof/>
              <w:sz w:val="22"/>
            </w:rPr>
          </w:pPr>
          <w:hyperlink w:anchor="_Toc221093383" w:history="1">
            <w:r w:rsidR="007A317E" w:rsidRPr="00957883">
              <w:rPr>
                <w:rStyle w:val="Hyperlink"/>
                <w:rFonts w:eastAsiaTheme="majorEastAsia"/>
                <w:noProof/>
              </w:rPr>
              <w:t>Referrals from other Board Committees: None</w:t>
            </w:r>
            <w:r w:rsidR="007A317E">
              <w:rPr>
                <w:noProof/>
                <w:webHidden/>
              </w:rPr>
              <w:tab/>
            </w:r>
            <w:r w:rsidR="007A317E">
              <w:rPr>
                <w:noProof/>
                <w:webHidden/>
              </w:rPr>
              <w:fldChar w:fldCharType="begin"/>
            </w:r>
            <w:r w:rsidR="007A317E">
              <w:rPr>
                <w:noProof/>
                <w:webHidden/>
              </w:rPr>
              <w:instrText xml:space="preserve"> PAGEREF _Toc221093383 \h </w:instrText>
            </w:r>
            <w:r w:rsidR="007A317E">
              <w:rPr>
                <w:noProof/>
                <w:webHidden/>
              </w:rPr>
            </w:r>
            <w:r w:rsidR="007A317E">
              <w:rPr>
                <w:noProof/>
                <w:webHidden/>
              </w:rPr>
              <w:fldChar w:fldCharType="separate"/>
            </w:r>
            <w:r w:rsidR="007A317E">
              <w:rPr>
                <w:noProof/>
                <w:webHidden/>
              </w:rPr>
              <w:t>13</w:t>
            </w:r>
            <w:r w:rsidR="007A317E">
              <w:rPr>
                <w:noProof/>
                <w:webHidden/>
              </w:rPr>
              <w:fldChar w:fldCharType="end"/>
            </w:r>
          </w:hyperlink>
        </w:p>
        <w:p w:rsidR="007A317E" w:rsidRDefault="00866C29">
          <w:pPr>
            <w:pStyle w:val="TOC2"/>
            <w:rPr>
              <w:rFonts w:asciiTheme="minorHAnsi" w:eastAsiaTheme="minorEastAsia" w:hAnsiTheme="minorHAnsi" w:cstheme="minorBidi"/>
              <w:noProof/>
              <w:sz w:val="22"/>
            </w:rPr>
          </w:pPr>
          <w:hyperlink w:anchor="_Toc221093384" w:history="1">
            <w:r w:rsidR="007A317E" w:rsidRPr="00957883">
              <w:rPr>
                <w:rStyle w:val="Hyperlink"/>
                <w:rFonts w:eastAsiaTheme="majorEastAsia"/>
                <w:noProof/>
              </w:rPr>
              <w:t>Items referred to the BoD or another Committee for approval, decision or action:</w:t>
            </w:r>
            <w:r w:rsidR="007A317E">
              <w:rPr>
                <w:noProof/>
                <w:webHidden/>
              </w:rPr>
              <w:tab/>
            </w:r>
            <w:r w:rsidR="007A317E">
              <w:rPr>
                <w:noProof/>
                <w:webHidden/>
              </w:rPr>
              <w:fldChar w:fldCharType="begin"/>
            </w:r>
            <w:r w:rsidR="007A317E">
              <w:rPr>
                <w:noProof/>
                <w:webHidden/>
              </w:rPr>
              <w:instrText xml:space="preserve"> PAGEREF _Toc221093384 \h </w:instrText>
            </w:r>
            <w:r w:rsidR="007A317E">
              <w:rPr>
                <w:noProof/>
                <w:webHidden/>
              </w:rPr>
            </w:r>
            <w:r w:rsidR="007A317E">
              <w:rPr>
                <w:noProof/>
                <w:webHidden/>
              </w:rPr>
              <w:fldChar w:fldCharType="separate"/>
            </w:r>
            <w:r w:rsidR="007A317E">
              <w:rPr>
                <w:noProof/>
                <w:webHidden/>
              </w:rPr>
              <w:t>13</w:t>
            </w:r>
            <w:r w:rsidR="007A317E">
              <w:rPr>
                <w:noProof/>
                <w:webHidden/>
              </w:rPr>
              <w:fldChar w:fldCharType="end"/>
            </w:r>
          </w:hyperlink>
        </w:p>
        <w:p w:rsidR="007A317E" w:rsidRDefault="00866C29">
          <w:pPr>
            <w:pStyle w:val="TOC1"/>
            <w:tabs>
              <w:tab w:val="right" w:leader="dot" w:pos="9686"/>
            </w:tabs>
            <w:rPr>
              <w:rFonts w:asciiTheme="minorHAnsi" w:eastAsiaTheme="minorEastAsia" w:hAnsiTheme="minorHAnsi" w:cstheme="minorBidi"/>
              <w:noProof/>
              <w:sz w:val="22"/>
            </w:rPr>
          </w:pPr>
          <w:hyperlink w:anchor="_Toc221093385" w:history="1">
            <w:r w:rsidR="007A317E" w:rsidRPr="00957883">
              <w:rPr>
                <w:rStyle w:val="Hyperlink"/>
                <w:rFonts w:eastAsiaTheme="majorEastAsia"/>
                <w:noProof/>
              </w:rPr>
              <w:t>122.3 BOARD COMMITTEE ASSURANCE REPORT TO THE BOARD OF DIRECTORS (BoD)</w:t>
            </w:r>
            <w:r w:rsidR="007A317E">
              <w:rPr>
                <w:noProof/>
                <w:webHidden/>
              </w:rPr>
              <w:tab/>
            </w:r>
            <w:r w:rsidR="007A317E">
              <w:rPr>
                <w:noProof/>
                <w:webHidden/>
              </w:rPr>
              <w:fldChar w:fldCharType="begin"/>
            </w:r>
            <w:r w:rsidR="007A317E">
              <w:rPr>
                <w:noProof/>
                <w:webHidden/>
              </w:rPr>
              <w:instrText xml:space="preserve"> PAGEREF _Toc221093385 \h </w:instrText>
            </w:r>
            <w:r w:rsidR="007A317E">
              <w:rPr>
                <w:noProof/>
                <w:webHidden/>
              </w:rPr>
            </w:r>
            <w:r w:rsidR="007A317E">
              <w:rPr>
                <w:noProof/>
                <w:webHidden/>
              </w:rPr>
              <w:fldChar w:fldCharType="separate"/>
            </w:r>
            <w:r w:rsidR="007A317E">
              <w:rPr>
                <w:noProof/>
                <w:webHidden/>
              </w:rPr>
              <w:t>14</w:t>
            </w:r>
            <w:r w:rsidR="007A317E">
              <w:rPr>
                <w:noProof/>
                <w:webHidden/>
              </w:rPr>
              <w:fldChar w:fldCharType="end"/>
            </w:r>
          </w:hyperlink>
        </w:p>
        <w:p w:rsidR="007A317E" w:rsidRDefault="00866C29">
          <w:pPr>
            <w:pStyle w:val="TOC2"/>
            <w:rPr>
              <w:rFonts w:asciiTheme="minorHAnsi" w:eastAsiaTheme="minorEastAsia" w:hAnsiTheme="minorHAnsi" w:cstheme="minorBidi"/>
              <w:noProof/>
              <w:sz w:val="22"/>
            </w:rPr>
          </w:pPr>
          <w:hyperlink w:anchor="_Toc221093386" w:history="1">
            <w:r w:rsidR="007A317E" w:rsidRPr="00957883">
              <w:rPr>
                <w:rStyle w:val="Hyperlink"/>
                <w:rFonts w:eastAsiaTheme="majorEastAsia" w:cs="Arial"/>
                <w:noProof/>
              </w:rPr>
              <w:t>Appendices:  None</w:t>
            </w:r>
            <w:r w:rsidR="007A317E">
              <w:rPr>
                <w:noProof/>
                <w:webHidden/>
              </w:rPr>
              <w:tab/>
            </w:r>
            <w:r w:rsidR="007A317E">
              <w:rPr>
                <w:noProof/>
                <w:webHidden/>
              </w:rPr>
              <w:fldChar w:fldCharType="begin"/>
            </w:r>
            <w:r w:rsidR="007A317E">
              <w:rPr>
                <w:noProof/>
                <w:webHidden/>
              </w:rPr>
              <w:instrText xml:space="preserve"> PAGEREF _Toc221093386 \h </w:instrText>
            </w:r>
            <w:r w:rsidR="007A317E">
              <w:rPr>
                <w:noProof/>
                <w:webHidden/>
              </w:rPr>
            </w:r>
            <w:r w:rsidR="007A317E">
              <w:rPr>
                <w:noProof/>
                <w:webHidden/>
              </w:rPr>
              <w:fldChar w:fldCharType="separate"/>
            </w:r>
            <w:r w:rsidR="007A317E">
              <w:rPr>
                <w:noProof/>
                <w:webHidden/>
              </w:rPr>
              <w:t>14</w:t>
            </w:r>
            <w:r w:rsidR="007A317E">
              <w:rPr>
                <w:noProof/>
                <w:webHidden/>
              </w:rPr>
              <w:fldChar w:fldCharType="end"/>
            </w:r>
          </w:hyperlink>
        </w:p>
        <w:p w:rsidR="007A317E" w:rsidRDefault="00866C29">
          <w:pPr>
            <w:pStyle w:val="TOC2"/>
            <w:rPr>
              <w:rFonts w:asciiTheme="minorHAnsi" w:eastAsiaTheme="minorEastAsia" w:hAnsiTheme="minorHAnsi" w:cstheme="minorBidi"/>
              <w:noProof/>
              <w:sz w:val="22"/>
            </w:rPr>
          </w:pPr>
          <w:hyperlink w:anchor="_Toc221093387" w:history="1">
            <w:r w:rsidR="007A317E" w:rsidRPr="00957883">
              <w:rPr>
                <w:rStyle w:val="Hyperlink"/>
                <w:rFonts w:eastAsiaTheme="majorEastAsia" w:cs="Arial"/>
                <w:noProof/>
              </w:rPr>
              <w:t>Declarations of interest made:</w:t>
            </w:r>
            <w:r w:rsidR="007A317E">
              <w:rPr>
                <w:noProof/>
                <w:webHidden/>
              </w:rPr>
              <w:tab/>
            </w:r>
            <w:r w:rsidR="007A317E">
              <w:rPr>
                <w:noProof/>
                <w:webHidden/>
              </w:rPr>
              <w:fldChar w:fldCharType="begin"/>
            </w:r>
            <w:r w:rsidR="007A317E">
              <w:rPr>
                <w:noProof/>
                <w:webHidden/>
              </w:rPr>
              <w:instrText xml:space="preserve"> PAGEREF _Toc221093387 \h </w:instrText>
            </w:r>
            <w:r w:rsidR="007A317E">
              <w:rPr>
                <w:noProof/>
                <w:webHidden/>
              </w:rPr>
            </w:r>
            <w:r w:rsidR="007A317E">
              <w:rPr>
                <w:noProof/>
                <w:webHidden/>
              </w:rPr>
              <w:fldChar w:fldCharType="separate"/>
            </w:r>
            <w:r w:rsidR="007A317E">
              <w:rPr>
                <w:noProof/>
                <w:webHidden/>
              </w:rPr>
              <w:t>14</w:t>
            </w:r>
            <w:r w:rsidR="007A317E">
              <w:rPr>
                <w:noProof/>
                <w:webHidden/>
              </w:rPr>
              <w:fldChar w:fldCharType="end"/>
            </w:r>
          </w:hyperlink>
        </w:p>
        <w:p w:rsidR="007A317E" w:rsidRDefault="00866C29">
          <w:pPr>
            <w:pStyle w:val="TOC2"/>
            <w:rPr>
              <w:rFonts w:asciiTheme="minorHAnsi" w:eastAsiaTheme="minorEastAsia" w:hAnsiTheme="minorHAnsi" w:cstheme="minorBidi"/>
              <w:noProof/>
              <w:sz w:val="22"/>
            </w:rPr>
          </w:pPr>
          <w:hyperlink w:anchor="_Toc221093388" w:history="1">
            <w:r w:rsidR="007A317E" w:rsidRPr="00957883">
              <w:rPr>
                <w:rStyle w:val="Hyperlink"/>
                <w:rFonts w:eastAsiaTheme="majorEastAsia" w:cs="Arial"/>
                <w:noProof/>
              </w:rPr>
              <w:t>Assurances received at the Committee meeting:</w:t>
            </w:r>
            <w:r w:rsidR="007A317E">
              <w:rPr>
                <w:noProof/>
                <w:webHidden/>
              </w:rPr>
              <w:tab/>
            </w:r>
            <w:r w:rsidR="007A317E">
              <w:rPr>
                <w:noProof/>
                <w:webHidden/>
              </w:rPr>
              <w:fldChar w:fldCharType="begin"/>
            </w:r>
            <w:r w:rsidR="007A317E">
              <w:rPr>
                <w:noProof/>
                <w:webHidden/>
              </w:rPr>
              <w:instrText xml:space="preserve"> PAGEREF _Toc221093388 \h </w:instrText>
            </w:r>
            <w:r w:rsidR="007A317E">
              <w:rPr>
                <w:noProof/>
                <w:webHidden/>
              </w:rPr>
            </w:r>
            <w:r w:rsidR="007A317E">
              <w:rPr>
                <w:noProof/>
                <w:webHidden/>
              </w:rPr>
              <w:fldChar w:fldCharType="separate"/>
            </w:r>
            <w:r w:rsidR="007A317E">
              <w:rPr>
                <w:noProof/>
                <w:webHidden/>
              </w:rPr>
              <w:t>14</w:t>
            </w:r>
            <w:r w:rsidR="007A317E">
              <w:rPr>
                <w:noProof/>
                <w:webHidden/>
              </w:rPr>
              <w:fldChar w:fldCharType="end"/>
            </w:r>
          </w:hyperlink>
        </w:p>
        <w:p w:rsidR="007A317E" w:rsidRDefault="00866C29">
          <w:pPr>
            <w:pStyle w:val="TOC2"/>
            <w:rPr>
              <w:rFonts w:asciiTheme="minorHAnsi" w:eastAsiaTheme="minorEastAsia" w:hAnsiTheme="minorHAnsi" w:cstheme="minorBidi"/>
              <w:noProof/>
              <w:sz w:val="22"/>
            </w:rPr>
          </w:pPr>
          <w:hyperlink w:anchor="_Toc221093389" w:history="1">
            <w:r w:rsidR="007A317E" w:rsidRPr="00957883">
              <w:rPr>
                <w:rStyle w:val="Hyperlink"/>
                <w:rFonts w:eastAsiaTheme="majorEastAsia"/>
                <w:noProof/>
              </w:rPr>
              <w:t>Items referred to the BoD or another Committee for approval, decision or action:</w:t>
            </w:r>
            <w:r w:rsidR="007A317E">
              <w:rPr>
                <w:noProof/>
                <w:webHidden/>
              </w:rPr>
              <w:tab/>
            </w:r>
            <w:r w:rsidR="007A317E">
              <w:rPr>
                <w:noProof/>
                <w:webHidden/>
              </w:rPr>
              <w:fldChar w:fldCharType="begin"/>
            </w:r>
            <w:r w:rsidR="007A317E">
              <w:rPr>
                <w:noProof/>
                <w:webHidden/>
              </w:rPr>
              <w:instrText xml:space="preserve"> PAGEREF _Toc221093389 \h </w:instrText>
            </w:r>
            <w:r w:rsidR="007A317E">
              <w:rPr>
                <w:noProof/>
                <w:webHidden/>
              </w:rPr>
            </w:r>
            <w:r w:rsidR="007A317E">
              <w:rPr>
                <w:noProof/>
                <w:webHidden/>
              </w:rPr>
              <w:fldChar w:fldCharType="separate"/>
            </w:r>
            <w:r w:rsidR="007A317E">
              <w:rPr>
                <w:noProof/>
                <w:webHidden/>
              </w:rPr>
              <w:t>18</w:t>
            </w:r>
            <w:r w:rsidR="007A317E">
              <w:rPr>
                <w:noProof/>
                <w:webHidden/>
              </w:rPr>
              <w:fldChar w:fldCharType="end"/>
            </w:r>
          </w:hyperlink>
        </w:p>
        <w:p w:rsidR="007A317E" w:rsidRDefault="00866C29">
          <w:pPr>
            <w:pStyle w:val="TOC1"/>
            <w:tabs>
              <w:tab w:val="right" w:leader="dot" w:pos="9686"/>
            </w:tabs>
            <w:rPr>
              <w:rFonts w:asciiTheme="minorHAnsi" w:eastAsiaTheme="minorEastAsia" w:hAnsiTheme="minorHAnsi" w:cstheme="minorBidi"/>
              <w:noProof/>
              <w:sz w:val="22"/>
            </w:rPr>
          </w:pPr>
          <w:hyperlink w:anchor="_Toc221093390" w:history="1">
            <w:r w:rsidR="007A317E" w:rsidRPr="00957883">
              <w:rPr>
                <w:rStyle w:val="Hyperlink"/>
                <w:rFonts w:eastAsiaTheme="majorEastAsia"/>
                <w:noProof/>
              </w:rPr>
              <w:t>122.4 BOARD COMMITTEE ASSURANCE REPORT TO THE BOARD OF DIRECTORS (BoD)</w:t>
            </w:r>
            <w:r w:rsidR="007A317E">
              <w:rPr>
                <w:noProof/>
                <w:webHidden/>
              </w:rPr>
              <w:tab/>
            </w:r>
            <w:r w:rsidR="007A317E">
              <w:rPr>
                <w:noProof/>
                <w:webHidden/>
              </w:rPr>
              <w:fldChar w:fldCharType="begin"/>
            </w:r>
            <w:r w:rsidR="007A317E">
              <w:rPr>
                <w:noProof/>
                <w:webHidden/>
              </w:rPr>
              <w:instrText xml:space="preserve"> PAGEREF _Toc221093390 \h </w:instrText>
            </w:r>
            <w:r w:rsidR="007A317E">
              <w:rPr>
                <w:noProof/>
                <w:webHidden/>
              </w:rPr>
            </w:r>
            <w:r w:rsidR="007A317E">
              <w:rPr>
                <w:noProof/>
                <w:webHidden/>
              </w:rPr>
              <w:fldChar w:fldCharType="separate"/>
            </w:r>
            <w:r w:rsidR="007A317E">
              <w:rPr>
                <w:noProof/>
                <w:webHidden/>
              </w:rPr>
              <w:t>19</w:t>
            </w:r>
            <w:r w:rsidR="007A317E">
              <w:rPr>
                <w:noProof/>
                <w:webHidden/>
              </w:rPr>
              <w:fldChar w:fldCharType="end"/>
            </w:r>
          </w:hyperlink>
        </w:p>
        <w:p w:rsidR="007A317E" w:rsidRDefault="00866C29">
          <w:pPr>
            <w:pStyle w:val="TOC2"/>
            <w:rPr>
              <w:rFonts w:asciiTheme="minorHAnsi" w:eastAsiaTheme="minorEastAsia" w:hAnsiTheme="minorHAnsi" w:cstheme="minorBidi"/>
              <w:noProof/>
              <w:sz w:val="22"/>
            </w:rPr>
          </w:pPr>
          <w:hyperlink w:anchor="_Toc221093391" w:history="1">
            <w:r w:rsidR="007A317E" w:rsidRPr="00957883">
              <w:rPr>
                <w:rStyle w:val="Hyperlink"/>
                <w:rFonts w:eastAsiaTheme="majorEastAsia"/>
                <w:noProof/>
              </w:rPr>
              <w:t>Appendices: none</w:t>
            </w:r>
            <w:r w:rsidR="007A317E">
              <w:rPr>
                <w:noProof/>
                <w:webHidden/>
              </w:rPr>
              <w:tab/>
            </w:r>
            <w:r w:rsidR="007A317E">
              <w:rPr>
                <w:noProof/>
                <w:webHidden/>
              </w:rPr>
              <w:fldChar w:fldCharType="begin"/>
            </w:r>
            <w:r w:rsidR="007A317E">
              <w:rPr>
                <w:noProof/>
                <w:webHidden/>
              </w:rPr>
              <w:instrText xml:space="preserve"> PAGEREF _Toc221093391 \h </w:instrText>
            </w:r>
            <w:r w:rsidR="007A317E">
              <w:rPr>
                <w:noProof/>
                <w:webHidden/>
              </w:rPr>
            </w:r>
            <w:r w:rsidR="007A317E">
              <w:rPr>
                <w:noProof/>
                <w:webHidden/>
              </w:rPr>
              <w:fldChar w:fldCharType="separate"/>
            </w:r>
            <w:r w:rsidR="007A317E">
              <w:rPr>
                <w:noProof/>
                <w:webHidden/>
              </w:rPr>
              <w:t>19</w:t>
            </w:r>
            <w:r w:rsidR="007A317E">
              <w:rPr>
                <w:noProof/>
                <w:webHidden/>
              </w:rPr>
              <w:fldChar w:fldCharType="end"/>
            </w:r>
          </w:hyperlink>
        </w:p>
        <w:p w:rsidR="007A317E" w:rsidRDefault="00866C29">
          <w:pPr>
            <w:pStyle w:val="TOC2"/>
            <w:rPr>
              <w:rFonts w:asciiTheme="minorHAnsi" w:eastAsiaTheme="minorEastAsia" w:hAnsiTheme="minorHAnsi" w:cstheme="minorBidi"/>
              <w:noProof/>
              <w:sz w:val="22"/>
            </w:rPr>
          </w:pPr>
          <w:hyperlink w:anchor="_Toc221093392" w:history="1">
            <w:r w:rsidR="007A317E" w:rsidRPr="00957883">
              <w:rPr>
                <w:rStyle w:val="Hyperlink"/>
                <w:rFonts w:eastAsiaTheme="majorEastAsia"/>
                <w:noProof/>
              </w:rPr>
              <w:t>Declarations of interest made: none</w:t>
            </w:r>
            <w:r w:rsidR="007A317E">
              <w:rPr>
                <w:noProof/>
                <w:webHidden/>
              </w:rPr>
              <w:tab/>
            </w:r>
            <w:r w:rsidR="007A317E">
              <w:rPr>
                <w:noProof/>
                <w:webHidden/>
              </w:rPr>
              <w:fldChar w:fldCharType="begin"/>
            </w:r>
            <w:r w:rsidR="007A317E">
              <w:rPr>
                <w:noProof/>
                <w:webHidden/>
              </w:rPr>
              <w:instrText xml:space="preserve"> PAGEREF _Toc221093392 \h </w:instrText>
            </w:r>
            <w:r w:rsidR="007A317E">
              <w:rPr>
                <w:noProof/>
                <w:webHidden/>
              </w:rPr>
            </w:r>
            <w:r w:rsidR="007A317E">
              <w:rPr>
                <w:noProof/>
                <w:webHidden/>
              </w:rPr>
              <w:fldChar w:fldCharType="separate"/>
            </w:r>
            <w:r w:rsidR="007A317E">
              <w:rPr>
                <w:noProof/>
                <w:webHidden/>
              </w:rPr>
              <w:t>19</w:t>
            </w:r>
            <w:r w:rsidR="007A317E">
              <w:rPr>
                <w:noProof/>
                <w:webHidden/>
              </w:rPr>
              <w:fldChar w:fldCharType="end"/>
            </w:r>
          </w:hyperlink>
        </w:p>
        <w:p w:rsidR="007A317E" w:rsidRDefault="00866C29">
          <w:pPr>
            <w:pStyle w:val="TOC2"/>
            <w:rPr>
              <w:rFonts w:asciiTheme="minorHAnsi" w:eastAsiaTheme="minorEastAsia" w:hAnsiTheme="minorHAnsi" w:cstheme="minorBidi"/>
              <w:noProof/>
              <w:sz w:val="22"/>
            </w:rPr>
          </w:pPr>
          <w:hyperlink w:anchor="_Toc221093393" w:history="1">
            <w:r w:rsidR="007A317E" w:rsidRPr="00957883">
              <w:rPr>
                <w:rStyle w:val="Hyperlink"/>
                <w:rFonts w:eastAsiaTheme="majorEastAsia"/>
                <w:noProof/>
              </w:rPr>
              <w:t>Assurances received at the Committee meeting: see below</w:t>
            </w:r>
            <w:r w:rsidR="007A317E">
              <w:rPr>
                <w:noProof/>
                <w:webHidden/>
              </w:rPr>
              <w:tab/>
            </w:r>
            <w:r w:rsidR="007A317E">
              <w:rPr>
                <w:noProof/>
                <w:webHidden/>
              </w:rPr>
              <w:fldChar w:fldCharType="begin"/>
            </w:r>
            <w:r w:rsidR="007A317E">
              <w:rPr>
                <w:noProof/>
                <w:webHidden/>
              </w:rPr>
              <w:instrText xml:space="preserve"> PAGEREF _Toc221093393 \h </w:instrText>
            </w:r>
            <w:r w:rsidR="007A317E">
              <w:rPr>
                <w:noProof/>
                <w:webHidden/>
              </w:rPr>
            </w:r>
            <w:r w:rsidR="007A317E">
              <w:rPr>
                <w:noProof/>
                <w:webHidden/>
              </w:rPr>
              <w:fldChar w:fldCharType="separate"/>
            </w:r>
            <w:r w:rsidR="007A317E">
              <w:rPr>
                <w:noProof/>
                <w:webHidden/>
              </w:rPr>
              <w:t>19</w:t>
            </w:r>
            <w:r w:rsidR="007A317E">
              <w:rPr>
                <w:noProof/>
                <w:webHidden/>
              </w:rPr>
              <w:fldChar w:fldCharType="end"/>
            </w:r>
          </w:hyperlink>
        </w:p>
        <w:p w:rsidR="007A317E" w:rsidRDefault="00866C29">
          <w:pPr>
            <w:pStyle w:val="TOC2"/>
            <w:rPr>
              <w:rFonts w:asciiTheme="minorHAnsi" w:eastAsiaTheme="minorEastAsia" w:hAnsiTheme="minorHAnsi" w:cstheme="minorBidi"/>
              <w:noProof/>
              <w:sz w:val="22"/>
            </w:rPr>
          </w:pPr>
          <w:hyperlink w:anchor="_Toc221093394" w:history="1">
            <w:r w:rsidR="007A317E" w:rsidRPr="00957883">
              <w:rPr>
                <w:rStyle w:val="Hyperlink"/>
                <w:rFonts w:eastAsiaTheme="majorEastAsia"/>
                <w:noProof/>
              </w:rPr>
              <w:t>Other items of business: none</w:t>
            </w:r>
            <w:r w:rsidR="007A317E">
              <w:rPr>
                <w:noProof/>
                <w:webHidden/>
              </w:rPr>
              <w:tab/>
            </w:r>
            <w:r w:rsidR="007A317E">
              <w:rPr>
                <w:noProof/>
                <w:webHidden/>
              </w:rPr>
              <w:fldChar w:fldCharType="begin"/>
            </w:r>
            <w:r w:rsidR="007A317E">
              <w:rPr>
                <w:noProof/>
                <w:webHidden/>
              </w:rPr>
              <w:instrText xml:space="preserve"> PAGEREF _Toc221093394 \h </w:instrText>
            </w:r>
            <w:r w:rsidR="007A317E">
              <w:rPr>
                <w:noProof/>
                <w:webHidden/>
              </w:rPr>
            </w:r>
            <w:r w:rsidR="007A317E">
              <w:rPr>
                <w:noProof/>
                <w:webHidden/>
              </w:rPr>
              <w:fldChar w:fldCharType="separate"/>
            </w:r>
            <w:r w:rsidR="007A317E">
              <w:rPr>
                <w:noProof/>
                <w:webHidden/>
              </w:rPr>
              <w:t>22</w:t>
            </w:r>
            <w:r w:rsidR="007A317E">
              <w:rPr>
                <w:noProof/>
                <w:webHidden/>
              </w:rPr>
              <w:fldChar w:fldCharType="end"/>
            </w:r>
          </w:hyperlink>
        </w:p>
        <w:p w:rsidR="007A317E" w:rsidRDefault="00866C29">
          <w:pPr>
            <w:pStyle w:val="TOC2"/>
            <w:rPr>
              <w:rFonts w:asciiTheme="minorHAnsi" w:eastAsiaTheme="minorEastAsia" w:hAnsiTheme="minorHAnsi" w:cstheme="minorBidi"/>
              <w:noProof/>
              <w:sz w:val="22"/>
            </w:rPr>
          </w:pPr>
          <w:hyperlink w:anchor="_Toc221093395" w:history="1">
            <w:r w:rsidR="007A317E" w:rsidRPr="00957883">
              <w:rPr>
                <w:rStyle w:val="Hyperlink"/>
                <w:rFonts w:eastAsiaTheme="majorEastAsia"/>
                <w:noProof/>
              </w:rPr>
              <w:t>Actions taken by the Committee within its Terms of Reference: none</w:t>
            </w:r>
            <w:r w:rsidR="007A317E">
              <w:rPr>
                <w:noProof/>
                <w:webHidden/>
              </w:rPr>
              <w:tab/>
            </w:r>
            <w:r w:rsidR="007A317E">
              <w:rPr>
                <w:noProof/>
                <w:webHidden/>
              </w:rPr>
              <w:fldChar w:fldCharType="begin"/>
            </w:r>
            <w:r w:rsidR="007A317E">
              <w:rPr>
                <w:noProof/>
                <w:webHidden/>
              </w:rPr>
              <w:instrText xml:space="preserve"> PAGEREF _Toc221093395 \h </w:instrText>
            </w:r>
            <w:r w:rsidR="007A317E">
              <w:rPr>
                <w:noProof/>
                <w:webHidden/>
              </w:rPr>
            </w:r>
            <w:r w:rsidR="007A317E">
              <w:rPr>
                <w:noProof/>
                <w:webHidden/>
              </w:rPr>
              <w:fldChar w:fldCharType="separate"/>
            </w:r>
            <w:r w:rsidR="007A317E">
              <w:rPr>
                <w:noProof/>
                <w:webHidden/>
              </w:rPr>
              <w:t>22</w:t>
            </w:r>
            <w:r w:rsidR="007A317E">
              <w:rPr>
                <w:noProof/>
                <w:webHidden/>
              </w:rPr>
              <w:fldChar w:fldCharType="end"/>
            </w:r>
          </w:hyperlink>
        </w:p>
        <w:p w:rsidR="007A317E" w:rsidRDefault="00866C29">
          <w:pPr>
            <w:pStyle w:val="TOC2"/>
            <w:rPr>
              <w:rFonts w:asciiTheme="minorHAnsi" w:eastAsiaTheme="minorEastAsia" w:hAnsiTheme="minorHAnsi" w:cstheme="minorBidi"/>
              <w:noProof/>
              <w:sz w:val="22"/>
            </w:rPr>
          </w:pPr>
          <w:hyperlink w:anchor="_Toc221093396" w:history="1">
            <w:r w:rsidR="007A317E" w:rsidRPr="00957883">
              <w:rPr>
                <w:rStyle w:val="Hyperlink"/>
                <w:rFonts w:eastAsiaTheme="majorEastAsia"/>
                <w:noProof/>
              </w:rPr>
              <w:t>Items to come back to the Committee outside its routine business cycle: none</w:t>
            </w:r>
            <w:r w:rsidR="007A317E">
              <w:rPr>
                <w:noProof/>
                <w:webHidden/>
              </w:rPr>
              <w:tab/>
            </w:r>
            <w:r w:rsidR="007A317E">
              <w:rPr>
                <w:noProof/>
                <w:webHidden/>
              </w:rPr>
              <w:fldChar w:fldCharType="begin"/>
            </w:r>
            <w:r w:rsidR="007A317E">
              <w:rPr>
                <w:noProof/>
                <w:webHidden/>
              </w:rPr>
              <w:instrText xml:space="preserve"> PAGEREF _Toc221093396 \h </w:instrText>
            </w:r>
            <w:r w:rsidR="007A317E">
              <w:rPr>
                <w:noProof/>
                <w:webHidden/>
              </w:rPr>
            </w:r>
            <w:r w:rsidR="007A317E">
              <w:rPr>
                <w:noProof/>
                <w:webHidden/>
              </w:rPr>
              <w:fldChar w:fldCharType="separate"/>
            </w:r>
            <w:r w:rsidR="007A317E">
              <w:rPr>
                <w:noProof/>
                <w:webHidden/>
              </w:rPr>
              <w:t>22</w:t>
            </w:r>
            <w:r w:rsidR="007A317E">
              <w:rPr>
                <w:noProof/>
                <w:webHidden/>
              </w:rPr>
              <w:fldChar w:fldCharType="end"/>
            </w:r>
          </w:hyperlink>
        </w:p>
        <w:p w:rsidR="007A317E" w:rsidRDefault="00866C29">
          <w:pPr>
            <w:pStyle w:val="TOC2"/>
            <w:rPr>
              <w:rFonts w:asciiTheme="minorHAnsi" w:eastAsiaTheme="minorEastAsia" w:hAnsiTheme="minorHAnsi" w:cstheme="minorBidi"/>
              <w:noProof/>
              <w:sz w:val="22"/>
            </w:rPr>
          </w:pPr>
          <w:hyperlink w:anchor="_Toc221093397" w:history="1">
            <w:r w:rsidR="007A317E" w:rsidRPr="00957883">
              <w:rPr>
                <w:rStyle w:val="Hyperlink"/>
                <w:rFonts w:eastAsiaTheme="majorEastAsia"/>
                <w:noProof/>
              </w:rPr>
              <w:t>Items referred to the BoD or another Committee for approval, decision or action: none</w:t>
            </w:r>
            <w:r w:rsidR="007A317E">
              <w:rPr>
                <w:noProof/>
                <w:webHidden/>
              </w:rPr>
              <w:tab/>
            </w:r>
            <w:r w:rsidR="007A317E">
              <w:rPr>
                <w:noProof/>
                <w:webHidden/>
              </w:rPr>
              <w:fldChar w:fldCharType="begin"/>
            </w:r>
            <w:r w:rsidR="007A317E">
              <w:rPr>
                <w:noProof/>
                <w:webHidden/>
              </w:rPr>
              <w:instrText xml:space="preserve"> PAGEREF _Toc221093397 \h </w:instrText>
            </w:r>
            <w:r w:rsidR="007A317E">
              <w:rPr>
                <w:noProof/>
                <w:webHidden/>
              </w:rPr>
            </w:r>
            <w:r w:rsidR="007A317E">
              <w:rPr>
                <w:noProof/>
                <w:webHidden/>
              </w:rPr>
              <w:fldChar w:fldCharType="separate"/>
            </w:r>
            <w:r w:rsidR="007A317E">
              <w:rPr>
                <w:noProof/>
                <w:webHidden/>
              </w:rPr>
              <w:t>22</w:t>
            </w:r>
            <w:r w:rsidR="007A317E">
              <w:rPr>
                <w:noProof/>
                <w:webHidden/>
              </w:rPr>
              <w:fldChar w:fldCharType="end"/>
            </w:r>
          </w:hyperlink>
        </w:p>
        <w:p w:rsidR="007A317E" w:rsidRDefault="00866C29">
          <w:pPr>
            <w:pStyle w:val="TOC1"/>
            <w:tabs>
              <w:tab w:val="right" w:leader="dot" w:pos="9686"/>
            </w:tabs>
            <w:rPr>
              <w:rFonts w:asciiTheme="minorHAnsi" w:eastAsiaTheme="minorEastAsia" w:hAnsiTheme="minorHAnsi" w:cstheme="minorBidi"/>
              <w:noProof/>
              <w:sz w:val="22"/>
            </w:rPr>
          </w:pPr>
          <w:hyperlink w:anchor="_Toc221093398" w:history="1">
            <w:r w:rsidR="007A317E" w:rsidRPr="00957883">
              <w:rPr>
                <w:rStyle w:val="Hyperlink"/>
                <w:rFonts w:eastAsiaTheme="majorEastAsia"/>
                <w:noProof/>
              </w:rPr>
              <w:t>122.4.1 Report title: 10 Point Plan to improve resident doctors’ working lives</w:t>
            </w:r>
            <w:r w:rsidR="007A317E">
              <w:rPr>
                <w:noProof/>
                <w:webHidden/>
              </w:rPr>
              <w:tab/>
            </w:r>
            <w:r w:rsidR="007A317E">
              <w:rPr>
                <w:noProof/>
                <w:webHidden/>
              </w:rPr>
              <w:fldChar w:fldCharType="begin"/>
            </w:r>
            <w:r w:rsidR="007A317E">
              <w:rPr>
                <w:noProof/>
                <w:webHidden/>
              </w:rPr>
              <w:instrText xml:space="preserve"> PAGEREF _Toc221093398 \h </w:instrText>
            </w:r>
            <w:r w:rsidR="007A317E">
              <w:rPr>
                <w:noProof/>
                <w:webHidden/>
              </w:rPr>
            </w:r>
            <w:r w:rsidR="007A317E">
              <w:rPr>
                <w:noProof/>
                <w:webHidden/>
              </w:rPr>
              <w:fldChar w:fldCharType="separate"/>
            </w:r>
            <w:r w:rsidR="007A317E">
              <w:rPr>
                <w:noProof/>
                <w:webHidden/>
              </w:rPr>
              <w:t>23</w:t>
            </w:r>
            <w:r w:rsidR="007A317E">
              <w:rPr>
                <w:noProof/>
                <w:webHidden/>
              </w:rPr>
              <w:fldChar w:fldCharType="end"/>
            </w:r>
          </w:hyperlink>
        </w:p>
        <w:p w:rsidR="007A317E" w:rsidRDefault="00866C29">
          <w:pPr>
            <w:pStyle w:val="TOC2"/>
            <w:rPr>
              <w:rFonts w:asciiTheme="minorHAnsi" w:eastAsiaTheme="minorEastAsia" w:hAnsiTheme="minorHAnsi" w:cstheme="minorBidi"/>
              <w:noProof/>
              <w:sz w:val="22"/>
            </w:rPr>
          </w:pPr>
          <w:hyperlink w:anchor="_Toc221093399" w:history="1">
            <w:r w:rsidR="007A317E" w:rsidRPr="00957883">
              <w:rPr>
                <w:rStyle w:val="Hyperlink"/>
                <w:rFonts w:eastAsiaTheme="majorEastAsia"/>
                <w:noProof/>
              </w:rPr>
              <w:t>Appendices:</w:t>
            </w:r>
            <w:r w:rsidR="007A317E">
              <w:rPr>
                <w:noProof/>
                <w:webHidden/>
              </w:rPr>
              <w:tab/>
            </w:r>
            <w:r w:rsidR="007A317E">
              <w:rPr>
                <w:noProof/>
                <w:webHidden/>
              </w:rPr>
              <w:fldChar w:fldCharType="begin"/>
            </w:r>
            <w:r w:rsidR="007A317E">
              <w:rPr>
                <w:noProof/>
                <w:webHidden/>
              </w:rPr>
              <w:instrText xml:space="preserve"> PAGEREF _Toc221093399 \h </w:instrText>
            </w:r>
            <w:r w:rsidR="007A317E">
              <w:rPr>
                <w:noProof/>
                <w:webHidden/>
              </w:rPr>
            </w:r>
            <w:r w:rsidR="007A317E">
              <w:rPr>
                <w:noProof/>
                <w:webHidden/>
              </w:rPr>
              <w:fldChar w:fldCharType="separate"/>
            </w:r>
            <w:r w:rsidR="007A317E">
              <w:rPr>
                <w:noProof/>
                <w:webHidden/>
              </w:rPr>
              <w:t>23</w:t>
            </w:r>
            <w:r w:rsidR="007A317E">
              <w:rPr>
                <w:noProof/>
                <w:webHidden/>
              </w:rPr>
              <w:fldChar w:fldCharType="end"/>
            </w:r>
          </w:hyperlink>
        </w:p>
        <w:p w:rsidR="007A317E" w:rsidRDefault="00866C29">
          <w:pPr>
            <w:pStyle w:val="TOC2"/>
            <w:rPr>
              <w:rFonts w:asciiTheme="minorHAnsi" w:eastAsiaTheme="minorEastAsia" w:hAnsiTheme="minorHAnsi" w:cstheme="minorBidi"/>
              <w:noProof/>
              <w:sz w:val="22"/>
            </w:rPr>
          </w:pPr>
          <w:hyperlink w:anchor="_Toc221093400" w:history="1">
            <w:r w:rsidR="007A317E" w:rsidRPr="00957883">
              <w:rPr>
                <w:rStyle w:val="Hyperlink"/>
                <w:rFonts w:eastAsiaTheme="majorEastAsia"/>
                <w:noProof/>
              </w:rPr>
              <w:t>Executive summary:</w:t>
            </w:r>
            <w:r w:rsidR="007A317E">
              <w:rPr>
                <w:noProof/>
                <w:webHidden/>
              </w:rPr>
              <w:tab/>
            </w:r>
            <w:r w:rsidR="007A317E">
              <w:rPr>
                <w:noProof/>
                <w:webHidden/>
              </w:rPr>
              <w:fldChar w:fldCharType="begin"/>
            </w:r>
            <w:r w:rsidR="007A317E">
              <w:rPr>
                <w:noProof/>
                <w:webHidden/>
              </w:rPr>
              <w:instrText xml:space="preserve"> PAGEREF _Toc221093400 \h </w:instrText>
            </w:r>
            <w:r w:rsidR="007A317E">
              <w:rPr>
                <w:noProof/>
                <w:webHidden/>
              </w:rPr>
            </w:r>
            <w:r w:rsidR="007A317E">
              <w:rPr>
                <w:noProof/>
                <w:webHidden/>
              </w:rPr>
              <w:fldChar w:fldCharType="separate"/>
            </w:r>
            <w:r w:rsidR="007A317E">
              <w:rPr>
                <w:noProof/>
                <w:webHidden/>
              </w:rPr>
              <w:t>23</w:t>
            </w:r>
            <w:r w:rsidR="007A317E">
              <w:rPr>
                <w:noProof/>
                <w:webHidden/>
              </w:rPr>
              <w:fldChar w:fldCharType="end"/>
            </w:r>
          </w:hyperlink>
        </w:p>
        <w:p w:rsidR="007A317E" w:rsidRDefault="00866C29">
          <w:pPr>
            <w:pStyle w:val="TOC2"/>
            <w:rPr>
              <w:rFonts w:asciiTheme="minorHAnsi" w:eastAsiaTheme="minorEastAsia" w:hAnsiTheme="minorHAnsi" w:cstheme="minorBidi"/>
              <w:noProof/>
              <w:sz w:val="22"/>
            </w:rPr>
          </w:pPr>
          <w:hyperlink w:anchor="_Toc221093401" w:history="1">
            <w:r w:rsidR="007A317E" w:rsidRPr="00957883">
              <w:rPr>
                <w:rStyle w:val="Hyperlink"/>
                <w:rFonts w:eastAsiaTheme="majorEastAsia"/>
                <w:noProof/>
              </w:rPr>
              <w:t>Implications:</w:t>
            </w:r>
            <w:r w:rsidR="007A317E">
              <w:rPr>
                <w:noProof/>
                <w:webHidden/>
              </w:rPr>
              <w:tab/>
            </w:r>
            <w:r w:rsidR="007A317E">
              <w:rPr>
                <w:noProof/>
                <w:webHidden/>
              </w:rPr>
              <w:fldChar w:fldCharType="begin"/>
            </w:r>
            <w:r w:rsidR="007A317E">
              <w:rPr>
                <w:noProof/>
                <w:webHidden/>
              </w:rPr>
              <w:instrText xml:space="preserve"> PAGEREF _Toc221093401 \h </w:instrText>
            </w:r>
            <w:r w:rsidR="007A317E">
              <w:rPr>
                <w:noProof/>
                <w:webHidden/>
              </w:rPr>
            </w:r>
            <w:r w:rsidR="007A317E">
              <w:rPr>
                <w:noProof/>
                <w:webHidden/>
              </w:rPr>
              <w:fldChar w:fldCharType="separate"/>
            </w:r>
            <w:r w:rsidR="007A317E">
              <w:rPr>
                <w:noProof/>
                <w:webHidden/>
              </w:rPr>
              <w:t>25</w:t>
            </w:r>
            <w:r w:rsidR="007A317E">
              <w:rPr>
                <w:noProof/>
                <w:webHidden/>
              </w:rPr>
              <w:fldChar w:fldCharType="end"/>
            </w:r>
          </w:hyperlink>
        </w:p>
        <w:p w:rsidR="007A317E" w:rsidRDefault="00866C29">
          <w:pPr>
            <w:pStyle w:val="TOC2"/>
            <w:rPr>
              <w:rFonts w:asciiTheme="minorHAnsi" w:eastAsiaTheme="minorEastAsia" w:hAnsiTheme="minorHAnsi" w:cstheme="minorBidi"/>
              <w:noProof/>
              <w:sz w:val="22"/>
            </w:rPr>
          </w:pPr>
          <w:hyperlink w:anchor="_Toc221093402" w:history="1">
            <w:r w:rsidR="007A317E" w:rsidRPr="00957883">
              <w:rPr>
                <w:rStyle w:val="Hyperlink"/>
                <w:rFonts w:eastAsiaTheme="majorEastAsia"/>
                <w:noProof/>
              </w:rPr>
              <w:t>Assurance route:</w:t>
            </w:r>
            <w:r w:rsidR="007A317E">
              <w:rPr>
                <w:noProof/>
                <w:webHidden/>
              </w:rPr>
              <w:tab/>
            </w:r>
            <w:r w:rsidR="007A317E">
              <w:rPr>
                <w:noProof/>
                <w:webHidden/>
              </w:rPr>
              <w:fldChar w:fldCharType="begin"/>
            </w:r>
            <w:r w:rsidR="007A317E">
              <w:rPr>
                <w:noProof/>
                <w:webHidden/>
              </w:rPr>
              <w:instrText xml:space="preserve"> PAGEREF _Toc221093402 \h </w:instrText>
            </w:r>
            <w:r w:rsidR="007A317E">
              <w:rPr>
                <w:noProof/>
                <w:webHidden/>
              </w:rPr>
            </w:r>
            <w:r w:rsidR="007A317E">
              <w:rPr>
                <w:noProof/>
                <w:webHidden/>
              </w:rPr>
              <w:fldChar w:fldCharType="separate"/>
            </w:r>
            <w:r w:rsidR="007A317E">
              <w:rPr>
                <w:noProof/>
                <w:webHidden/>
              </w:rPr>
              <w:t>25</w:t>
            </w:r>
            <w:r w:rsidR="007A317E">
              <w:rPr>
                <w:noProof/>
                <w:webHidden/>
              </w:rPr>
              <w:fldChar w:fldCharType="end"/>
            </w:r>
          </w:hyperlink>
        </w:p>
        <w:p w:rsidR="00E90FAD" w:rsidRDefault="00E90FAD">
          <w:r>
            <w:fldChar w:fldCharType="end"/>
          </w:r>
        </w:p>
      </w:sdtContent>
    </w:sdt>
    <w:p w:rsidR="0094620A" w:rsidRDefault="00143F09" w:rsidP="00AB09B4">
      <w:pPr>
        <w:sectPr w:rsidR="0094620A" w:rsidSect="0094620A">
          <w:headerReference w:type="default" r:id="rId10"/>
          <w:footerReference w:type="default" r:id="rId11"/>
          <w:headerReference w:type="first" r:id="rId12"/>
          <w:footerReference w:type="first" r:id="rId13"/>
          <w:pgSz w:w="11906" w:h="16838"/>
          <w:pgMar w:top="737" w:right="1133" w:bottom="1106" w:left="1077" w:header="703" w:footer="709" w:gutter="0"/>
          <w:cols w:space="708"/>
          <w:titlePg/>
          <w:docGrid w:linePitch="360"/>
        </w:sectPr>
      </w:pPr>
      <w:r>
        <w:br w:type="page"/>
      </w:r>
    </w:p>
    <w:p w:rsidR="00631939" w:rsidRPr="00631939" w:rsidRDefault="00631939" w:rsidP="00631939">
      <w:pPr>
        <w:pStyle w:val="Heading1"/>
      </w:pPr>
      <w:bookmarkStart w:id="4" w:name="_Toc221093373"/>
      <w:r w:rsidRPr="00631939">
        <w:lastRenderedPageBreak/>
        <w:t>122.1 BOARD COMMITTEE ASSURANCE REPORT TO THE BOARD OF DIRECTORS (</w:t>
      </w:r>
      <w:proofErr w:type="spellStart"/>
      <w:r w:rsidRPr="00631939">
        <w:t>BoD</w:t>
      </w:r>
      <w:proofErr w:type="spellEnd"/>
      <w:r w:rsidRPr="00631939">
        <w:t>)</w:t>
      </w:r>
      <w:bookmarkEnd w:id="4"/>
    </w:p>
    <w:p w:rsidR="00631939" w:rsidRPr="00631939" w:rsidRDefault="00631939" w:rsidP="00631939">
      <w:pPr>
        <w:pStyle w:val="NoSpacing"/>
      </w:pPr>
    </w:p>
    <w:p w:rsidR="00631939" w:rsidRDefault="00631939" w:rsidP="00631939">
      <w:pPr>
        <w:pStyle w:val="NoSpacing"/>
        <w:rPr>
          <w:b/>
        </w:rPr>
      </w:pPr>
      <w:r w:rsidRPr="00631939">
        <w:rPr>
          <w:b/>
        </w:rPr>
        <w:t xml:space="preserve">Committee: </w:t>
      </w:r>
      <w:r w:rsidRPr="00631939">
        <w:rPr>
          <w:b/>
        </w:rPr>
        <w:tab/>
        <w:t>Nominations and Remuneration Committee (NRC)</w:t>
      </w:r>
    </w:p>
    <w:p w:rsidR="00631939" w:rsidRPr="00631939" w:rsidRDefault="00631939" w:rsidP="00631939">
      <w:pPr>
        <w:pStyle w:val="NoSpacing"/>
        <w:rPr>
          <w:b/>
        </w:rPr>
      </w:pPr>
    </w:p>
    <w:p w:rsidR="00631939" w:rsidRPr="00631939" w:rsidRDefault="00631939" w:rsidP="00631939">
      <w:pPr>
        <w:pStyle w:val="NoSpacing"/>
        <w:rPr>
          <w:b/>
        </w:rPr>
      </w:pPr>
      <w:r w:rsidRPr="00631939">
        <w:rPr>
          <w:b/>
        </w:rPr>
        <w:t xml:space="preserve">Meeting date: </w:t>
      </w:r>
      <w:r w:rsidRPr="00631939">
        <w:rPr>
          <w:b/>
        </w:rPr>
        <w:tab/>
        <w:t>8 December and 16 December 2025</w:t>
      </w:r>
    </w:p>
    <w:p w:rsidR="00631939" w:rsidRPr="00631939" w:rsidRDefault="00631939" w:rsidP="00631939">
      <w:pPr>
        <w:pStyle w:val="NoSpacing"/>
        <w:rPr>
          <w:b/>
        </w:rPr>
      </w:pPr>
    </w:p>
    <w:p w:rsidR="00631939" w:rsidRPr="00631939" w:rsidRDefault="00631939" w:rsidP="00631939">
      <w:pPr>
        <w:pStyle w:val="NoSpacing"/>
        <w:rPr>
          <w:b/>
        </w:rPr>
      </w:pPr>
      <w:r w:rsidRPr="00631939">
        <w:rPr>
          <w:b/>
        </w:rPr>
        <w:t xml:space="preserve">Chair: </w:t>
      </w:r>
      <w:r w:rsidRPr="00631939">
        <w:rPr>
          <w:b/>
        </w:rPr>
        <w:tab/>
      </w:r>
      <w:r w:rsidRPr="00631939">
        <w:rPr>
          <w:b/>
        </w:rPr>
        <w:tab/>
        <w:t>Dr Annette Doherty, Trust Chair</w:t>
      </w:r>
    </w:p>
    <w:p w:rsidR="00631939" w:rsidRPr="00631939" w:rsidRDefault="00631939" w:rsidP="00631939">
      <w:pPr>
        <w:pStyle w:val="NoSpacing"/>
        <w:rPr>
          <w:b/>
        </w:rPr>
      </w:pPr>
    </w:p>
    <w:p w:rsidR="00631939" w:rsidRPr="00631939" w:rsidRDefault="00631939" w:rsidP="00631939">
      <w:pPr>
        <w:pStyle w:val="NoSpacing"/>
        <w:rPr>
          <w:b/>
        </w:rPr>
      </w:pPr>
      <w:r w:rsidRPr="00631939">
        <w:rPr>
          <w:b/>
        </w:rPr>
        <w:t xml:space="preserve">Paper Author: </w:t>
      </w:r>
      <w:r w:rsidRPr="00631939">
        <w:rPr>
          <w:b/>
        </w:rPr>
        <w:tab/>
        <w:t>Board Support Secretary</w:t>
      </w:r>
    </w:p>
    <w:p w:rsidR="00631939" w:rsidRPr="00631939" w:rsidRDefault="00631939" w:rsidP="00631939">
      <w:pPr>
        <w:pStyle w:val="NoSpacing"/>
        <w:rPr>
          <w:b/>
        </w:rPr>
      </w:pPr>
    </w:p>
    <w:p w:rsidR="00631939" w:rsidRPr="00631939" w:rsidRDefault="00631939" w:rsidP="00631939">
      <w:pPr>
        <w:pStyle w:val="NoSpacing"/>
        <w:rPr>
          <w:b/>
        </w:rPr>
      </w:pPr>
      <w:r w:rsidRPr="00631939">
        <w:rPr>
          <w:b/>
        </w:rPr>
        <w:t xml:space="preserve">Quorate: </w:t>
      </w:r>
      <w:r w:rsidRPr="00631939">
        <w:rPr>
          <w:b/>
        </w:rPr>
        <w:tab/>
        <w:t>Yes</w:t>
      </w:r>
    </w:p>
    <w:p w:rsidR="00631939" w:rsidRPr="0008759A" w:rsidRDefault="00631939" w:rsidP="00631939">
      <w:pPr>
        <w:rPr>
          <w:color w:val="FF0000"/>
          <w:sz w:val="22"/>
        </w:rPr>
      </w:pPr>
    </w:p>
    <w:p w:rsidR="00631939" w:rsidRPr="00631939" w:rsidRDefault="00631939" w:rsidP="00631939">
      <w:pPr>
        <w:pStyle w:val="Heading2"/>
        <w:shd w:val="clear" w:color="auto" w:fill="E8EDEE" w:themeFill="background2"/>
      </w:pPr>
      <w:bookmarkStart w:id="5" w:name="_Toc221093374"/>
      <w:r w:rsidRPr="00631939">
        <w:t>Appendices:</w:t>
      </w:r>
      <w:bookmarkEnd w:id="5"/>
    </w:p>
    <w:p w:rsidR="00631939" w:rsidRPr="00207109" w:rsidRDefault="00631939" w:rsidP="00631939">
      <w:pPr>
        <w:rPr>
          <w:sz w:val="22"/>
        </w:rPr>
      </w:pPr>
      <w:r>
        <w:rPr>
          <w:sz w:val="22"/>
        </w:rPr>
        <w:t>None</w:t>
      </w:r>
    </w:p>
    <w:p w:rsidR="00631939" w:rsidRPr="00631939" w:rsidRDefault="00631939" w:rsidP="00631939">
      <w:pPr>
        <w:pStyle w:val="Heading2"/>
        <w:shd w:val="clear" w:color="auto" w:fill="E8EDEE" w:themeFill="background2"/>
      </w:pPr>
      <w:bookmarkStart w:id="6" w:name="_Toc221093375"/>
      <w:r w:rsidRPr="00631939">
        <w:t>Declarations of interest made:</w:t>
      </w:r>
      <w:bookmarkEnd w:id="6"/>
    </w:p>
    <w:p w:rsidR="00631939" w:rsidRPr="00631939" w:rsidRDefault="00631939" w:rsidP="00631939">
      <w:pPr>
        <w:rPr>
          <w:sz w:val="22"/>
        </w:rPr>
      </w:pPr>
      <w:r w:rsidRPr="004A5E6B">
        <w:rPr>
          <w:sz w:val="22"/>
        </w:rPr>
        <w:t>No</w:t>
      </w:r>
      <w:r>
        <w:rPr>
          <w:sz w:val="22"/>
        </w:rPr>
        <w:t xml:space="preserve"> new interests declared</w:t>
      </w:r>
    </w:p>
    <w:p w:rsidR="00631939" w:rsidRPr="00631939" w:rsidRDefault="00631939" w:rsidP="00631939">
      <w:pPr>
        <w:pStyle w:val="Heading2"/>
        <w:shd w:val="clear" w:color="auto" w:fill="E8EDEE" w:themeFill="background2"/>
      </w:pPr>
      <w:bookmarkStart w:id="7" w:name="_Toc221093376"/>
      <w:r w:rsidRPr="00631939">
        <w:t>Assurances received at the Committee meeting:</w:t>
      </w:r>
      <w:bookmarkEnd w:id="7"/>
    </w:p>
    <w:tbl>
      <w:tblPr>
        <w:tblStyle w:val="PlainTable1"/>
        <w:tblW w:w="0" w:type="auto"/>
        <w:tblLook w:val="0620" w:firstRow="1" w:lastRow="0" w:firstColumn="0" w:lastColumn="0" w:noHBand="1" w:noVBand="1"/>
      </w:tblPr>
      <w:tblGrid>
        <w:gridCol w:w="3003"/>
        <w:gridCol w:w="7046"/>
      </w:tblGrid>
      <w:tr w:rsidR="00631939" w:rsidRPr="009334DB" w:rsidTr="00C34415">
        <w:trPr>
          <w:cnfStyle w:val="100000000000" w:firstRow="1" w:lastRow="0" w:firstColumn="0" w:lastColumn="0" w:oddVBand="0" w:evenVBand="0" w:oddHBand="0" w:evenHBand="0" w:firstRowFirstColumn="0" w:firstRowLastColumn="0" w:lastRowFirstColumn="0" w:lastRowLastColumn="0"/>
        </w:trPr>
        <w:tc>
          <w:tcPr>
            <w:tcW w:w="3003" w:type="dxa"/>
          </w:tcPr>
          <w:p w:rsidR="00631939" w:rsidRPr="0074324E" w:rsidRDefault="00631939" w:rsidP="001F58E6">
            <w:pPr>
              <w:rPr>
                <w:b w:val="0"/>
                <w:sz w:val="22"/>
              </w:rPr>
            </w:pPr>
            <w:bookmarkStart w:id="8" w:name="_Hlk138943308"/>
            <w:r w:rsidRPr="0074324E">
              <w:rPr>
                <w:sz w:val="22"/>
              </w:rPr>
              <w:t>Agenda item</w:t>
            </w:r>
          </w:p>
        </w:tc>
        <w:tc>
          <w:tcPr>
            <w:tcW w:w="7046" w:type="dxa"/>
          </w:tcPr>
          <w:p w:rsidR="00631939" w:rsidRPr="0074324E" w:rsidRDefault="00631939" w:rsidP="001F58E6">
            <w:pPr>
              <w:rPr>
                <w:b w:val="0"/>
                <w:sz w:val="22"/>
              </w:rPr>
            </w:pPr>
            <w:r w:rsidRPr="0074324E">
              <w:rPr>
                <w:sz w:val="22"/>
              </w:rPr>
              <w:t>Summary</w:t>
            </w:r>
          </w:p>
        </w:tc>
      </w:tr>
      <w:bookmarkEnd w:id="8"/>
      <w:tr w:rsidR="00631939" w:rsidTr="00C34415">
        <w:trPr>
          <w:trHeight w:val="2429"/>
        </w:trPr>
        <w:tc>
          <w:tcPr>
            <w:tcW w:w="3003" w:type="dxa"/>
          </w:tcPr>
          <w:p w:rsidR="00631939" w:rsidRPr="009D7421" w:rsidRDefault="00631939" w:rsidP="001F58E6">
            <w:pPr>
              <w:rPr>
                <w:b/>
                <w:sz w:val="22"/>
              </w:rPr>
            </w:pPr>
            <w:r w:rsidRPr="009D7421">
              <w:rPr>
                <w:b/>
                <w:sz w:val="22"/>
              </w:rPr>
              <w:t>Approval of salary ranges for</w:t>
            </w:r>
            <w:r>
              <w:rPr>
                <w:b/>
                <w:sz w:val="22"/>
              </w:rPr>
              <w:t xml:space="preserve"> Very Senior Managers (</w:t>
            </w:r>
            <w:r w:rsidRPr="009D7421">
              <w:rPr>
                <w:b/>
                <w:sz w:val="22"/>
              </w:rPr>
              <w:t>VSM</w:t>
            </w:r>
            <w:r>
              <w:rPr>
                <w:b/>
                <w:sz w:val="22"/>
              </w:rPr>
              <w:t>)</w:t>
            </w:r>
            <w:r w:rsidRPr="009D7421">
              <w:rPr>
                <w:b/>
                <w:sz w:val="22"/>
              </w:rPr>
              <w:t xml:space="preserve"> or equivalent roles</w:t>
            </w:r>
          </w:p>
        </w:tc>
        <w:tc>
          <w:tcPr>
            <w:tcW w:w="7046" w:type="dxa"/>
          </w:tcPr>
          <w:p w:rsidR="00631939" w:rsidRPr="009D7421" w:rsidRDefault="00631939" w:rsidP="001F58E6">
            <w:pPr>
              <w:suppressAutoHyphens/>
              <w:rPr>
                <w:rFonts w:cs="Arial"/>
                <w:sz w:val="22"/>
                <w:lang w:eastAsia="zh-CN"/>
              </w:rPr>
            </w:pPr>
            <w:r w:rsidRPr="009D7421">
              <w:rPr>
                <w:rFonts w:cs="Arial"/>
                <w:sz w:val="22"/>
              </w:rPr>
              <w:t xml:space="preserve">In line with the Committee’s remit to set salary ranges for executive roles at VSM or equivalent grades, the </w:t>
            </w:r>
            <w:r w:rsidRPr="009D7421">
              <w:rPr>
                <w:rFonts w:cs="Arial"/>
                <w:sz w:val="22"/>
                <w:lang w:eastAsia="zh-CN"/>
              </w:rPr>
              <w:t>Committee approved salary ranges for the following positions:</w:t>
            </w:r>
          </w:p>
          <w:p w:rsidR="00631939" w:rsidRPr="009D7421" w:rsidRDefault="00631939" w:rsidP="00631939">
            <w:pPr>
              <w:pStyle w:val="ListParagraph"/>
              <w:numPr>
                <w:ilvl w:val="0"/>
                <w:numId w:val="15"/>
              </w:numPr>
              <w:spacing w:after="0" w:line="240" w:lineRule="auto"/>
              <w:contextualSpacing w:val="0"/>
              <w:rPr>
                <w:sz w:val="22"/>
              </w:rPr>
            </w:pPr>
            <w:r w:rsidRPr="009D7421">
              <w:rPr>
                <w:sz w:val="22"/>
              </w:rPr>
              <w:t>Midwifery (</w:t>
            </w:r>
            <w:r>
              <w:rPr>
                <w:sz w:val="22"/>
              </w:rPr>
              <w:t>Director of Midwifery (</w:t>
            </w:r>
            <w:proofErr w:type="spellStart"/>
            <w:r w:rsidRPr="009D7421">
              <w:rPr>
                <w:sz w:val="22"/>
              </w:rPr>
              <w:t>DoM</w:t>
            </w:r>
            <w:proofErr w:type="spellEnd"/>
            <w:r>
              <w:rPr>
                <w:sz w:val="22"/>
              </w:rPr>
              <w:t>)</w:t>
            </w:r>
            <w:r w:rsidRPr="009D7421">
              <w:rPr>
                <w:sz w:val="22"/>
              </w:rPr>
              <w:t>)</w:t>
            </w:r>
            <w:r>
              <w:rPr>
                <w:sz w:val="22"/>
              </w:rPr>
              <w:t>.</w:t>
            </w:r>
          </w:p>
          <w:p w:rsidR="00631939" w:rsidRPr="009D7421" w:rsidRDefault="00631939" w:rsidP="00631939">
            <w:pPr>
              <w:pStyle w:val="ListParagraph"/>
              <w:numPr>
                <w:ilvl w:val="0"/>
                <w:numId w:val="15"/>
              </w:numPr>
              <w:spacing w:after="0" w:line="240" w:lineRule="auto"/>
              <w:contextualSpacing w:val="0"/>
              <w:rPr>
                <w:sz w:val="22"/>
              </w:rPr>
            </w:pPr>
            <w:r w:rsidRPr="009D7421">
              <w:rPr>
                <w:sz w:val="22"/>
              </w:rPr>
              <w:t>Managing Director (MD) Women, Children and Young People Care Group (WCYPCG)</w:t>
            </w:r>
            <w:r>
              <w:rPr>
                <w:sz w:val="22"/>
              </w:rPr>
              <w:t>.</w:t>
            </w:r>
          </w:p>
          <w:p w:rsidR="00631939" w:rsidRPr="009D7421" w:rsidRDefault="00631939" w:rsidP="00631939">
            <w:pPr>
              <w:pStyle w:val="ListParagraph"/>
              <w:numPr>
                <w:ilvl w:val="0"/>
                <w:numId w:val="15"/>
              </w:numPr>
              <w:spacing w:after="0" w:line="240" w:lineRule="auto"/>
              <w:contextualSpacing w:val="0"/>
              <w:rPr>
                <w:sz w:val="22"/>
              </w:rPr>
            </w:pPr>
            <w:r w:rsidRPr="009D7421">
              <w:rPr>
                <w:sz w:val="22"/>
              </w:rPr>
              <w:t>Acting Chief Medical Officer (CMO)</w:t>
            </w:r>
            <w:r>
              <w:rPr>
                <w:sz w:val="22"/>
              </w:rPr>
              <w:t>.</w:t>
            </w:r>
          </w:p>
          <w:p w:rsidR="00631939" w:rsidRPr="00C34415" w:rsidRDefault="00631939" w:rsidP="00C34415">
            <w:pPr>
              <w:pStyle w:val="ListParagraph"/>
              <w:numPr>
                <w:ilvl w:val="0"/>
                <w:numId w:val="15"/>
              </w:numPr>
              <w:spacing w:after="0" w:line="240" w:lineRule="auto"/>
              <w:contextualSpacing w:val="0"/>
              <w:rPr>
                <w:sz w:val="22"/>
              </w:rPr>
            </w:pPr>
            <w:r w:rsidRPr="009D7421">
              <w:rPr>
                <w:sz w:val="22"/>
              </w:rPr>
              <w:t>Acting Chief Executive Officer (CEO)</w:t>
            </w:r>
            <w:r>
              <w:rPr>
                <w:sz w:val="22"/>
              </w:rPr>
              <w:t>.</w:t>
            </w:r>
          </w:p>
        </w:tc>
      </w:tr>
      <w:tr w:rsidR="00631939" w:rsidTr="00C34415">
        <w:tc>
          <w:tcPr>
            <w:tcW w:w="3003" w:type="dxa"/>
          </w:tcPr>
          <w:p w:rsidR="00631939" w:rsidRDefault="00631939" w:rsidP="001F58E6">
            <w:pPr>
              <w:rPr>
                <w:b/>
                <w:sz w:val="22"/>
              </w:rPr>
            </w:pPr>
            <w:r>
              <w:rPr>
                <w:b/>
                <w:sz w:val="22"/>
              </w:rPr>
              <w:t>Trust’s VSM Pay Policy</w:t>
            </w:r>
          </w:p>
          <w:p w:rsidR="00631939" w:rsidRPr="00A51014" w:rsidRDefault="00631939" w:rsidP="001F58E6">
            <w:pPr>
              <w:rPr>
                <w:b/>
                <w:sz w:val="22"/>
              </w:rPr>
            </w:pPr>
          </w:p>
          <w:p w:rsidR="00631939" w:rsidRPr="00F732FC" w:rsidRDefault="00631939" w:rsidP="001F58E6">
            <w:pPr>
              <w:rPr>
                <w:b/>
                <w:sz w:val="22"/>
              </w:rPr>
            </w:pPr>
          </w:p>
        </w:tc>
        <w:tc>
          <w:tcPr>
            <w:tcW w:w="7046" w:type="dxa"/>
          </w:tcPr>
          <w:p w:rsidR="00631939" w:rsidRPr="009D7421" w:rsidRDefault="00631939" w:rsidP="001F58E6">
            <w:pPr>
              <w:suppressAutoHyphens/>
              <w:rPr>
                <w:rFonts w:cs="Arial"/>
                <w:sz w:val="22"/>
                <w:lang w:eastAsia="zh-CN"/>
              </w:rPr>
            </w:pPr>
            <w:r w:rsidRPr="009D7421">
              <w:rPr>
                <w:rFonts w:cs="Arial"/>
                <w:sz w:val="22"/>
              </w:rPr>
              <w:t xml:space="preserve">The </w:t>
            </w:r>
            <w:r w:rsidRPr="009D7421">
              <w:rPr>
                <w:rFonts w:cs="Arial"/>
                <w:sz w:val="22"/>
                <w:lang w:eastAsia="zh-CN"/>
              </w:rPr>
              <w:t xml:space="preserve">Committee received </w:t>
            </w:r>
            <w:r w:rsidRPr="009D7421">
              <w:rPr>
                <w:rFonts w:cs="Arial"/>
                <w:b/>
                <w:sz w:val="22"/>
                <w:lang w:eastAsia="zh-CN"/>
              </w:rPr>
              <w:t>Assurance</w:t>
            </w:r>
            <w:r w:rsidRPr="009D7421">
              <w:rPr>
                <w:rFonts w:cs="Arial"/>
                <w:sz w:val="22"/>
                <w:lang w:eastAsia="zh-CN"/>
              </w:rPr>
              <w:t xml:space="preserve"> on</w:t>
            </w:r>
            <w:r>
              <w:rPr>
                <w:rFonts w:cs="Arial"/>
                <w:b/>
                <w:sz w:val="22"/>
                <w:lang w:eastAsia="zh-CN"/>
              </w:rPr>
              <w:t xml:space="preserve"> </w:t>
            </w:r>
            <w:r w:rsidRPr="009D7421">
              <w:rPr>
                <w:rFonts w:cs="Arial"/>
                <w:sz w:val="22"/>
                <w:lang w:eastAsia="zh-CN"/>
              </w:rPr>
              <w:t>and approved the revised VSM Pay Policy</w:t>
            </w:r>
            <w:r>
              <w:rPr>
                <w:rFonts w:cs="Arial"/>
                <w:sz w:val="22"/>
                <w:lang w:eastAsia="zh-CN"/>
              </w:rPr>
              <w:t>.  In doing so, the Committee required the Executive to</w:t>
            </w:r>
            <w:r w:rsidRPr="009D7421">
              <w:rPr>
                <w:rFonts w:cs="Arial"/>
                <w:sz w:val="22"/>
                <w:lang w:eastAsia="zh-CN"/>
              </w:rPr>
              <w:t>:</w:t>
            </w:r>
          </w:p>
          <w:p w:rsidR="00631939" w:rsidRDefault="00631939" w:rsidP="00631939">
            <w:pPr>
              <w:pStyle w:val="ListParagraph"/>
              <w:numPr>
                <w:ilvl w:val="0"/>
                <w:numId w:val="12"/>
              </w:numPr>
              <w:suppressAutoHyphens/>
              <w:spacing w:after="0" w:line="240" w:lineRule="auto"/>
              <w:ind w:left="720"/>
              <w:contextualSpacing w:val="0"/>
              <w:rPr>
                <w:sz w:val="22"/>
              </w:rPr>
            </w:pPr>
            <w:r>
              <w:rPr>
                <w:sz w:val="22"/>
              </w:rPr>
              <w:lastRenderedPageBreak/>
              <w:t xml:space="preserve">include in </w:t>
            </w:r>
            <w:r w:rsidRPr="00403B2F">
              <w:rPr>
                <w:sz w:val="22"/>
              </w:rPr>
              <w:t>VSM offer documentation letters about pay uplift eligibility</w:t>
            </w:r>
            <w:r>
              <w:rPr>
                <w:sz w:val="22"/>
              </w:rPr>
              <w:t xml:space="preserve"> that </w:t>
            </w:r>
            <w:r w:rsidRPr="00403B2F">
              <w:rPr>
                <w:sz w:val="22"/>
              </w:rPr>
              <w:t xml:space="preserve">where starting salary already reflected uplift for that year, no further increase </w:t>
            </w:r>
            <w:r>
              <w:rPr>
                <w:sz w:val="22"/>
              </w:rPr>
              <w:t xml:space="preserve">would </w:t>
            </w:r>
            <w:r w:rsidRPr="00403B2F">
              <w:rPr>
                <w:sz w:val="22"/>
              </w:rPr>
              <w:t>apply;</w:t>
            </w:r>
          </w:p>
          <w:p w:rsidR="00631939" w:rsidRDefault="00631939" w:rsidP="00631939">
            <w:pPr>
              <w:pStyle w:val="ListParagraph"/>
              <w:numPr>
                <w:ilvl w:val="0"/>
                <w:numId w:val="12"/>
              </w:numPr>
              <w:suppressAutoHyphens/>
              <w:spacing w:after="0" w:line="240" w:lineRule="auto"/>
              <w:ind w:left="720"/>
              <w:contextualSpacing w:val="0"/>
              <w:rPr>
                <w:sz w:val="22"/>
              </w:rPr>
            </w:pPr>
            <w:r>
              <w:rPr>
                <w:sz w:val="22"/>
              </w:rPr>
              <w:t xml:space="preserve">ensure </w:t>
            </w:r>
            <w:r w:rsidRPr="00403B2F">
              <w:rPr>
                <w:sz w:val="22"/>
              </w:rPr>
              <w:t xml:space="preserve">VSMs working </w:t>
            </w:r>
            <w:r>
              <w:rPr>
                <w:sz w:val="22"/>
              </w:rPr>
              <w:t xml:space="preserve">their </w:t>
            </w:r>
            <w:r w:rsidRPr="00403B2F">
              <w:rPr>
                <w:sz w:val="22"/>
              </w:rPr>
              <w:t>notice</w:t>
            </w:r>
            <w:r>
              <w:rPr>
                <w:sz w:val="22"/>
              </w:rPr>
              <w:t>; or</w:t>
            </w:r>
            <w:r w:rsidRPr="00403B2F">
              <w:rPr>
                <w:sz w:val="22"/>
              </w:rPr>
              <w:t xml:space="preserve"> those under conduct or capability processes will only receive uplifts retrospectively </w:t>
            </w:r>
            <w:r>
              <w:rPr>
                <w:sz w:val="22"/>
              </w:rPr>
              <w:t>once performance expectations are met;</w:t>
            </w:r>
          </w:p>
          <w:p w:rsidR="00631939" w:rsidRDefault="00631939" w:rsidP="00631939">
            <w:pPr>
              <w:pStyle w:val="ListParagraph"/>
              <w:numPr>
                <w:ilvl w:val="0"/>
                <w:numId w:val="12"/>
              </w:numPr>
              <w:suppressAutoHyphens/>
              <w:spacing w:after="0" w:line="240" w:lineRule="auto"/>
              <w:ind w:left="720"/>
              <w:contextualSpacing w:val="0"/>
              <w:rPr>
                <w:sz w:val="22"/>
              </w:rPr>
            </w:pPr>
            <w:r>
              <w:rPr>
                <w:sz w:val="22"/>
              </w:rPr>
              <w:t>add s</w:t>
            </w:r>
            <w:r w:rsidRPr="00403B2F">
              <w:rPr>
                <w:sz w:val="22"/>
              </w:rPr>
              <w:t>eparate conduct/capability provisions from appraisal objectives</w:t>
            </w:r>
            <w:r>
              <w:rPr>
                <w:sz w:val="22"/>
              </w:rPr>
              <w:t>;</w:t>
            </w:r>
          </w:p>
          <w:p w:rsidR="00631939" w:rsidRPr="00403B2F" w:rsidRDefault="00631939" w:rsidP="00631939">
            <w:pPr>
              <w:pStyle w:val="ListParagraph"/>
              <w:numPr>
                <w:ilvl w:val="0"/>
                <w:numId w:val="12"/>
              </w:numPr>
              <w:suppressAutoHyphens/>
              <w:spacing w:after="0" w:line="240" w:lineRule="auto"/>
              <w:ind w:left="720"/>
              <w:contextualSpacing w:val="0"/>
              <w:rPr>
                <w:sz w:val="22"/>
              </w:rPr>
            </w:pPr>
            <w:r>
              <w:rPr>
                <w:sz w:val="22"/>
              </w:rPr>
              <w:t>r</w:t>
            </w:r>
            <w:r w:rsidRPr="00403B2F">
              <w:rPr>
                <w:sz w:val="22"/>
              </w:rPr>
              <w:t>eferenc</w:t>
            </w:r>
            <w:r>
              <w:rPr>
                <w:sz w:val="22"/>
              </w:rPr>
              <w:t xml:space="preserve">e </w:t>
            </w:r>
            <w:r w:rsidRPr="00403B2F">
              <w:rPr>
                <w:sz w:val="22"/>
              </w:rPr>
              <w:t>bonus arrangements in line with the NHS VSM Pay Framework.</w:t>
            </w:r>
          </w:p>
          <w:p w:rsidR="00631939" w:rsidRPr="00FF1D54" w:rsidRDefault="00631939" w:rsidP="001F58E6">
            <w:pPr>
              <w:rPr>
                <w:sz w:val="22"/>
              </w:rPr>
            </w:pPr>
          </w:p>
        </w:tc>
      </w:tr>
      <w:tr w:rsidR="00631939" w:rsidTr="00C34415">
        <w:tc>
          <w:tcPr>
            <w:tcW w:w="3003" w:type="dxa"/>
          </w:tcPr>
          <w:p w:rsidR="00631939" w:rsidRPr="00A57DC1" w:rsidRDefault="00631939" w:rsidP="001F58E6">
            <w:pPr>
              <w:rPr>
                <w:b/>
                <w:sz w:val="22"/>
              </w:rPr>
            </w:pPr>
            <w:r>
              <w:rPr>
                <w:b/>
                <w:sz w:val="22"/>
              </w:rPr>
              <w:lastRenderedPageBreak/>
              <w:t>Executive Director Succession Planning</w:t>
            </w:r>
          </w:p>
        </w:tc>
        <w:tc>
          <w:tcPr>
            <w:tcW w:w="7046" w:type="dxa"/>
          </w:tcPr>
          <w:p w:rsidR="00631939" w:rsidRDefault="00631939" w:rsidP="00631939">
            <w:pPr>
              <w:pStyle w:val="ListParagraph"/>
              <w:numPr>
                <w:ilvl w:val="0"/>
                <w:numId w:val="10"/>
              </w:numPr>
              <w:spacing w:after="0" w:line="240" w:lineRule="auto"/>
              <w:ind w:left="361" w:hanging="357"/>
              <w:contextualSpacing w:val="0"/>
              <w:rPr>
                <w:sz w:val="22"/>
              </w:rPr>
            </w:pPr>
            <w:r w:rsidRPr="00A57DC1">
              <w:rPr>
                <w:sz w:val="22"/>
              </w:rPr>
              <w:t xml:space="preserve">The Committee </w:t>
            </w:r>
            <w:r>
              <w:rPr>
                <w:sz w:val="22"/>
              </w:rPr>
              <w:t xml:space="preserve">received </w:t>
            </w:r>
            <w:r>
              <w:rPr>
                <w:b/>
                <w:sz w:val="22"/>
              </w:rPr>
              <w:t>Limited A</w:t>
            </w:r>
            <w:r w:rsidRPr="00334B42">
              <w:rPr>
                <w:b/>
                <w:sz w:val="22"/>
              </w:rPr>
              <w:t>ssurance</w:t>
            </w:r>
            <w:r>
              <w:rPr>
                <w:sz w:val="22"/>
              </w:rPr>
              <w:t>, discussed and noted the update on succession planning report produced using the NHS South East Region’s template.</w:t>
            </w:r>
          </w:p>
          <w:p w:rsidR="00631939" w:rsidRDefault="00631939" w:rsidP="00631939">
            <w:pPr>
              <w:pStyle w:val="ListParagraph"/>
              <w:numPr>
                <w:ilvl w:val="0"/>
                <w:numId w:val="10"/>
              </w:numPr>
              <w:spacing w:after="0" w:line="240" w:lineRule="auto"/>
              <w:ind w:left="361" w:hanging="357"/>
              <w:contextualSpacing w:val="0"/>
              <w:rPr>
                <w:sz w:val="22"/>
              </w:rPr>
            </w:pPr>
            <w:r>
              <w:rPr>
                <w:sz w:val="22"/>
              </w:rPr>
              <w:t>The Committee raised the following:</w:t>
            </w:r>
          </w:p>
          <w:p w:rsidR="00631939" w:rsidRDefault="00631939" w:rsidP="00631939">
            <w:pPr>
              <w:pStyle w:val="ListParagraph"/>
              <w:numPr>
                <w:ilvl w:val="0"/>
                <w:numId w:val="10"/>
              </w:numPr>
              <w:spacing w:after="0" w:line="240" w:lineRule="auto"/>
              <w:ind w:left="720" w:hanging="357"/>
              <w:contextualSpacing w:val="0"/>
              <w:rPr>
                <w:sz w:val="22"/>
              </w:rPr>
            </w:pPr>
            <w:r>
              <w:rPr>
                <w:sz w:val="22"/>
              </w:rPr>
              <w:t>Significant gaps with ‘ready now’ successors, highlighting the need for robust development plans; and</w:t>
            </w:r>
          </w:p>
          <w:p w:rsidR="00631939" w:rsidRDefault="00631939" w:rsidP="00631939">
            <w:pPr>
              <w:pStyle w:val="ListParagraph"/>
              <w:numPr>
                <w:ilvl w:val="0"/>
                <w:numId w:val="10"/>
              </w:numPr>
              <w:spacing w:after="0" w:line="240" w:lineRule="auto"/>
              <w:ind w:left="720" w:hanging="357"/>
              <w:contextualSpacing w:val="0"/>
              <w:rPr>
                <w:sz w:val="22"/>
              </w:rPr>
            </w:pPr>
            <w:r>
              <w:rPr>
                <w:sz w:val="22"/>
              </w:rPr>
              <w:t>Immediate next steps included personalised development plans (aligning with Equality, Diversity and Inclusion (EDI)), stretch assignments, acting-up opportunities, coaching, and access to leadership programmes.</w:t>
            </w:r>
          </w:p>
          <w:p w:rsidR="00631939" w:rsidRPr="00A57DC1" w:rsidRDefault="00631939" w:rsidP="00631939">
            <w:pPr>
              <w:pStyle w:val="ListParagraph"/>
              <w:numPr>
                <w:ilvl w:val="0"/>
                <w:numId w:val="10"/>
              </w:numPr>
              <w:spacing w:after="0" w:line="240" w:lineRule="auto"/>
              <w:ind w:left="360" w:hanging="357"/>
              <w:contextualSpacing w:val="0"/>
              <w:rPr>
                <w:sz w:val="22"/>
              </w:rPr>
            </w:pPr>
            <w:r>
              <w:rPr>
                <w:sz w:val="22"/>
              </w:rPr>
              <w:t>The Committee agreed succession planning to be a standing agenda item for NRC to focus on Executive Directors, and to be added to the People and Culture Committee (P&amp;CC) work plan to oversee succession planning and talent pipeline within Triumvirates and Care Group senior leaders.</w:t>
            </w:r>
          </w:p>
          <w:p w:rsidR="00631939" w:rsidRPr="007E6DA2" w:rsidRDefault="00631939" w:rsidP="001F58E6">
            <w:pPr>
              <w:ind w:left="4"/>
              <w:rPr>
                <w:sz w:val="22"/>
              </w:rPr>
            </w:pPr>
          </w:p>
        </w:tc>
      </w:tr>
      <w:tr w:rsidR="00631939" w:rsidTr="00C34415">
        <w:tc>
          <w:tcPr>
            <w:tcW w:w="3003" w:type="dxa"/>
          </w:tcPr>
          <w:p w:rsidR="00631939" w:rsidRDefault="00631939" w:rsidP="001F58E6">
            <w:pPr>
              <w:rPr>
                <w:b/>
                <w:sz w:val="22"/>
              </w:rPr>
            </w:pPr>
            <w:r>
              <w:rPr>
                <w:b/>
                <w:sz w:val="22"/>
              </w:rPr>
              <w:t>Review of Approach for 360-degree Feedback</w:t>
            </w:r>
          </w:p>
          <w:p w:rsidR="00631939" w:rsidRPr="00F732FC" w:rsidRDefault="00631939" w:rsidP="001F58E6">
            <w:pPr>
              <w:rPr>
                <w:b/>
                <w:sz w:val="22"/>
              </w:rPr>
            </w:pPr>
          </w:p>
        </w:tc>
        <w:tc>
          <w:tcPr>
            <w:tcW w:w="7046" w:type="dxa"/>
          </w:tcPr>
          <w:p w:rsidR="00631939" w:rsidRPr="00C515E0" w:rsidRDefault="00631939" w:rsidP="00631939">
            <w:pPr>
              <w:pStyle w:val="ListParagraph"/>
              <w:numPr>
                <w:ilvl w:val="0"/>
                <w:numId w:val="12"/>
              </w:numPr>
              <w:suppressAutoHyphens/>
              <w:spacing w:after="0" w:line="240" w:lineRule="auto"/>
              <w:ind w:left="360"/>
              <w:contextualSpacing w:val="0"/>
              <w:rPr>
                <w:rFonts w:cs="Arial"/>
                <w:sz w:val="22"/>
                <w:lang w:eastAsia="zh-CN"/>
              </w:rPr>
            </w:pPr>
            <w:r w:rsidRPr="00FF1D54">
              <w:rPr>
                <w:sz w:val="22"/>
              </w:rPr>
              <w:t>The C</w:t>
            </w:r>
            <w:r w:rsidRPr="00C61795">
              <w:rPr>
                <w:sz w:val="22"/>
              </w:rPr>
              <w:t xml:space="preserve">ommittee received </w:t>
            </w:r>
            <w:r w:rsidRPr="00C61795">
              <w:rPr>
                <w:b/>
                <w:sz w:val="22"/>
              </w:rPr>
              <w:t>Assurance</w:t>
            </w:r>
            <w:r>
              <w:rPr>
                <w:sz w:val="22"/>
              </w:rPr>
              <w:t>, discussed and approved the development and implementation of a refreshed 360-degree feedback process for the 2026 appraisal cycle.</w:t>
            </w:r>
            <w:r w:rsidRPr="00C61795">
              <w:rPr>
                <w:sz w:val="22"/>
              </w:rPr>
              <w:t xml:space="preserve"> </w:t>
            </w:r>
          </w:p>
          <w:p w:rsidR="00631939" w:rsidRDefault="00631939" w:rsidP="00631939">
            <w:pPr>
              <w:numPr>
                <w:ilvl w:val="0"/>
                <w:numId w:val="14"/>
              </w:numPr>
              <w:spacing w:after="0" w:line="240" w:lineRule="auto"/>
              <w:ind w:left="360"/>
              <w:rPr>
                <w:sz w:val="22"/>
              </w:rPr>
            </w:pPr>
            <w:r>
              <w:rPr>
                <w:sz w:val="22"/>
              </w:rPr>
              <w:t>The Committee noted the following:</w:t>
            </w:r>
          </w:p>
          <w:p w:rsidR="00631939" w:rsidRDefault="00631939" w:rsidP="00631939">
            <w:pPr>
              <w:numPr>
                <w:ilvl w:val="0"/>
                <w:numId w:val="14"/>
              </w:numPr>
              <w:spacing w:after="0" w:line="240" w:lineRule="auto"/>
              <w:rPr>
                <w:sz w:val="22"/>
              </w:rPr>
            </w:pPr>
            <w:r>
              <w:rPr>
                <w:sz w:val="22"/>
              </w:rPr>
              <w:t>Lessons learned from the 2025 feedback process, endorsing introduction of a structured follow-up process (including quarterly coaching check-ins, aggregated feedback sessions, and integration of behavioural objectives into annual appraisals); and</w:t>
            </w:r>
          </w:p>
          <w:p w:rsidR="00631939" w:rsidRPr="00197C3F" w:rsidRDefault="00631939" w:rsidP="00631939">
            <w:pPr>
              <w:numPr>
                <w:ilvl w:val="0"/>
                <w:numId w:val="14"/>
              </w:numPr>
              <w:spacing w:after="0" w:line="240" w:lineRule="auto"/>
              <w:rPr>
                <w:sz w:val="22"/>
              </w:rPr>
            </w:pPr>
            <w:r>
              <w:rPr>
                <w:sz w:val="22"/>
              </w:rPr>
              <w:t>Alignment with the new NHS England (NHSE) Management and Leadership Framework.</w:t>
            </w:r>
          </w:p>
          <w:p w:rsidR="00631939" w:rsidRPr="00FF1D54" w:rsidRDefault="00631939" w:rsidP="001F58E6">
            <w:pPr>
              <w:rPr>
                <w:sz w:val="22"/>
              </w:rPr>
            </w:pPr>
          </w:p>
        </w:tc>
      </w:tr>
      <w:tr w:rsidR="00631939" w:rsidTr="00C34415">
        <w:tc>
          <w:tcPr>
            <w:tcW w:w="3003" w:type="dxa"/>
          </w:tcPr>
          <w:p w:rsidR="00631939" w:rsidRDefault="00631939" w:rsidP="001F58E6">
            <w:pPr>
              <w:rPr>
                <w:b/>
                <w:sz w:val="22"/>
              </w:rPr>
            </w:pPr>
            <w:r>
              <w:rPr>
                <w:b/>
                <w:sz w:val="22"/>
              </w:rPr>
              <w:t>EKHUFT Board Developmental Priorities for 2026</w:t>
            </w:r>
          </w:p>
          <w:p w:rsidR="00631939" w:rsidRPr="00F732FC" w:rsidRDefault="00631939" w:rsidP="001F58E6">
            <w:pPr>
              <w:rPr>
                <w:b/>
                <w:sz w:val="22"/>
              </w:rPr>
            </w:pPr>
          </w:p>
        </w:tc>
        <w:tc>
          <w:tcPr>
            <w:tcW w:w="7046" w:type="dxa"/>
          </w:tcPr>
          <w:p w:rsidR="00631939" w:rsidRPr="001A2BFA" w:rsidRDefault="00631939" w:rsidP="00631939">
            <w:pPr>
              <w:pStyle w:val="ListParagraph"/>
              <w:numPr>
                <w:ilvl w:val="0"/>
                <w:numId w:val="12"/>
              </w:numPr>
              <w:suppressAutoHyphens/>
              <w:spacing w:after="0" w:line="240" w:lineRule="auto"/>
              <w:ind w:left="360"/>
              <w:contextualSpacing w:val="0"/>
              <w:rPr>
                <w:rFonts w:cs="Arial"/>
                <w:sz w:val="22"/>
                <w:lang w:eastAsia="zh-CN"/>
              </w:rPr>
            </w:pPr>
            <w:r w:rsidRPr="00FF1D54">
              <w:rPr>
                <w:sz w:val="22"/>
              </w:rPr>
              <w:lastRenderedPageBreak/>
              <w:t>The C</w:t>
            </w:r>
            <w:r w:rsidRPr="00C61795">
              <w:rPr>
                <w:sz w:val="22"/>
              </w:rPr>
              <w:t xml:space="preserve">ommittee received </w:t>
            </w:r>
            <w:r w:rsidRPr="00C61795">
              <w:rPr>
                <w:b/>
                <w:sz w:val="22"/>
              </w:rPr>
              <w:t>Assurance</w:t>
            </w:r>
            <w:r w:rsidRPr="00C61795">
              <w:rPr>
                <w:sz w:val="22"/>
              </w:rPr>
              <w:t xml:space="preserve"> and </w:t>
            </w:r>
            <w:r>
              <w:rPr>
                <w:sz w:val="22"/>
              </w:rPr>
              <w:t>agreed the priorities for Board Development in 2026.</w:t>
            </w:r>
          </w:p>
          <w:p w:rsidR="00631939" w:rsidRDefault="00631939" w:rsidP="00631939">
            <w:pPr>
              <w:pStyle w:val="ListParagraph"/>
              <w:numPr>
                <w:ilvl w:val="0"/>
                <w:numId w:val="12"/>
              </w:numPr>
              <w:suppressAutoHyphens/>
              <w:spacing w:after="0" w:line="240" w:lineRule="auto"/>
              <w:ind w:left="360"/>
              <w:contextualSpacing w:val="0"/>
              <w:rPr>
                <w:rFonts w:cs="Arial"/>
                <w:sz w:val="22"/>
                <w:lang w:eastAsia="zh-CN"/>
              </w:rPr>
            </w:pPr>
            <w:r>
              <w:rPr>
                <w:rFonts w:cs="Arial"/>
                <w:sz w:val="22"/>
                <w:lang w:eastAsia="zh-CN"/>
              </w:rPr>
              <w:t>The Committee noted the following:</w:t>
            </w:r>
          </w:p>
          <w:p w:rsidR="00631939" w:rsidRDefault="00631939" w:rsidP="00631939">
            <w:pPr>
              <w:pStyle w:val="ListParagraph"/>
              <w:numPr>
                <w:ilvl w:val="0"/>
                <w:numId w:val="12"/>
              </w:numPr>
              <w:suppressAutoHyphens/>
              <w:spacing w:after="0" w:line="240" w:lineRule="auto"/>
              <w:ind w:left="720"/>
              <w:contextualSpacing w:val="0"/>
              <w:rPr>
                <w:rFonts w:cs="Arial"/>
                <w:sz w:val="22"/>
                <w:lang w:eastAsia="zh-CN"/>
              </w:rPr>
            </w:pPr>
            <w:r>
              <w:rPr>
                <w:rFonts w:cs="Arial"/>
                <w:sz w:val="22"/>
                <w:lang w:eastAsia="zh-CN"/>
              </w:rPr>
              <w:t>Good Governance Institute (GGI) Board Assurance Matrix self-assessment to be repeated in 2026;</w:t>
            </w:r>
          </w:p>
          <w:p w:rsidR="00631939" w:rsidRDefault="00631939" w:rsidP="00631939">
            <w:pPr>
              <w:pStyle w:val="ListParagraph"/>
              <w:numPr>
                <w:ilvl w:val="0"/>
                <w:numId w:val="12"/>
              </w:numPr>
              <w:suppressAutoHyphens/>
              <w:spacing w:after="0" w:line="240" w:lineRule="auto"/>
              <w:ind w:left="720"/>
              <w:contextualSpacing w:val="0"/>
              <w:rPr>
                <w:rFonts w:cs="Arial"/>
                <w:sz w:val="22"/>
                <w:lang w:eastAsia="zh-CN"/>
              </w:rPr>
            </w:pPr>
            <w:r>
              <w:rPr>
                <w:rFonts w:cs="Arial"/>
                <w:sz w:val="22"/>
                <w:lang w:eastAsia="zh-CN"/>
              </w:rPr>
              <w:lastRenderedPageBreak/>
              <w:t>Emphasised the importance to progress at pace the Well-Led developmental review;</w:t>
            </w:r>
          </w:p>
          <w:p w:rsidR="00631939" w:rsidRDefault="00631939" w:rsidP="00631939">
            <w:pPr>
              <w:pStyle w:val="ListParagraph"/>
              <w:numPr>
                <w:ilvl w:val="0"/>
                <w:numId w:val="12"/>
              </w:numPr>
              <w:suppressAutoHyphens/>
              <w:spacing w:after="0" w:line="240" w:lineRule="auto"/>
              <w:ind w:left="720"/>
              <w:contextualSpacing w:val="0"/>
              <w:rPr>
                <w:rFonts w:cs="Arial"/>
                <w:sz w:val="22"/>
                <w:lang w:eastAsia="zh-CN"/>
              </w:rPr>
            </w:pPr>
            <w:r>
              <w:rPr>
                <w:rFonts w:cs="Arial"/>
                <w:sz w:val="22"/>
                <w:lang w:eastAsia="zh-CN"/>
              </w:rPr>
              <w:t>Review of Insights profiling for all Board members following completion by new Board members who joined the previous year; and</w:t>
            </w:r>
          </w:p>
          <w:p w:rsidR="00631939" w:rsidRDefault="00631939" w:rsidP="00631939">
            <w:pPr>
              <w:pStyle w:val="ListParagraph"/>
              <w:numPr>
                <w:ilvl w:val="0"/>
                <w:numId w:val="12"/>
              </w:numPr>
              <w:suppressAutoHyphens/>
              <w:spacing w:after="0" w:line="240" w:lineRule="auto"/>
              <w:ind w:left="720"/>
              <w:contextualSpacing w:val="0"/>
              <w:rPr>
                <w:rFonts w:cs="Arial"/>
                <w:sz w:val="22"/>
                <w:lang w:eastAsia="zh-CN"/>
              </w:rPr>
            </w:pPr>
            <w:r>
              <w:rPr>
                <w:rFonts w:cs="Arial"/>
                <w:sz w:val="22"/>
                <w:lang w:eastAsia="zh-CN"/>
              </w:rPr>
              <w:t>Ensure EDI remained embedded, look at improving risk appetite and risk management training.</w:t>
            </w:r>
          </w:p>
          <w:p w:rsidR="00631939" w:rsidRPr="00DA37E7" w:rsidRDefault="00631939" w:rsidP="00631939">
            <w:pPr>
              <w:pStyle w:val="ListParagraph"/>
              <w:numPr>
                <w:ilvl w:val="0"/>
                <w:numId w:val="12"/>
              </w:numPr>
              <w:suppressAutoHyphens/>
              <w:spacing w:after="0" w:line="240" w:lineRule="auto"/>
              <w:ind w:left="360"/>
              <w:contextualSpacing w:val="0"/>
              <w:rPr>
                <w:rFonts w:cs="Arial"/>
                <w:sz w:val="22"/>
                <w:lang w:eastAsia="zh-CN"/>
              </w:rPr>
            </w:pPr>
            <w:r>
              <w:rPr>
                <w:rFonts w:cs="Arial"/>
                <w:sz w:val="22"/>
                <w:lang w:eastAsia="zh-CN"/>
              </w:rPr>
              <w:t>The Committee noted the report will be presented for review and discussion at the next Integrated Audit and Governance Committee (IAGC) meeting.</w:t>
            </w:r>
          </w:p>
          <w:p w:rsidR="00631939" w:rsidRPr="00FF1D54" w:rsidRDefault="00631939" w:rsidP="001F58E6">
            <w:pPr>
              <w:rPr>
                <w:sz w:val="22"/>
              </w:rPr>
            </w:pPr>
          </w:p>
        </w:tc>
      </w:tr>
      <w:tr w:rsidR="00631939" w:rsidTr="00C34415">
        <w:tc>
          <w:tcPr>
            <w:tcW w:w="3003" w:type="dxa"/>
          </w:tcPr>
          <w:p w:rsidR="00631939" w:rsidRPr="00731DBB" w:rsidRDefault="00631939" w:rsidP="001F58E6">
            <w:pPr>
              <w:rPr>
                <w:b/>
                <w:sz w:val="22"/>
              </w:rPr>
            </w:pPr>
            <w:r>
              <w:rPr>
                <w:b/>
                <w:sz w:val="22"/>
              </w:rPr>
              <w:lastRenderedPageBreak/>
              <w:t>Trust Subsidiary:  2gether Support Solutions (2gether) – Annual Review of 2gether Managing Director (MD) Objectives for 2025/26</w:t>
            </w:r>
          </w:p>
          <w:p w:rsidR="00631939" w:rsidRPr="00F732FC" w:rsidRDefault="00631939" w:rsidP="001F58E6">
            <w:pPr>
              <w:rPr>
                <w:b/>
                <w:sz w:val="22"/>
              </w:rPr>
            </w:pPr>
          </w:p>
        </w:tc>
        <w:tc>
          <w:tcPr>
            <w:tcW w:w="7046" w:type="dxa"/>
          </w:tcPr>
          <w:p w:rsidR="00631939" w:rsidRDefault="00631939" w:rsidP="00631939">
            <w:pPr>
              <w:pStyle w:val="ListParagraph"/>
              <w:numPr>
                <w:ilvl w:val="0"/>
                <w:numId w:val="13"/>
              </w:numPr>
              <w:suppressAutoHyphens/>
              <w:spacing w:after="0" w:line="240" w:lineRule="auto"/>
              <w:ind w:left="360"/>
              <w:contextualSpacing w:val="0"/>
              <w:rPr>
                <w:sz w:val="22"/>
              </w:rPr>
            </w:pPr>
            <w:r w:rsidRPr="004018B8">
              <w:rPr>
                <w:sz w:val="22"/>
              </w:rPr>
              <w:t>The Committee</w:t>
            </w:r>
            <w:r>
              <w:rPr>
                <w:sz w:val="22"/>
              </w:rPr>
              <w:t xml:space="preserve"> received </w:t>
            </w:r>
            <w:r w:rsidRPr="004B3841">
              <w:rPr>
                <w:b/>
                <w:sz w:val="22"/>
              </w:rPr>
              <w:t>Assurance</w:t>
            </w:r>
            <w:r>
              <w:rPr>
                <w:sz w:val="22"/>
              </w:rPr>
              <w:t xml:space="preserve"> and</w:t>
            </w:r>
            <w:r w:rsidRPr="004018B8">
              <w:rPr>
                <w:sz w:val="22"/>
              </w:rPr>
              <w:t xml:space="preserve"> </w:t>
            </w:r>
            <w:r>
              <w:rPr>
                <w:sz w:val="22"/>
              </w:rPr>
              <w:t>noted the 2025/26 objectives of 2gether’s MD, and that these will align with 2gether’s Key Performance Indicators (KPIs).</w:t>
            </w:r>
          </w:p>
          <w:p w:rsidR="00631939" w:rsidRPr="008070CE" w:rsidRDefault="00631939" w:rsidP="00631939">
            <w:pPr>
              <w:pStyle w:val="ListParagraph"/>
              <w:numPr>
                <w:ilvl w:val="0"/>
                <w:numId w:val="13"/>
              </w:numPr>
              <w:suppressAutoHyphens/>
              <w:spacing w:after="0" w:line="240" w:lineRule="auto"/>
              <w:ind w:left="360"/>
              <w:contextualSpacing w:val="0"/>
              <w:rPr>
                <w:sz w:val="22"/>
              </w:rPr>
            </w:pPr>
            <w:r>
              <w:rPr>
                <w:sz w:val="22"/>
              </w:rPr>
              <w:t>NRC Non-Executive Director (NED) members agreed to provide any comments and feedback on these objectives (ensuring alignment with the Trust Strategy) to the Trust Chair for feeding back to 2gether’s Chair.</w:t>
            </w:r>
          </w:p>
          <w:p w:rsidR="00631939" w:rsidRPr="00EB7DFE" w:rsidRDefault="00631939" w:rsidP="001F58E6">
            <w:pPr>
              <w:rPr>
                <w:sz w:val="22"/>
              </w:rPr>
            </w:pPr>
          </w:p>
        </w:tc>
      </w:tr>
      <w:tr w:rsidR="00631939" w:rsidTr="00C34415">
        <w:tc>
          <w:tcPr>
            <w:tcW w:w="3003" w:type="dxa"/>
          </w:tcPr>
          <w:p w:rsidR="00631939" w:rsidRPr="00F732FC" w:rsidRDefault="00631939" w:rsidP="001F58E6">
            <w:pPr>
              <w:rPr>
                <w:b/>
                <w:sz w:val="22"/>
              </w:rPr>
            </w:pPr>
            <w:r>
              <w:rPr>
                <w:b/>
                <w:sz w:val="22"/>
              </w:rPr>
              <w:t>Executive Directors mid-year performance update</w:t>
            </w:r>
          </w:p>
        </w:tc>
        <w:tc>
          <w:tcPr>
            <w:tcW w:w="7046" w:type="dxa"/>
          </w:tcPr>
          <w:p w:rsidR="00631939" w:rsidRPr="00636AEE" w:rsidRDefault="00631939" w:rsidP="00631939">
            <w:pPr>
              <w:pStyle w:val="ListParagraph"/>
              <w:numPr>
                <w:ilvl w:val="0"/>
                <w:numId w:val="10"/>
              </w:numPr>
              <w:spacing w:after="0" w:line="240" w:lineRule="auto"/>
              <w:ind w:left="360"/>
              <w:contextualSpacing w:val="0"/>
              <w:rPr>
                <w:sz w:val="22"/>
              </w:rPr>
            </w:pPr>
            <w:r>
              <w:rPr>
                <w:sz w:val="22"/>
              </w:rPr>
              <w:t>The Committee deferred the report from the Acting CEO on the discussions reviewing each Executive Director’s 2025/26 objectives to its next meeting.</w:t>
            </w:r>
          </w:p>
          <w:p w:rsidR="00631939" w:rsidRPr="00F97765" w:rsidRDefault="00631939" w:rsidP="001F58E6">
            <w:pPr>
              <w:rPr>
                <w:sz w:val="22"/>
              </w:rPr>
            </w:pPr>
          </w:p>
        </w:tc>
      </w:tr>
      <w:tr w:rsidR="00631939" w:rsidRPr="00735134" w:rsidTr="00C34415">
        <w:trPr>
          <w:trHeight w:val="965"/>
        </w:trPr>
        <w:tc>
          <w:tcPr>
            <w:tcW w:w="3003" w:type="dxa"/>
          </w:tcPr>
          <w:p w:rsidR="00631939" w:rsidRPr="00735134" w:rsidRDefault="00631939" w:rsidP="001F58E6">
            <w:pPr>
              <w:rPr>
                <w:b/>
                <w:sz w:val="22"/>
              </w:rPr>
            </w:pPr>
            <w:r>
              <w:rPr>
                <w:b/>
                <w:sz w:val="22"/>
              </w:rPr>
              <w:t>Chief Executive (CE) mid-year performance update</w:t>
            </w:r>
          </w:p>
        </w:tc>
        <w:tc>
          <w:tcPr>
            <w:tcW w:w="7046" w:type="dxa"/>
          </w:tcPr>
          <w:p w:rsidR="00631939" w:rsidRDefault="00631939" w:rsidP="00631939">
            <w:pPr>
              <w:pStyle w:val="ListParagraph"/>
              <w:numPr>
                <w:ilvl w:val="0"/>
                <w:numId w:val="10"/>
              </w:numPr>
              <w:spacing w:after="0" w:line="240" w:lineRule="auto"/>
              <w:ind w:left="360"/>
              <w:contextualSpacing w:val="0"/>
              <w:rPr>
                <w:sz w:val="22"/>
              </w:rPr>
            </w:pPr>
            <w:r w:rsidRPr="0046452E">
              <w:rPr>
                <w:sz w:val="22"/>
              </w:rPr>
              <w:t xml:space="preserve">The </w:t>
            </w:r>
            <w:r>
              <w:rPr>
                <w:sz w:val="22"/>
              </w:rPr>
              <w:t xml:space="preserve">Committee received </w:t>
            </w:r>
            <w:r w:rsidRPr="004B3841">
              <w:rPr>
                <w:b/>
                <w:sz w:val="22"/>
              </w:rPr>
              <w:t>Assurance</w:t>
            </w:r>
            <w:r>
              <w:rPr>
                <w:sz w:val="22"/>
              </w:rPr>
              <w:t xml:space="preserve"> from the Trust Chair’s verbal report updating the Committee a mid-year performance meeting was held with the CE.  This included a review of objectives and feedback shared.</w:t>
            </w:r>
          </w:p>
          <w:p w:rsidR="00631939" w:rsidRDefault="00631939" w:rsidP="00631939">
            <w:pPr>
              <w:pStyle w:val="ListParagraph"/>
              <w:numPr>
                <w:ilvl w:val="0"/>
                <w:numId w:val="10"/>
              </w:numPr>
              <w:spacing w:after="0" w:line="240" w:lineRule="auto"/>
              <w:ind w:left="360"/>
              <w:contextualSpacing w:val="0"/>
              <w:rPr>
                <w:sz w:val="22"/>
              </w:rPr>
            </w:pPr>
            <w:r>
              <w:rPr>
                <w:sz w:val="22"/>
              </w:rPr>
              <w:t>The Committee also noted the Trust Chair had discussed and reviewed with individual NEDs their performance and aspirations.</w:t>
            </w:r>
          </w:p>
          <w:p w:rsidR="00631939" w:rsidRDefault="00631939" w:rsidP="00631939">
            <w:pPr>
              <w:pStyle w:val="ListParagraph"/>
              <w:numPr>
                <w:ilvl w:val="0"/>
                <w:numId w:val="10"/>
              </w:numPr>
              <w:spacing w:after="0" w:line="240" w:lineRule="auto"/>
              <w:ind w:left="360"/>
              <w:contextualSpacing w:val="0"/>
              <w:rPr>
                <w:sz w:val="22"/>
              </w:rPr>
            </w:pPr>
            <w:r>
              <w:rPr>
                <w:sz w:val="22"/>
              </w:rPr>
              <w:t>The Trust Chair welcomed ongoing feedback from both NEDs and Executive Directors on her own performance.</w:t>
            </w:r>
          </w:p>
          <w:p w:rsidR="00631939" w:rsidRPr="004B3841" w:rsidRDefault="00631939" w:rsidP="001F58E6">
            <w:pPr>
              <w:rPr>
                <w:sz w:val="22"/>
              </w:rPr>
            </w:pPr>
          </w:p>
        </w:tc>
      </w:tr>
      <w:tr w:rsidR="00631939" w:rsidTr="00C34415">
        <w:tc>
          <w:tcPr>
            <w:tcW w:w="3003" w:type="dxa"/>
          </w:tcPr>
          <w:p w:rsidR="00631939" w:rsidRPr="007C152D" w:rsidRDefault="00631939" w:rsidP="001F58E6">
            <w:pPr>
              <w:rPr>
                <w:b/>
                <w:sz w:val="22"/>
              </w:rPr>
            </w:pPr>
            <w:r>
              <w:rPr>
                <w:b/>
                <w:sz w:val="22"/>
              </w:rPr>
              <w:t>Board NED Term Renewals</w:t>
            </w:r>
          </w:p>
        </w:tc>
        <w:tc>
          <w:tcPr>
            <w:tcW w:w="7046" w:type="dxa"/>
          </w:tcPr>
          <w:p w:rsidR="00631939" w:rsidRDefault="00631939" w:rsidP="00631939">
            <w:pPr>
              <w:pStyle w:val="ListParagraph"/>
              <w:numPr>
                <w:ilvl w:val="0"/>
                <w:numId w:val="10"/>
              </w:numPr>
              <w:spacing w:after="0" w:line="240" w:lineRule="auto"/>
              <w:ind w:left="361" w:hanging="357"/>
              <w:contextualSpacing w:val="0"/>
              <w:rPr>
                <w:sz w:val="22"/>
              </w:rPr>
            </w:pPr>
            <w:r w:rsidRPr="007C152D">
              <w:rPr>
                <w:sz w:val="22"/>
              </w:rPr>
              <w:t xml:space="preserve">The Committee </w:t>
            </w:r>
            <w:r>
              <w:rPr>
                <w:sz w:val="22"/>
              </w:rPr>
              <w:t xml:space="preserve">received </w:t>
            </w:r>
            <w:r w:rsidRPr="007C152D">
              <w:rPr>
                <w:b/>
                <w:sz w:val="22"/>
              </w:rPr>
              <w:t>Assurance</w:t>
            </w:r>
            <w:r>
              <w:rPr>
                <w:sz w:val="22"/>
              </w:rPr>
              <w:t xml:space="preserve"> and noted the recommendation for renewal to the Council of Governors of Claudia Sykes as </w:t>
            </w:r>
            <w:proofErr w:type="gramStart"/>
            <w:r>
              <w:rPr>
                <w:sz w:val="22"/>
              </w:rPr>
              <w:t>a</w:t>
            </w:r>
            <w:proofErr w:type="gramEnd"/>
            <w:r>
              <w:rPr>
                <w:sz w:val="22"/>
              </w:rPr>
              <w:t xml:space="preserve"> EKHUFT NED for a second term (current first term ends on 28 February 2026).</w:t>
            </w:r>
          </w:p>
          <w:p w:rsidR="00631939" w:rsidRDefault="00631939" w:rsidP="00631939">
            <w:pPr>
              <w:pStyle w:val="ListParagraph"/>
              <w:numPr>
                <w:ilvl w:val="0"/>
                <w:numId w:val="10"/>
              </w:numPr>
              <w:spacing w:after="0" w:line="240" w:lineRule="auto"/>
              <w:ind w:left="361" w:hanging="357"/>
              <w:contextualSpacing w:val="0"/>
              <w:rPr>
                <w:sz w:val="22"/>
              </w:rPr>
            </w:pPr>
            <w:r>
              <w:rPr>
                <w:sz w:val="22"/>
              </w:rPr>
              <w:t xml:space="preserve">The Committee noted the </w:t>
            </w:r>
            <w:proofErr w:type="spellStart"/>
            <w:r>
              <w:rPr>
                <w:sz w:val="22"/>
              </w:rPr>
              <w:t>CoG</w:t>
            </w:r>
            <w:proofErr w:type="spellEnd"/>
            <w:r>
              <w:rPr>
                <w:sz w:val="22"/>
              </w:rPr>
              <w:t xml:space="preserve"> approval for the extensions of Andrew </w:t>
            </w:r>
            <w:proofErr w:type="spellStart"/>
            <w:r>
              <w:rPr>
                <w:sz w:val="22"/>
              </w:rPr>
              <w:t>Catto</w:t>
            </w:r>
            <w:proofErr w:type="spellEnd"/>
            <w:r>
              <w:rPr>
                <w:sz w:val="22"/>
              </w:rPr>
              <w:t xml:space="preserve"> (NED for a second term), and Chris Holland (Associate NED for a further 12 months).</w:t>
            </w:r>
          </w:p>
          <w:p w:rsidR="00631939" w:rsidRPr="00A1348E" w:rsidRDefault="00631939" w:rsidP="00631939">
            <w:pPr>
              <w:pStyle w:val="ListParagraph"/>
              <w:numPr>
                <w:ilvl w:val="0"/>
                <w:numId w:val="10"/>
              </w:numPr>
              <w:spacing w:after="0" w:line="240" w:lineRule="auto"/>
              <w:ind w:left="361" w:hanging="357"/>
              <w:contextualSpacing w:val="0"/>
              <w:rPr>
                <w:sz w:val="22"/>
              </w:rPr>
            </w:pPr>
            <w:r>
              <w:rPr>
                <w:sz w:val="22"/>
              </w:rPr>
              <w:t>The Committee noted feedback from Governors on NED performance will be shared with individual NEDs.</w:t>
            </w:r>
            <w:r w:rsidRPr="00A1348E">
              <w:rPr>
                <w:rFonts w:eastAsia="Calibri"/>
                <w:sz w:val="22"/>
                <w:lang w:eastAsia="en-US"/>
              </w:rPr>
              <w:t xml:space="preserve"> </w:t>
            </w:r>
          </w:p>
          <w:p w:rsidR="00631939" w:rsidRPr="007E6DA2" w:rsidRDefault="00631939" w:rsidP="001F58E6">
            <w:pPr>
              <w:ind w:left="4"/>
              <w:rPr>
                <w:sz w:val="22"/>
              </w:rPr>
            </w:pPr>
          </w:p>
        </w:tc>
      </w:tr>
      <w:tr w:rsidR="00631939" w:rsidTr="00C34415">
        <w:tc>
          <w:tcPr>
            <w:tcW w:w="3003" w:type="dxa"/>
          </w:tcPr>
          <w:p w:rsidR="00631939" w:rsidRPr="007C152D" w:rsidRDefault="00631939" w:rsidP="001F58E6">
            <w:pPr>
              <w:rPr>
                <w:b/>
                <w:sz w:val="22"/>
              </w:rPr>
            </w:pPr>
            <w:r>
              <w:rPr>
                <w:b/>
                <w:sz w:val="22"/>
              </w:rPr>
              <w:lastRenderedPageBreak/>
              <w:t>Any Other Business (AOB):  Board Committee Deputy Chairs</w:t>
            </w:r>
          </w:p>
        </w:tc>
        <w:tc>
          <w:tcPr>
            <w:tcW w:w="7046" w:type="dxa"/>
          </w:tcPr>
          <w:p w:rsidR="00631939" w:rsidRPr="00832A19" w:rsidRDefault="00631939" w:rsidP="00631939">
            <w:pPr>
              <w:pStyle w:val="ListParagraph"/>
              <w:numPr>
                <w:ilvl w:val="0"/>
                <w:numId w:val="10"/>
              </w:numPr>
              <w:spacing w:after="0" w:line="240" w:lineRule="auto"/>
              <w:ind w:left="361" w:hanging="357"/>
              <w:contextualSpacing w:val="0"/>
              <w:rPr>
                <w:sz w:val="22"/>
              </w:rPr>
            </w:pPr>
            <w:r w:rsidRPr="007C152D">
              <w:rPr>
                <w:sz w:val="22"/>
              </w:rPr>
              <w:t xml:space="preserve">The Committee </w:t>
            </w:r>
            <w:r>
              <w:rPr>
                <w:sz w:val="22"/>
              </w:rPr>
              <w:t>discussed identifying Deputy Chairs for each of the Board Committees, to provide cover during sickness or annual leave absences.  It was agreed the individual Board Committee Chairs will identify Deputy Chairs and provide their suggestions to the Trust Chair for consideration and confirmation.</w:t>
            </w:r>
          </w:p>
          <w:p w:rsidR="00631939" w:rsidRPr="007E6DA2" w:rsidRDefault="00631939" w:rsidP="001F58E6">
            <w:pPr>
              <w:ind w:left="4"/>
              <w:rPr>
                <w:sz w:val="22"/>
              </w:rPr>
            </w:pPr>
          </w:p>
        </w:tc>
      </w:tr>
    </w:tbl>
    <w:p w:rsidR="00631939" w:rsidRDefault="00631939" w:rsidP="00631939">
      <w:bookmarkStart w:id="9" w:name="_Hlk138943351"/>
    </w:p>
    <w:p w:rsidR="00631939" w:rsidRPr="00C34415" w:rsidRDefault="00631939" w:rsidP="00C34415">
      <w:pPr>
        <w:pStyle w:val="Heading2"/>
        <w:shd w:val="clear" w:color="auto" w:fill="E8EDEE" w:themeFill="background2"/>
      </w:pPr>
      <w:bookmarkStart w:id="10" w:name="_Toc221093377"/>
      <w:r w:rsidRPr="00C34415">
        <w:t>Other items of business</w:t>
      </w:r>
      <w:bookmarkEnd w:id="10"/>
    </w:p>
    <w:p w:rsidR="00631939" w:rsidRPr="00E7753C" w:rsidRDefault="00631939" w:rsidP="00631939">
      <w:pPr>
        <w:pStyle w:val="ListParagraph"/>
        <w:numPr>
          <w:ilvl w:val="0"/>
          <w:numId w:val="11"/>
        </w:numPr>
        <w:tabs>
          <w:tab w:val="clear" w:pos="720"/>
          <w:tab w:val="num" w:pos="360"/>
        </w:tabs>
        <w:spacing w:after="0" w:line="240" w:lineRule="auto"/>
        <w:ind w:left="346"/>
        <w:rPr>
          <w:rFonts w:cs="Arial"/>
          <w:sz w:val="22"/>
        </w:rPr>
      </w:pPr>
      <w:r w:rsidRPr="00E7753C">
        <w:rPr>
          <w:rFonts w:cs="Arial"/>
          <w:sz w:val="22"/>
        </w:rPr>
        <w:t>The Committe</w:t>
      </w:r>
      <w:r>
        <w:rPr>
          <w:rFonts w:cs="Arial"/>
          <w:sz w:val="22"/>
        </w:rPr>
        <w:t xml:space="preserve">e noted </w:t>
      </w:r>
      <w:r w:rsidRPr="00E7753C">
        <w:rPr>
          <w:rFonts w:cs="Arial"/>
          <w:sz w:val="22"/>
        </w:rPr>
        <w:t>the 202</w:t>
      </w:r>
      <w:r>
        <w:rPr>
          <w:rFonts w:cs="Arial"/>
          <w:sz w:val="22"/>
        </w:rPr>
        <w:t>5/26</w:t>
      </w:r>
      <w:r w:rsidRPr="00E7753C">
        <w:rPr>
          <w:rFonts w:cs="Arial"/>
          <w:sz w:val="22"/>
        </w:rPr>
        <w:t xml:space="preserve"> Annual NRC Work Programme.</w:t>
      </w:r>
    </w:p>
    <w:p w:rsidR="00631939" w:rsidRDefault="00631939" w:rsidP="00631939">
      <w:pPr>
        <w:pStyle w:val="ListParagraph"/>
        <w:numPr>
          <w:ilvl w:val="0"/>
          <w:numId w:val="11"/>
        </w:numPr>
        <w:tabs>
          <w:tab w:val="clear" w:pos="720"/>
          <w:tab w:val="num" w:pos="360"/>
        </w:tabs>
        <w:spacing w:after="0" w:line="240" w:lineRule="auto"/>
        <w:ind w:left="346"/>
        <w:rPr>
          <w:rFonts w:cs="Arial"/>
          <w:sz w:val="22"/>
        </w:rPr>
      </w:pPr>
      <w:r w:rsidRPr="00E7753C">
        <w:rPr>
          <w:rFonts w:cs="Arial"/>
          <w:sz w:val="22"/>
        </w:rPr>
        <w:t>The Committee</w:t>
      </w:r>
      <w:r>
        <w:rPr>
          <w:rFonts w:cs="Arial"/>
          <w:sz w:val="22"/>
        </w:rPr>
        <w:t xml:space="preserve"> noted </w:t>
      </w:r>
      <w:r w:rsidRPr="00E7753C">
        <w:rPr>
          <w:rFonts w:cs="Arial"/>
          <w:sz w:val="22"/>
        </w:rPr>
        <w:t>the Board Register of Interests</w:t>
      </w:r>
      <w:r>
        <w:rPr>
          <w:rFonts w:cs="Arial"/>
          <w:sz w:val="22"/>
        </w:rPr>
        <w:t xml:space="preserve"> and the revision for the Trust Chair in removing the interest as NED with Cambridge University Hospitals NHS Foundation Trust finishing at the end of December 2025</w:t>
      </w:r>
      <w:r w:rsidRPr="00E7753C">
        <w:rPr>
          <w:rFonts w:cs="Arial"/>
          <w:sz w:val="22"/>
        </w:rPr>
        <w:t>.</w:t>
      </w:r>
    </w:p>
    <w:p w:rsidR="00631939" w:rsidRPr="00D33ECB" w:rsidRDefault="00631939" w:rsidP="00631939">
      <w:pPr>
        <w:ind w:left="-14"/>
        <w:contextualSpacing/>
        <w:rPr>
          <w:rFonts w:cs="Arial"/>
          <w:sz w:val="22"/>
        </w:rPr>
      </w:pPr>
    </w:p>
    <w:p w:rsidR="00631939" w:rsidRPr="00C34415" w:rsidRDefault="00631939" w:rsidP="00C34415">
      <w:pPr>
        <w:pStyle w:val="Heading2"/>
        <w:shd w:val="clear" w:color="auto" w:fill="E8EDEE" w:themeFill="background2"/>
      </w:pPr>
      <w:bookmarkStart w:id="11" w:name="_Toc221093378"/>
      <w:r w:rsidRPr="00C34415">
        <w:t xml:space="preserve">Items referred to the </w:t>
      </w:r>
      <w:proofErr w:type="spellStart"/>
      <w:r w:rsidRPr="00C34415">
        <w:t>BoD</w:t>
      </w:r>
      <w:proofErr w:type="spellEnd"/>
      <w:r w:rsidRPr="00C34415">
        <w:t xml:space="preserve"> or another Committee for approval, decision or action:</w:t>
      </w:r>
      <w:bookmarkEnd w:id="11"/>
    </w:p>
    <w:tbl>
      <w:tblPr>
        <w:tblStyle w:val="TableGrid"/>
        <w:tblW w:w="0" w:type="auto"/>
        <w:tblLook w:val="0620" w:firstRow="1" w:lastRow="0" w:firstColumn="0" w:lastColumn="0" w:noHBand="1" w:noVBand="1"/>
      </w:tblPr>
      <w:tblGrid>
        <w:gridCol w:w="3349"/>
        <w:gridCol w:w="3350"/>
        <w:gridCol w:w="3350"/>
      </w:tblGrid>
      <w:tr w:rsidR="00631939" w:rsidTr="001F58E6">
        <w:tc>
          <w:tcPr>
            <w:tcW w:w="3349" w:type="dxa"/>
          </w:tcPr>
          <w:p w:rsidR="00631939" w:rsidRPr="0074324E" w:rsidRDefault="00631939" w:rsidP="001F58E6">
            <w:pPr>
              <w:rPr>
                <w:b/>
                <w:sz w:val="22"/>
              </w:rPr>
            </w:pPr>
            <w:r w:rsidRPr="0074324E">
              <w:rPr>
                <w:b/>
                <w:sz w:val="22"/>
              </w:rPr>
              <w:t>Item</w:t>
            </w:r>
          </w:p>
        </w:tc>
        <w:tc>
          <w:tcPr>
            <w:tcW w:w="3350" w:type="dxa"/>
          </w:tcPr>
          <w:p w:rsidR="00631939" w:rsidRPr="0074324E" w:rsidRDefault="00631939" w:rsidP="001F58E6">
            <w:pPr>
              <w:rPr>
                <w:b/>
                <w:sz w:val="22"/>
              </w:rPr>
            </w:pPr>
            <w:r w:rsidRPr="0074324E">
              <w:rPr>
                <w:b/>
                <w:sz w:val="22"/>
              </w:rPr>
              <w:t>Purpose</w:t>
            </w:r>
          </w:p>
        </w:tc>
        <w:tc>
          <w:tcPr>
            <w:tcW w:w="3350" w:type="dxa"/>
          </w:tcPr>
          <w:p w:rsidR="00631939" w:rsidRPr="0074324E" w:rsidRDefault="00631939" w:rsidP="001F58E6">
            <w:pPr>
              <w:rPr>
                <w:b/>
                <w:sz w:val="22"/>
              </w:rPr>
            </w:pPr>
            <w:r w:rsidRPr="0074324E">
              <w:rPr>
                <w:b/>
                <w:sz w:val="22"/>
              </w:rPr>
              <w:t>Date</w:t>
            </w:r>
          </w:p>
        </w:tc>
      </w:tr>
      <w:tr w:rsidR="00631939" w:rsidRPr="00E7753C" w:rsidTr="001F58E6">
        <w:tc>
          <w:tcPr>
            <w:tcW w:w="3349" w:type="dxa"/>
          </w:tcPr>
          <w:p w:rsidR="00631939" w:rsidRPr="00E7753C" w:rsidRDefault="00631939" w:rsidP="001F58E6">
            <w:pPr>
              <w:rPr>
                <w:sz w:val="22"/>
              </w:rPr>
            </w:pPr>
            <w:r w:rsidRPr="00E7753C">
              <w:rPr>
                <w:sz w:val="22"/>
              </w:rPr>
              <w:t xml:space="preserve">The </w:t>
            </w:r>
            <w:r>
              <w:rPr>
                <w:sz w:val="22"/>
              </w:rPr>
              <w:t xml:space="preserve">NRC </w:t>
            </w:r>
            <w:r w:rsidRPr="00E7753C">
              <w:rPr>
                <w:sz w:val="22"/>
              </w:rPr>
              <w:t>ask</w:t>
            </w:r>
            <w:r>
              <w:rPr>
                <w:sz w:val="22"/>
              </w:rPr>
              <w:t>s</w:t>
            </w:r>
            <w:r w:rsidRPr="00E7753C">
              <w:rPr>
                <w:sz w:val="22"/>
              </w:rPr>
              <w:t xml:space="preserve"> the </w:t>
            </w:r>
            <w:proofErr w:type="spellStart"/>
            <w:r w:rsidRPr="00E7753C">
              <w:rPr>
                <w:sz w:val="22"/>
              </w:rPr>
              <w:t>BoD</w:t>
            </w:r>
            <w:proofErr w:type="spellEnd"/>
            <w:r w:rsidRPr="00E7753C">
              <w:rPr>
                <w:sz w:val="22"/>
              </w:rPr>
              <w:t xml:space="preserve"> to receive and </w:t>
            </w:r>
            <w:r w:rsidRPr="00F16B08">
              <w:rPr>
                <w:rFonts w:ascii="Arial Bold" w:hAnsi="Arial Bold"/>
                <w:b/>
                <w:caps/>
                <w:sz w:val="22"/>
              </w:rPr>
              <w:t>note</w:t>
            </w:r>
            <w:r w:rsidRPr="00E7753C">
              <w:rPr>
                <w:sz w:val="22"/>
              </w:rPr>
              <w:t xml:space="preserve"> this assurance report. </w:t>
            </w:r>
          </w:p>
        </w:tc>
        <w:tc>
          <w:tcPr>
            <w:tcW w:w="3350" w:type="dxa"/>
          </w:tcPr>
          <w:p w:rsidR="00631939" w:rsidRDefault="00631939" w:rsidP="001F58E6">
            <w:pPr>
              <w:rPr>
                <w:sz w:val="22"/>
              </w:rPr>
            </w:pPr>
            <w:r w:rsidRPr="00E7753C">
              <w:rPr>
                <w:sz w:val="22"/>
              </w:rPr>
              <w:t>Assurance</w:t>
            </w:r>
          </w:p>
          <w:p w:rsidR="00631939" w:rsidRPr="00E7753C" w:rsidRDefault="00631939" w:rsidP="001F58E6">
            <w:pPr>
              <w:rPr>
                <w:sz w:val="22"/>
              </w:rPr>
            </w:pPr>
          </w:p>
        </w:tc>
        <w:tc>
          <w:tcPr>
            <w:tcW w:w="3350" w:type="dxa"/>
          </w:tcPr>
          <w:p w:rsidR="00631939" w:rsidRDefault="00631939" w:rsidP="001F58E6">
            <w:pPr>
              <w:rPr>
                <w:sz w:val="22"/>
              </w:rPr>
            </w:pPr>
            <w:r w:rsidRPr="00E7753C">
              <w:rPr>
                <w:sz w:val="22"/>
              </w:rPr>
              <w:t xml:space="preserve">To Board on </w:t>
            </w:r>
            <w:r>
              <w:rPr>
                <w:sz w:val="22"/>
              </w:rPr>
              <w:t xml:space="preserve">5 February </w:t>
            </w:r>
            <w:r w:rsidRPr="00E7753C">
              <w:rPr>
                <w:sz w:val="22"/>
              </w:rPr>
              <w:t>202</w:t>
            </w:r>
            <w:r>
              <w:rPr>
                <w:sz w:val="22"/>
              </w:rPr>
              <w:t>6</w:t>
            </w:r>
          </w:p>
          <w:p w:rsidR="00631939" w:rsidRPr="00E7753C" w:rsidRDefault="00631939" w:rsidP="001F58E6">
            <w:pPr>
              <w:rPr>
                <w:sz w:val="22"/>
              </w:rPr>
            </w:pPr>
          </w:p>
        </w:tc>
      </w:tr>
      <w:bookmarkEnd w:id="9"/>
    </w:tbl>
    <w:p w:rsidR="00E24A8E" w:rsidRDefault="00E24A8E" w:rsidP="00C34415">
      <w:pPr>
        <w:pStyle w:val="NoSpacing"/>
        <w:sectPr w:rsidR="00E24A8E" w:rsidSect="001F58E6">
          <w:headerReference w:type="even" r:id="rId14"/>
          <w:headerReference w:type="default" r:id="rId15"/>
          <w:footerReference w:type="even" r:id="rId16"/>
          <w:footerReference w:type="default" r:id="rId17"/>
          <w:headerReference w:type="first" r:id="rId18"/>
          <w:pgSz w:w="11906" w:h="16838" w:code="9"/>
          <w:pgMar w:top="2109" w:right="707" w:bottom="426" w:left="1140" w:header="426" w:footer="384" w:gutter="0"/>
          <w:cols w:space="720"/>
        </w:sectPr>
      </w:pPr>
    </w:p>
    <w:p w:rsidR="00E24A8E" w:rsidRPr="00D926AE" w:rsidRDefault="001F58E6" w:rsidP="001F58E6">
      <w:pPr>
        <w:pStyle w:val="Heading1"/>
        <w:spacing w:after="240"/>
        <w:jc w:val="center"/>
        <w:rPr>
          <w:szCs w:val="24"/>
        </w:rPr>
      </w:pPr>
      <w:bookmarkStart w:id="12" w:name="_Toc221093379"/>
      <w:r>
        <w:rPr>
          <w:szCs w:val="24"/>
        </w:rPr>
        <w:lastRenderedPageBreak/>
        <w:t xml:space="preserve">122.2 </w:t>
      </w:r>
      <w:r w:rsidR="00E24A8E" w:rsidRPr="00D926AE">
        <w:rPr>
          <w:szCs w:val="24"/>
        </w:rPr>
        <w:t>BOARD COMMITTEE ASSURANCE REPORT TO THE BOARD OF DIRECTORS (BoD)</w:t>
      </w:r>
      <w:bookmarkEnd w:id="12"/>
    </w:p>
    <w:p w:rsidR="00E24A8E" w:rsidRPr="00D926AE" w:rsidRDefault="00E24A8E" w:rsidP="00E24A8E">
      <w:pPr>
        <w:shd w:val="clear" w:color="auto" w:fill="E8EDEE" w:themeFill="background2"/>
        <w:rPr>
          <w:rFonts w:cs="Arial"/>
          <w:b/>
          <w:szCs w:val="24"/>
        </w:rPr>
      </w:pPr>
      <w:r w:rsidRPr="00D926AE">
        <w:rPr>
          <w:rFonts w:cs="Arial"/>
          <w:b/>
          <w:szCs w:val="24"/>
        </w:rPr>
        <w:t>Committee:</w:t>
      </w:r>
      <w:r w:rsidRPr="00D926AE">
        <w:rPr>
          <w:rFonts w:cs="Arial"/>
          <w:szCs w:val="24"/>
        </w:rPr>
        <w:t xml:space="preserve"> </w:t>
      </w:r>
      <w:r w:rsidRPr="00D926AE">
        <w:rPr>
          <w:rFonts w:cs="Arial"/>
          <w:szCs w:val="24"/>
        </w:rPr>
        <w:tab/>
      </w:r>
      <w:r w:rsidRPr="00D926AE">
        <w:rPr>
          <w:rFonts w:cs="Arial"/>
          <w:b/>
          <w:szCs w:val="24"/>
        </w:rPr>
        <w:t>Quality and Safety Committee (Q&amp;SC)</w:t>
      </w:r>
    </w:p>
    <w:p w:rsidR="00E24A8E" w:rsidRPr="00D926AE" w:rsidRDefault="00E24A8E" w:rsidP="001F58E6">
      <w:pPr>
        <w:rPr>
          <w:rFonts w:cs="Arial"/>
          <w:b/>
          <w:szCs w:val="24"/>
        </w:rPr>
      </w:pPr>
      <w:r w:rsidRPr="00D926AE">
        <w:rPr>
          <w:rFonts w:cs="Arial"/>
          <w:b/>
          <w:szCs w:val="24"/>
        </w:rPr>
        <w:t xml:space="preserve">Meeting dates: </w:t>
      </w:r>
      <w:r w:rsidRPr="00D926AE">
        <w:rPr>
          <w:rFonts w:cs="Arial"/>
          <w:b/>
          <w:szCs w:val="24"/>
        </w:rPr>
        <w:tab/>
        <w:t>18 November 2025</w:t>
      </w:r>
    </w:p>
    <w:p w:rsidR="00E24A8E" w:rsidRPr="00D926AE" w:rsidRDefault="00E24A8E" w:rsidP="001F58E6">
      <w:pPr>
        <w:rPr>
          <w:rFonts w:cs="Arial"/>
          <w:b/>
          <w:color w:val="FF0000"/>
          <w:szCs w:val="24"/>
        </w:rPr>
      </w:pPr>
      <w:r w:rsidRPr="00D926AE">
        <w:rPr>
          <w:rFonts w:cs="Arial"/>
          <w:b/>
          <w:szCs w:val="24"/>
        </w:rPr>
        <w:t xml:space="preserve">Chair: </w:t>
      </w:r>
      <w:r w:rsidRPr="00D926AE">
        <w:rPr>
          <w:rFonts w:cs="Arial"/>
          <w:b/>
          <w:szCs w:val="24"/>
        </w:rPr>
        <w:tab/>
      </w:r>
      <w:r w:rsidRPr="00D926AE">
        <w:rPr>
          <w:rFonts w:cs="Arial"/>
          <w:b/>
          <w:szCs w:val="24"/>
        </w:rPr>
        <w:tab/>
        <w:t>Dr Andrew Catto, Non-Executive Director (NED)</w:t>
      </w:r>
    </w:p>
    <w:p w:rsidR="00E24A8E" w:rsidRPr="00D926AE" w:rsidRDefault="00E24A8E" w:rsidP="001F58E6">
      <w:pPr>
        <w:rPr>
          <w:rFonts w:cs="Arial"/>
          <w:b/>
          <w:color w:val="FF0000"/>
          <w:szCs w:val="24"/>
        </w:rPr>
      </w:pPr>
      <w:r w:rsidRPr="00D926AE">
        <w:rPr>
          <w:rFonts w:cs="Arial"/>
          <w:b/>
          <w:szCs w:val="24"/>
        </w:rPr>
        <w:t xml:space="preserve">Paper Author: </w:t>
      </w:r>
      <w:r w:rsidRPr="00D926AE">
        <w:rPr>
          <w:rFonts w:cs="Arial"/>
          <w:b/>
          <w:szCs w:val="24"/>
        </w:rPr>
        <w:tab/>
        <w:t>Executive Assistant</w:t>
      </w:r>
    </w:p>
    <w:p w:rsidR="00E24A8E" w:rsidRPr="00D926AE" w:rsidRDefault="00E24A8E" w:rsidP="001F58E6">
      <w:pPr>
        <w:rPr>
          <w:rFonts w:cs="Arial"/>
          <w:b/>
          <w:szCs w:val="24"/>
        </w:rPr>
      </w:pPr>
      <w:r w:rsidRPr="00D926AE">
        <w:rPr>
          <w:rFonts w:cs="Arial"/>
          <w:b/>
          <w:szCs w:val="24"/>
        </w:rPr>
        <w:t>Quorate:</w:t>
      </w:r>
      <w:r>
        <w:rPr>
          <w:rFonts w:cs="Arial"/>
          <w:b/>
          <w:szCs w:val="24"/>
        </w:rPr>
        <w:tab/>
      </w:r>
      <w:r w:rsidRPr="00D926AE">
        <w:rPr>
          <w:rFonts w:cs="Arial"/>
          <w:b/>
          <w:szCs w:val="24"/>
        </w:rPr>
        <w:t>Yes</w:t>
      </w:r>
    </w:p>
    <w:p w:rsidR="00E24A8E" w:rsidRPr="00D926AE" w:rsidRDefault="00E24A8E" w:rsidP="00E24A8E">
      <w:pPr>
        <w:pStyle w:val="Heading2"/>
        <w:shd w:val="clear" w:color="auto" w:fill="E8EDEE" w:themeFill="background2"/>
        <w:tabs>
          <w:tab w:val="left" w:pos="2552"/>
          <w:tab w:val="left" w:pos="4536"/>
          <w:tab w:val="left" w:pos="6237"/>
          <w:tab w:val="left" w:pos="8364"/>
        </w:tabs>
        <w:rPr>
          <w:rFonts w:cs="Arial"/>
          <w:sz w:val="24"/>
          <w:szCs w:val="24"/>
        </w:rPr>
      </w:pPr>
      <w:bookmarkStart w:id="13" w:name="_Toc221093380"/>
      <w:r w:rsidRPr="00D926AE">
        <w:rPr>
          <w:rFonts w:cs="Arial"/>
          <w:sz w:val="24"/>
          <w:szCs w:val="24"/>
        </w:rPr>
        <w:t>Appendices:</w:t>
      </w:r>
      <w:bookmarkEnd w:id="13"/>
    </w:p>
    <w:p w:rsidR="00E24A8E" w:rsidRPr="00D926AE" w:rsidRDefault="00E24A8E" w:rsidP="001F58E6">
      <w:pPr>
        <w:rPr>
          <w:rFonts w:cs="Arial"/>
          <w:szCs w:val="24"/>
        </w:rPr>
      </w:pPr>
      <w:r w:rsidRPr="00D926AE">
        <w:rPr>
          <w:rFonts w:cs="Arial"/>
          <w:szCs w:val="24"/>
        </w:rPr>
        <w:t>None</w:t>
      </w:r>
    </w:p>
    <w:p w:rsidR="00E24A8E" w:rsidRPr="00D926AE" w:rsidRDefault="00E24A8E" w:rsidP="00E24A8E">
      <w:pPr>
        <w:pStyle w:val="Heading2"/>
        <w:shd w:val="clear" w:color="auto" w:fill="E8EDEE" w:themeFill="background2"/>
        <w:rPr>
          <w:rFonts w:cs="Arial"/>
          <w:sz w:val="24"/>
          <w:szCs w:val="24"/>
        </w:rPr>
      </w:pPr>
      <w:bookmarkStart w:id="14" w:name="_Toc221093381"/>
      <w:r w:rsidRPr="00D926AE">
        <w:rPr>
          <w:rFonts w:cs="Arial"/>
          <w:sz w:val="24"/>
          <w:szCs w:val="24"/>
        </w:rPr>
        <w:t>Declarations of interest made:</w:t>
      </w:r>
      <w:bookmarkEnd w:id="14"/>
    </w:p>
    <w:p w:rsidR="00E24A8E" w:rsidRPr="00D926AE" w:rsidRDefault="00E24A8E" w:rsidP="001F58E6">
      <w:pPr>
        <w:rPr>
          <w:rFonts w:cs="Arial"/>
          <w:szCs w:val="24"/>
        </w:rPr>
      </w:pPr>
      <w:r w:rsidRPr="00D926AE">
        <w:rPr>
          <w:rFonts w:cs="Arial"/>
          <w:szCs w:val="24"/>
        </w:rPr>
        <w:t xml:space="preserve"> None</w:t>
      </w:r>
    </w:p>
    <w:p w:rsidR="00E24A8E" w:rsidRDefault="00E24A8E" w:rsidP="00E24A8E">
      <w:pPr>
        <w:pStyle w:val="Heading2"/>
        <w:shd w:val="clear" w:color="auto" w:fill="E8EDEE" w:themeFill="background2"/>
        <w:rPr>
          <w:rFonts w:cs="Arial"/>
          <w:sz w:val="24"/>
          <w:szCs w:val="24"/>
        </w:rPr>
      </w:pPr>
      <w:bookmarkStart w:id="15" w:name="_Toc221093382"/>
      <w:r w:rsidRPr="00D926AE">
        <w:rPr>
          <w:rFonts w:cs="Arial"/>
          <w:sz w:val="24"/>
          <w:szCs w:val="24"/>
        </w:rPr>
        <w:t>Assurances received at the Committee meeting - focus on learning and improvement:</w:t>
      </w:r>
      <w:bookmarkEnd w:id="15"/>
    </w:p>
    <w:tbl>
      <w:tblPr>
        <w:tblStyle w:val="TableGridLight"/>
        <w:tblW w:w="0" w:type="auto"/>
        <w:tblLook w:val="0620" w:firstRow="1" w:lastRow="0" w:firstColumn="0" w:lastColumn="0" w:noHBand="1" w:noVBand="1"/>
      </w:tblPr>
      <w:tblGrid>
        <w:gridCol w:w="2515"/>
        <w:gridCol w:w="7403"/>
      </w:tblGrid>
      <w:tr w:rsidR="00E24A8E" w:rsidRPr="00D926AE" w:rsidTr="00E24A8E">
        <w:trPr>
          <w:cnfStyle w:val="100000000000" w:firstRow="1" w:lastRow="0" w:firstColumn="0" w:lastColumn="0" w:oddVBand="0" w:evenVBand="0" w:oddHBand="0" w:evenHBand="0" w:firstRowFirstColumn="0" w:firstRowLastColumn="0" w:lastRowFirstColumn="0" w:lastRowLastColumn="0"/>
        </w:trPr>
        <w:tc>
          <w:tcPr>
            <w:tcW w:w="2515" w:type="dxa"/>
          </w:tcPr>
          <w:p w:rsidR="00E24A8E" w:rsidRPr="00D926AE" w:rsidRDefault="00E24A8E" w:rsidP="001F58E6">
            <w:pPr>
              <w:rPr>
                <w:rFonts w:cs="Arial"/>
                <w:b w:val="0"/>
                <w:szCs w:val="24"/>
              </w:rPr>
            </w:pPr>
            <w:r w:rsidRPr="00D926AE">
              <w:rPr>
                <w:rFonts w:cs="Arial"/>
                <w:szCs w:val="24"/>
              </w:rPr>
              <w:t>Agenda item</w:t>
            </w:r>
          </w:p>
        </w:tc>
        <w:tc>
          <w:tcPr>
            <w:tcW w:w="7403" w:type="dxa"/>
          </w:tcPr>
          <w:p w:rsidR="00E24A8E" w:rsidRPr="00D926AE" w:rsidRDefault="00E24A8E" w:rsidP="001F58E6">
            <w:pPr>
              <w:rPr>
                <w:rFonts w:cs="Arial"/>
                <w:b w:val="0"/>
                <w:szCs w:val="24"/>
              </w:rPr>
            </w:pPr>
            <w:r w:rsidRPr="00D926AE">
              <w:rPr>
                <w:rFonts w:cs="Arial"/>
                <w:szCs w:val="24"/>
              </w:rPr>
              <w:t>Summary</w:t>
            </w:r>
          </w:p>
        </w:tc>
      </w:tr>
      <w:tr w:rsidR="00E24A8E" w:rsidRPr="009842D1" w:rsidTr="00E24A8E">
        <w:tc>
          <w:tcPr>
            <w:tcW w:w="2515" w:type="dxa"/>
          </w:tcPr>
          <w:p w:rsidR="00E24A8E" w:rsidRPr="009842D1" w:rsidRDefault="00E24A8E" w:rsidP="001F58E6">
            <w:pPr>
              <w:rPr>
                <w:rFonts w:cs="Arial"/>
                <w:b/>
                <w:sz w:val="22"/>
              </w:rPr>
            </w:pPr>
            <w:r w:rsidRPr="009842D1">
              <w:rPr>
                <w:rFonts w:cs="Arial"/>
                <w:b/>
                <w:sz w:val="22"/>
              </w:rPr>
              <w:lastRenderedPageBreak/>
              <w:t>CARE GROUP DEEP DIVE/PRESENTATION – WILLIAM HARVEY HOSPITAL (WHH)</w:t>
            </w:r>
          </w:p>
        </w:tc>
        <w:tc>
          <w:tcPr>
            <w:tcW w:w="7403" w:type="dxa"/>
          </w:tcPr>
          <w:p w:rsidR="00E24A8E" w:rsidRPr="009842D1" w:rsidRDefault="00E24A8E" w:rsidP="001F58E6">
            <w:pPr>
              <w:pStyle w:val="BodyA"/>
              <w:keepNext/>
              <w:keepLines/>
              <w:widowControl w:val="0"/>
              <w:rPr>
                <w:bCs/>
              </w:rPr>
            </w:pPr>
            <w:r w:rsidRPr="009842D1">
              <w:rPr>
                <w:bCs/>
              </w:rPr>
              <w:t xml:space="preserve">The Committee </w:t>
            </w:r>
            <w:r w:rsidRPr="009842D1">
              <w:t xml:space="preserve">received the report and </w:t>
            </w:r>
            <w:r w:rsidRPr="009842D1">
              <w:rPr>
                <w:b/>
              </w:rPr>
              <w:t>NOTED</w:t>
            </w:r>
            <w:r w:rsidRPr="009842D1">
              <w:t xml:space="preserve"> the following key updates</w:t>
            </w:r>
            <w:r>
              <w:t>:</w:t>
            </w:r>
          </w:p>
          <w:p w:rsidR="00E24A8E" w:rsidRPr="009842D1" w:rsidRDefault="00E24A8E" w:rsidP="00E24A8E">
            <w:pPr>
              <w:pStyle w:val="BodyA"/>
              <w:keepNext/>
              <w:keepLines/>
              <w:widowControl w:val="0"/>
              <w:numPr>
                <w:ilvl w:val="0"/>
                <w:numId w:val="19"/>
              </w:numPr>
              <w:pBdr>
                <w:top w:val="nil"/>
                <w:left w:val="nil"/>
                <w:bottom w:val="nil"/>
                <w:right w:val="nil"/>
                <w:between w:val="nil"/>
                <w:bar w:val="nil"/>
              </w:pBdr>
              <w:rPr>
                <w:bCs/>
              </w:rPr>
            </w:pPr>
            <w:r w:rsidRPr="009842D1">
              <w:rPr>
                <w:bCs/>
              </w:rPr>
              <w:t xml:space="preserve">The care group had </w:t>
            </w:r>
            <w:r>
              <w:rPr>
                <w:bCs/>
              </w:rPr>
              <w:t>four</w:t>
            </w:r>
            <w:r w:rsidRPr="009842D1">
              <w:rPr>
                <w:bCs/>
              </w:rPr>
              <w:t xml:space="preserve"> risks on the Corporate Risk Register</w:t>
            </w:r>
            <w:r>
              <w:rPr>
                <w:bCs/>
              </w:rPr>
              <w:t xml:space="preserve"> (CRR)</w:t>
            </w:r>
            <w:r w:rsidRPr="009842D1">
              <w:rPr>
                <w:bCs/>
              </w:rPr>
              <w:t>, which were aligned to the Emergency Department</w:t>
            </w:r>
            <w:r>
              <w:rPr>
                <w:bCs/>
              </w:rPr>
              <w:t xml:space="preserve"> (ED)</w:t>
            </w:r>
            <w:r w:rsidRPr="009842D1">
              <w:rPr>
                <w:bCs/>
              </w:rPr>
              <w:t>, and related to demand and capacity, long waits, and safety and privacy within the department.  There was also an emerging risk related to the ventilation within the department and the impact on air quality and infection prevention control</w:t>
            </w:r>
            <w:r>
              <w:rPr>
                <w:bCs/>
              </w:rPr>
              <w:t xml:space="preserve"> (IPC)</w:t>
            </w:r>
            <w:r w:rsidRPr="009842D1">
              <w:rPr>
                <w:bCs/>
              </w:rPr>
              <w:t>.</w:t>
            </w:r>
          </w:p>
          <w:p w:rsidR="00E24A8E" w:rsidRPr="009842D1" w:rsidRDefault="00E24A8E" w:rsidP="00E24A8E">
            <w:pPr>
              <w:pStyle w:val="BodyA"/>
              <w:keepNext/>
              <w:keepLines/>
              <w:widowControl w:val="0"/>
              <w:numPr>
                <w:ilvl w:val="0"/>
                <w:numId w:val="19"/>
              </w:numPr>
              <w:pBdr>
                <w:top w:val="nil"/>
                <w:left w:val="nil"/>
                <w:bottom w:val="nil"/>
                <w:right w:val="nil"/>
                <w:between w:val="nil"/>
                <w:bar w:val="nil"/>
              </w:pBdr>
              <w:rPr>
                <w:bCs/>
              </w:rPr>
            </w:pPr>
            <w:r w:rsidRPr="009842D1">
              <w:rPr>
                <w:bCs/>
              </w:rPr>
              <w:t xml:space="preserve">There were </w:t>
            </w:r>
            <w:r>
              <w:rPr>
                <w:bCs/>
              </w:rPr>
              <w:t>three</w:t>
            </w:r>
            <w:r w:rsidRPr="009842D1">
              <w:rPr>
                <w:bCs/>
              </w:rPr>
              <w:t xml:space="preserve"> significant risks on the care group risk register, and these were capacity to deliver gastroenterology outpatients in a timely manner, cardiac catheter suite equipment and appointments for diabetes and endocrinology patients.</w:t>
            </w:r>
          </w:p>
          <w:p w:rsidR="00E24A8E" w:rsidRPr="009842D1" w:rsidRDefault="00E24A8E" w:rsidP="00E24A8E">
            <w:pPr>
              <w:pStyle w:val="BodyA"/>
              <w:keepNext/>
              <w:keepLines/>
              <w:widowControl w:val="0"/>
              <w:numPr>
                <w:ilvl w:val="0"/>
                <w:numId w:val="19"/>
              </w:numPr>
              <w:pBdr>
                <w:top w:val="nil"/>
                <w:left w:val="nil"/>
                <w:bottom w:val="nil"/>
                <w:right w:val="nil"/>
                <w:between w:val="nil"/>
                <w:bar w:val="nil"/>
              </w:pBdr>
              <w:rPr>
                <w:bCs/>
              </w:rPr>
            </w:pPr>
            <w:r w:rsidRPr="009842D1">
              <w:rPr>
                <w:bCs/>
              </w:rPr>
              <w:t>The</w:t>
            </w:r>
            <w:r>
              <w:rPr>
                <w:bCs/>
              </w:rPr>
              <w:t xml:space="preserve"> Health Care of Older People (</w:t>
            </w:r>
            <w:r w:rsidRPr="009842D1">
              <w:rPr>
                <w:bCs/>
              </w:rPr>
              <w:t>HCOOP</w:t>
            </w:r>
            <w:r>
              <w:rPr>
                <w:bCs/>
              </w:rPr>
              <w:t>)</w:t>
            </w:r>
            <w:r w:rsidRPr="009842D1">
              <w:rPr>
                <w:bCs/>
              </w:rPr>
              <w:t xml:space="preserve"> time to consultant review audit had taken place</w:t>
            </w:r>
            <w:r>
              <w:rPr>
                <w:bCs/>
              </w:rPr>
              <w:t>,</w:t>
            </w:r>
            <w:r w:rsidRPr="009842D1">
              <w:rPr>
                <w:bCs/>
              </w:rPr>
              <w:t xml:space="preserve"> however</w:t>
            </w:r>
            <w:r>
              <w:rPr>
                <w:bCs/>
              </w:rPr>
              <w:t>,</w:t>
            </w:r>
            <w:r w:rsidRPr="009842D1">
              <w:rPr>
                <w:bCs/>
              </w:rPr>
              <w:t xml:space="preserve"> some of the actions were currently overdue. The action plans were also still being worked on for the general surgery audits and there were also concerns with the cardiology national audits and work was taking place to identify a new lead for the audits.</w:t>
            </w:r>
          </w:p>
          <w:p w:rsidR="00E24A8E" w:rsidRPr="009842D1" w:rsidRDefault="00E24A8E" w:rsidP="00E24A8E">
            <w:pPr>
              <w:pStyle w:val="BodyA"/>
              <w:keepNext/>
              <w:keepLines/>
              <w:widowControl w:val="0"/>
              <w:numPr>
                <w:ilvl w:val="0"/>
                <w:numId w:val="19"/>
              </w:numPr>
              <w:pBdr>
                <w:top w:val="nil"/>
                <w:left w:val="nil"/>
                <w:bottom w:val="nil"/>
                <w:right w:val="nil"/>
                <w:between w:val="nil"/>
                <w:bar w:val="nil"/>
              </w:pBdr>
              <w:rPr>
                <w:bCs/>
              </w:rPr>
            </w:pPr>
            <w:r w:rsidRPr="009842D1">
              <w:rPr>
                <w:bCs/>
              </w:rPr>
              <w:t>The Team was working on improving Mortality and Morbidity (M&amp;M) and Structure</w:t>
            </w:r>
            <w:r>
              <w:rPr>
                <w:bCs/>
              </w:rPr>
              <w:t>d</w:t>
            </w:r>
            <w:r w:rsidRPr="009842D1">
              <w:rPr>
                <w:bCs/>
              </w:rPr>
              <w:t xml:space="preserve"> Judgement Review (SJR) compliance.</w:t>
            </w:r>
          </w:p>
          <w:p w:rsidR="00E24A8E" w:rsidRPr="009842D1" w:rsidRDefault="00E24A8E" w:rsidP="00E24A8E">
            <w:pPr>
              <w:pStyle w:val="BodyA"/>
              <w:keepNext/>
              <w:keepLines/>
              <w:widowControl w:val="0"/>
              <w:numPr>
                <w:ilvl w:val="0"/>
                <w:numId w:val="19"/>
              </w:numPr>
              <w:pBdr>
                <w:top w:val="nil"/>
                <w:left w:val="nil"/>
                <w:bottom w:val="nil"/>
                <w:right w:val="nil"/>
                <w:between w:val="nil"/>
                <w:bar w:val="nil"/>
              </w:pBdr>
              <w:rPr>
                <w:bCs/>
              </w:rPr>
            </w:pPr>
            <w:r w:rsidRPr="009842D1">
              <w:rPr>
                <w:bCs/>
              </w:rPr>
              <w:t>The frequent attenders’ meetings were due to start in December 2025.</w:t>
            </w:r>
          </w:p>
        </w:tc>
      </w:tr>
      <w:tr w:rsidR="00E24A8E" w:rsidRPr="009842D1" w:rsidTr="00E24A8E">
        <w:tc>
          <w:tcPr>
            <w:tcW w:w="2515" w:type="dxa"/>
          </w:tcPr>
          <w:p w:rsidR="00E24A8E" w:rsidRPr="009842D1" w:rsidRDefault="00E24A8E" w:rsidP="001F58E6">
            <w:pPr>
              <w:rPr>
                <w:rFonts w:cs="Arial"/>
                <w:b/>
                <w:sz w:val="22"/>
              </w:rPr>
            </w:pPr>
            <w:r w:rsidRPr="009842D1">
              <w:rPr>
                <w:rFonts w:cs="Arial"/>
                <w:b/>
                <w:sz w:val="22"/>
              </w:rPr>
              <w:t>QUALITY GOVERNANCE REPORT (PATIENT EXPERIENCE, INQUESTS, CLAIMS, INCIDENTS AND</w:t>
            </w:r>
            <w:r>
              <w:rPr>
                <w:rFonts w:cs="Arial"/>
                <w:b/>
                <w:sz w:val="22"/>
              </w:rPr>
              <w:t xml:space="preserve"> CENTRAL ALERTING SYSTEM (</w:t>
            </w:r>
            <w:r w:rsidRPr="009842D1">
              <w:rPr>
                <w:rFonts w:cs="Arial"/>
                <w:b/>
                <w:sz w:val="22"/>
              </w:rPr>
              <w:t>CAS</w:t>
            </w:r>
            <w:r>
              <w:rPr>
                <w:rFonts w:cs="Arial"/>
                <w:b/>
                <w:sz w:val="22"/>
              </w:rPr>
              <w:t>)</w:t>
            </w:r>
            <w:r w:rsidRPr="009842D1">
              <w:rPr>
                <w:rFonts w:cs="Arial"/>
                <w:b/>
                <w:sz w:val="22"/>
              </w:rPr>
              <w:t>).</w:t>
            </w:r>
          </w:p>
        </w:tc>
        <w:tc>
          <w:tcPr>
            <w:tcW w:w="7403" w:type="dxa"/>
          </w:tcPr>
          <w:p w:rsidR="00E24A8E" w:rsidRPr="009842D1" w:rsidRDefault="00E24A8E" w:rsidP="001F58E6">
            <w:pPr>
              <w:pStyle w:val="BodyA"/>
              <w:keepNext/>
              <w:keepLines/>
              <w:widowControl w:val="0"/>
            </w:pPr>
            <w:r w:rsidRPr="009842D1">
              <w:rPr>
                <w:bCs/>
              </w:rPr>
              <w:t xml:space="preserve">The Committee </w:t>
            </w:r>
            <w:r w:rsidRPr="009842D1">
              <w:t xml:space="preserve">received the report and </w:t>
            </w:r>
            <w:r w:rsidRPr="009842D1">
              <w:rPr>
                <w:b/>
              </w:rPr>
              <w:t>NOTED</w:t>
            </w:r>
            <w:r w:rsidRPr="009842D1">
              <w:t xml:space="preserve"> the following key updates:</w:t>
            </w:r>
          </w:p>
          <w:p w:rsidR="00E24A8E" w:rsidRPr="009842D1" w:rsidRDefault="00E24A8E" w:rsidP="00E24A8E">
            <w:pPr>
              <w:pStyle w:val="BodyA"/>
              <w:keepNext/>
              <w:keepLines/>
              <w:widowControl w:val="0"/>
              <w:numPr>
                <w:ilvl w:val="0"/>
                <w:numId w:val="18"/>
              </w:numPr>
              <w:pBdr>
                <w:top w:val="nil"/>
                <w:left w:val="nil"/>
                <w:bottom w:val="nil"/>
                <w:right w:val="nil"/>
                <w:between w:val="nil"/>
                <w:bar w:val="nil"/>
              </w:pBdr>
            </w:pPr>
            <w:r w:rsidRPr="009842D1">
              <w:t>Improvements in patient safety training compliance.</w:t>
            </w:r>
          </w:p>
          <w:p w:rsidR="00E24A8E" w:rsidRPr="009842D1" w:rsidRDefault="00E24A8E" w:rsidP="00E24A8E">
            <w:pPr>
              <w:pStyle w:val="BodyA"/>
              <w:keepNext/>
              <w:keepLines/>
              <w:widowControl w:val="0"/>
              <w:numPr>
                <w:ilvl w:val="0"/>
                <w:numId w:val="18"/>
              </w:numPr>
              <w:pBdr>
                <w:top w:val="nil"/>
                <w:left w:val="nil"/>
                <w:bottom w:val="nil"/>
                <w:right w:val="nil"/>
                <w:between w:val="nil"/>
                <w:bar w:val="nil"/>
              </w:pBdr>
            </w:pPr>
            <w:r w:rsidRPr="009842D1">
              <w:t>Compliant with the Key Performance Indicators</w:t>
            </w:r>
            <w:r>
              <w:t xml:space="preserve"> (KPIs)</w:t>
            </w:r>
            <w:r w:rsidRPr="009842D1">
              <w:t xml:space="preserve"> related to complaint responses and medical certificates cause of death.</w:t>
            </w:r>
          </w:p>
          <w:p w:rsidR="00E24A8E" w:rsidRPr="009842D1" w:rsidRDefault="00E24A8E" w:rsidP="00E24A8E">
            <w:pPr>
              <w:pStyle w:val="BodyA"/>
              <w:keepNext/>
              <w:keepLines/>
              <w:widowControl w:val="0"/>
              <w:numPr>
                <w:ilvl w:val="0"/>
                <w:numId w:val="18"/>
              </w:numPr>
              <w:pBdr>
                <w:top w:val="nil"/>
                <w:left w:val="nil"/>
                <w:bottom w:val="nil"/>
                <w:right w:val="nil"/>
                <w:between w:val="nil"/>
                <w:bar w:val="nil"/>
              </w:pBdr>
            </w:pPr>
            <w:r>
              <w:t>National Institute for Health and Care Excellence (</w:t>
            </w:r>
            <w:r w:rsidRPr="009842D1">
              <w:t>NICE</w:t>
            </w:r>
            <w:r>
              <w:t>)</w:t>
            </w:r>
            <w:r w:rsidRPr="009842D1">
              <w:t xml:space="preserve"> compliance continued to improve.</w:t>
            </w:r>
          </w:p>
          <w:p w:rsidR="00E24A8E" w:rsidRPr="009842D1" w:rsidRDefault="00E24A8E" w:rsidP="00E24A8E">
            <w:pPr>
              <w:pStyle w:val="BodyA"/>
              <w:keepNext/>
              <w:keepLines/>
              <w:widowControl w:val="0"/>
              <w:numPr>
                <w:ilvl w:val="0"/>
                <w:numId w:val="18"/>
              </w:numPr>
              <w:pBdr>
                <w:top w:val="nil"/>
                <w:left w:val="nil"/>
                <w:bottom w:val="nil"/>
                <w:right w:val="nil"/>
                <w:between w:val="nil"/>
                <w:bar w:val="nil"/>
              </w:pBdr>
            </w:pPr>
            <w:r w:rsidRPr="009842D1">
              <w:t>Small increase in moderate harm incidents, mainly in relation to tissue viability.</w:t>
            </w:r>
          </w:p>
          <w:p w:rsidR="00E24A8E" w:rsidRPr="009842D1" w:rsidRDefault="00E24A8E" w:rsidP="00E24A8E">
            <w:pPr>
              <w:pStyle w:val="BodyA"/>
              <w:keepNext/>
              <w:keepLines/>
              <w:widowControl w:val="0"/>
              <w:numPr>
                <w:ilvl w:val="0"/>
                <w:numId w:val="18"/>
              </w:numPr>
              <w:pBdr>
                <w:top w:val="nil"/>
                <w:left w:val="nil"/>
                <w:bottom w:val="nil"/>
                <w:right w:val="nil"/>
                <w:between w:val="nil"/>
                <w:bar w:val="nil"/>
              </w:pBdr>
            </w:pPr>
            <w:r w:rsidRPr="009842D1">
              <w:t>Delays with</w:t>
            </w:r>
            <w:r>
              <w:t xml:space="preserve"> two </w:t>
            </w:r>
            <w:r w:rsidRPr="009842D1">
              <w:t>duties of candour, however</w:t>
            </w:r>
            <w:r>
              <w:t>,</w:t>
            </w:r>
            <w:r w:rsidRPr="009842D1">
              <w:t xml:space="preserve"> there had been mitigating issues.</w:t>
            </w:r>
          </w:p>
          <w:p w:rsidR="00E24A8E" w:rsidRPr="009842D1" w:rsidRDefault="00E24A8E" w:rsidP="001F58E6">
            <w:pPr>
              <w:pStyle w:val="BodyA"/>
              <w:keepNext/>
              <w:keepLines/>
              <w:widowControl w:val="0"/>
              <w:rPr>
                <w:b/>
              </w:rPr>
            </w:pPr>
            <w:r w:rsidRPr="009842D1">
              <w:rPr>
                <w:b/>
              </w:rPr>
              <w:t>Legal</w:t>
            </w:r>
          </w:p>
          <w:p w:rsidR="00E24A8E" w:rsidRPr="009842D1" w:rsidRDefault="00E24A8E" w:rsidP="00E24A8E">
            <w:pPr>
              <w:pStyle w:val="BodyA"/>
              <w:keepNext/>
              <w:keepLines/>
              <w:widowControl w:val="0"/>
              <w:numPr>
                <w:ilvl w:val="0"/>
                <w:numId w:val="18"/>
              </w:numPr>
              <w:pBdr>
                <w:top w:val="nil"/>
                <w:left w:val="nil"/>
                <w:bottom w:val="nil"/>
                <w:right w:val="nil"/>
                <w:between w:val="nil"/>
                <w:bar w:val="nil"/>
              </w:pBdr>
            </w:pPr>
            <w:r w:rsidRPr="009842D1">
              <w:t>A Prevention of Future Deaths (PFD) notice has been received by Trust.  This related to a patient with delirium who was discharged from</w:t>
            </w:r>
            <w:r>
              <w:t xml:space="preserve"> Queen Elizabeth the Queen Mother Hospital (</w:t>
            </w:r>
            <w:r w:rsidRPr="009842D1">
              <w:t>QEQM</w:t>
            </w:r>
            <w:r>
              <w:t>)</w:t>
            </w:r>
            <w:r w:rsidRPr="009842D1">
              <w:t xml:space="preserve"> resulting in domestic homicide. The PFD was in relation to the discharge, and the actions were now being progressed. </w:t>
            </w:r>
          </w:p>
          <w:p w:rsidR="00E24A8E" w:rsidRPr="009842D1" w:rsidRDefault="00E24A8E" w:rsidP="00E24A8E">
            <w:pPr>
              <w:pStyle w:val="BodyA"/>
              <w:keepNext/>
              <w:keepLines/>
              <w:widowControl w:val="0"/>
              <w:numPr>
                <w:ilvl w:val="0"/>
                <w:numId w:val="18"/>
              </w:numPr>
              <w:pBdr>
                <w:top w:val="nil"/>
                <w:left w:val="nil"/>
                <w:bottom w:val="nil"/>
                <w:right w:val="nil"/>
                <w:between w:val="nil"/>
                <w:bar w:val="nil"/>
              </w:pBdr>
            </w:pPr>
            <w:r w:rsidRPr="009842D1">
              <w:rPr>
                <w:b/>
              </w:rPr>
              <w:t>Inphase</w:t>
            </w:r>
            <w:r w:rsidRPr="009842D1">
              <w:t xml:space="preserve"> – an update was provided on the status of this project.</w:t>
            </w:r>
          </w:p>
          <w:p w:rsidR="00E24A8E" w:rsidRPr="009842D1" w:rsidRDefault="00E24A8E" w:rsidP="00E24A8E">
            <w:pPr>
              <w:pStyle w:val="BodyA"/>
              <w:keepNext/>
              <w:keepLines/>
              <w:widowControl w:val="0"/>
              <w:numPr>
                <w:ilvl w:val="0"/>
                <w:numId w:val="18"/>
              </w:numPr>
              <w:pBdr>
                <w:top w:val="nil"/>
                <w:left w:val="nil"/>
                <w:bottom w:val="nil"/>
                <w:right w:val="nil"/>
                <w:between w:val="nil"/>
                <w:bar w:val="nil"/>
              </w:pBdr>
            </w:pPr>
            <w:r w:rsidRPr="009842D1">
              <w:t>The Trust had received 2,777 compliments related to nursing care and attitudes, which was achievement that should be acknowledged and commended.</w:t>
            </w:r>
          </w:p>
          <w:p w:rsidR="00E24A8E" w:rsidRPr="009842D1" w:rsidRDefault="00E24A8E" w:rsidP="001F58E6">
            <w:pPr>
              <w:pStyle w:val="BodyA"/>
              <w:keepNext/>
              <w:keepLines/>
              <w:widowControl w:val="0"/>
              <w:ind w:left="360"/>
            </w:pPr>
          </w:p>
        </w:tc>
      </w:tr>
      <w:tr w:rsidR="00E24A8E" w:rsidRPr="009842D1" w:rsidTr="00E24A8E">
        <w:tc>
          <w:tcPr>
            <w:tcW w:w="2515" w:type="dxa"/>
          </w:tcPr>
          <w:p w:rsidR="00E24A8E" w:rsidRPr="009842D1" w:rsidRDefault="00E24A8E" w:rsidP="001F58E6">
            <w:pPr>
              <w:rPr>
                <w:rFonts w:cs="Arial"/>
                <w:b/>
                <w:sz w:val="22"/>
              </w:rPr>
            </w:pPr>
            <w:r w:rsidRPr="009842D1">
              <w:rPr>
                <w:rFonts w:cs="Arial"/>
                <w:b/>
                <w:sz w:val="22"/>
              </w:rPr>
              <w:lastRenderedPageBreak/>
              <w:t>PROFESSIONAL STANDARDS UPDATE</w:t>
            </w:r>
          </w:p>
        </w:tc>
        <w:tc>
          <w:tcPr>
            <w:tcW w:w="7403" w:type="dxa"/>
          </w:tcPr>
          <w:p w:rsidR="00E24A8E" w:rsidRPr="009842D1" w:rsidRDefault="00E24A8E" w:rsidP="001F58E6">
            <w:pPr>
              <w:pStyle w:val="BodyA"/>
              <w:keepNext/>
              <w:keepLines/>
              <w:widowControl w:val="0"/>
              <w:rPr>
                <w:bCs/>
              </w:rPr>
            </w:pPr>
            <w:r w:rsidRPr="009842D1">
              <w:rPr>
                <w:bCs/>
              </w:rPr>
              <w:t xml:space="preserve">The Committee received and </w:t>
            </w:r>
            <w:r w:rsidRPr="009842D1">
              <w:rPr>
                <w:b/>
                <w:bCs/>
              </w:rPr>
              <w:t>NOTED</w:t>
            </w:r>
            <w:r w:rsidRPr="009842D1">
              <w:rPr>
                <w:bCs/>
              </w:rPr>
              <w:t xml:space="preserve"> the following key updates</w:t>
            </w:r>
            <w:r>
              <w:rPr>
                <w:bCs/>
              </w:rPr>
              <w:t>:</w:t>
            </w:r>
          </w:p>
          <w:p w:rsidR="00E24A8E" w:rsidRPr="009842D1" w:rsidRDefault="00E24A8E" w:rsidP="00E24A8E">
            <w:pPr>
              <w:pStyle w:val="BodyA"/>
              <w:keepNext/>
              <w:keepLines/>
              <w:widowControl w:val="0"/>
              <w:numPr>
                <w:ilvl w:val="0"/>
                <w:numId w:val="16"/>
              </w:numPr>
              <w:pBdr>
                <w:top w:val="nil"/>
                <w:left w:val="nil"/>
                <w:bottom w:val="nil"/>
                <w:right w:val="nil"/>
                <w:between w:val="nil"/>
                <w:bar w:val="nil"/>
              </w:pBdr>
              <w:rPr>
                <w:bCs/>
              </w:rPr>
            </w:pPr>
            <w:r w:rsidRPr="009842D1">
              <w:rPr>
                <w:bCs/>
              </w:rPr>
              <w:t>The</w:t>
            </w:r>
            <w:r>
              <w:rPr>
                <w:bCs/>
              </w:rPr>
              <w:t xml:space="preserve"> Chief Medical Officer</w:t>
            </w:r>
            <w:r w:rsidRPr="009842D1">
              <w:rPr>
                <w:bCs/>
              </w:rPr>
              <w:t xml:space="preserve"> </w:t>
            </w:r>
            <w:r>
              <w:rPr>
                <w:bCs/>
              </w:rPr>
              <w:t>(</w:t>
            </w:r>
            <w:r w:rsidRPr="009842D1">
              <w:rPr>
                <w:bCs/>
              </w:rPr>
              <w:t>CMO</w:t>
            </w:r>
            <w:r>
              <w:rPr>
                <w:bCs/>
              </w:rPr>
              <w:t>)</w:t>
            </w:r>
            <w:r w:rsidRPr="009842D1">
              <w:rPr>
                <w:bCs/>
              </w:rPr>
              <w:t xml:space="preserve"> had been working with the Improvement Team to capture and record the time to first consultant review, the target for this was currently 14 hours. A regular report was now available on the information portal. The </w:t>
            </w:r>
            <w:r>
              <w:rPr>
                <w:bCs/>
              </w:rPr>
              <w:t>C</w:t>
            </w:r>
            <w:r w:rsidRPr="009842D1">
              <w:rPr>
                <w:bCs/>
              </w:rPr>
              <w:t xml:space="preserve">ommittee </w:t>
            </w:r>
            <w:r>
              <w:rPr>
                <w:bCs/>
              </w:rPr>
              <w:t>C</w:t>
            </w:r>
            <w:r w:rsidRPr="009842D1">
              <w:rPr>
                <w:bCs/>
              </w:rPr>
              <w:t xml:space="preserve">hair commented on the challenging nature of data collection, and this should be commended. </w:t>
            </w:r>
          </w:p>
          <w:p w:rsidR="00E24A8E" w:rsidRPr="009842D1" w:rsidRDefault="00E24A8E" w:rsidP="00E24A8E">
            <w:pPr>
              <w:pStyle w:val="BodyA"/>
              <w:keepNext/>
              <w:keepLines/>
              <w:widowControl w:val="0"/>
              <w:numPr>
                <w:ilvl w:val="0"/>
                <w:numId w:val="16"/>
              </w:numPr>
              <w:pBdr>
                <w:top w:val="nil"/>
                <w:left w:val="nil"/>
                <w:bottom w:val="nil"/>
                <w:right w:val="nil"/>
                <w:between w:val="nil"/>
                <w:bar w:val="nil"/>
              </w:pBdr>
              <w:rPr>
                <w:bCs/>
              </w:rPr>
            </w:pPr>
            <w:r w:rsidRPr="009842D1">
              <w:rPr>
                <w:bCs/>
              </w:rPr>
              <w:t>Work was planned around the support of the specialist clinical teams to the “front door”, data will be collected related the first specialist assessment within the Emergency Department</w:t>
            </w:r>
            <w:r>
              <w:rPr>
                <w:bCs/>
              </w:rPr>
              <w:t xml:space="preserve"> (ED)</w:t>
            </w:r>
            <w:r w:rsidRPr="009842D1">
              <w:rPr>
                <w:bCs/>
              </w:rPr>
              <w:t>.</w:t>
            </w:r>
          </w:p>
        </w:tc>
      </w:tr>
      <w:tr w:rsidR="00E24A8E" w:rsidRPr="0034480D" w:rsidTr="00E24A8E">
        <w:tc>
          <w:tcPr>
            <w:tcW w:w="2515" w:type="dxa"/>
          </w:tcPr>
          <w:p w:rsidR="00E24A8E" w:rsidRPr="0034480D" w:rsidRDefault="00E24A8E" w:rsidP="001F58E6">
            <w:pPr>
              <w:pStyle w:val="BodyA"/>
              <w:keepNext/>
              <w:keepLines/>
              <w:widowControl w:val="0"/>
              <w:tabs>
                <w:tab w:val="left" w:pos="575"/>
              </w:tabs>
              <w:rPr>
                <w:b/>
              </w:rPr>
            </w:pPr>
            <w:r w:rsidRPr="0034480D">
              <w:rPr>
                <w:b/>
              </w:rPr>
              <w:t>HARM FREE CARE PLAN (PRESSURE ULCERS, FALLS, TISSUE VIABILITY IMPROVEMENT)</w:t>
            </w:r>
          </w:p>
        </w:tc>
        <w:tc>
          <w:tcPr>
            <w:tcW w:w="7403" w:type="dxa"/>
          </w:tcPr>
          <w:p w:rsidR="00E24A8E" w:rsidRPr="0034480D" w:rsidRDefault="00E24A8E" w:rsidP="001F58E6">
            <w:pPr>
              <w:pStyle w:val="BodyA"/>
              <w:keepNext/>
              <w:keepLines/>
              <w:widowControl w:val="0"/>
              <w:rPr>
                <w:bCs/>
              </w:rPr>
            </w:pPr>
            <w:r w:rsidRPr="0034480D">
              <w:rPr>
                <w:bCs/>
              </w:rPr>
              <w:t xml:space="preserve">The Committee </w:t>
            </w:r>
            <w:r w:rsidRPr="0034480D">
              <w:rPr>
                <w:b/>
                <w:bCs/>
              </w:rPr>
              <w:t>NOTED</w:t>
            </w:r>
            <w:r w:rsidRPr="0034480D">
              <w:rPr>
                <w:bCs/>
              </w:rPr>
              <w:t xml:space="preserve"> the following key updates:</w:t>
            </w:r>
          </w:p>
          <w:p w:rsidR="00E24A8E" w:rsidRPr="0034480D" w:rsidRDefault="00E24A8E" w:rsidP="00E24A8E">
            <w:pPr>
              <w:pStyle w:val="ListParagraph"/>
              <w:numPr>
                <w:ilvl w:val="0"/>
                <w:numId w:val="25"/>
              </w:numPr>
              <w:pBdr>
                <w:top w:val="nil"/>
                <w:left w:val="nil"/>
                <w:bottom w:val="nil"/>
                <w:right w:val="nil"/>
                <w:between w:val="nil"/>
                <w:bar w:val="nil"/>
              </w:pBdr>
              <w:suppressAutoHyphens/>
              <w:spacing w:after="0" w:line="240" w:lineRule="auto"/>
              <w:contextualSpacing w:val="0"/>
              <w:rPr>
                <w:rFonts w:cs="Arial"/>
                <w:bCs/>
                <w:sz w:val="22"/>
              </w:rPr>
            </w:pPr>
            <w:r w:rsidRPr="0034480D">
              <w:rPr>
                <w:rFonts w:cs="Arial"/>
                <w:bCs/>
                <w:sz w:val="22"/>
              </w:rPr>
              <w:t>The reduction in harms from falls and pressure ulcers was positive, however</w:t>
            </w:r>
            <w:r>
              <w:rPr>
                <w:rFonts w:cs="Arial"/>
                <w:bCs/>
                <w:sz w:val="22"/>
              </w:rPr>
              <w:t>,</w:t>
            </w:r>
            <w:r w:rsidRPr="0034480D">
              <w:rPr>
                <w:rFonts w:cs="Arial"/>
                <w:bCs/>
                <w:sz w:val="22"/>
              </w:rPr>
              <w:t xml:space="preserve"> as we go into winter pressures, we would anticipate a seasonal increase. </w:t>
            </w:r>
          </w:p>
          <w:p w:rsidR="00E24A8E" w:rsidRPr="0034480D" w:rsidRDefault="00E24A8E" w:rsidP="00E24A8E">
            <w:pPr>
              <w:pStyle w:val="ListParagraph"/>
              <w:keepNext/>
              <w:keepLines/>
              <w:widowControl w:val="0"/>
              <w:numPr>
                <w:ilvl w:val="0"/>
                <w:numId w:val="25"/>
              </w:numPr>
              <w:pBdr>
                <w:top w:val="nil"/>
                <w:left w:val="nil"/>
                <w:bottom w:val="nil"/>
                <w:right w:val="nil"/>
                <w:between w:val="nil"/>
                <w:bar w:val="nil"/>
              </w:pBdr>
              <w:tabs>
                <w:tab w:val="left" w:pos="575"/>
              </w:tabs>
              <w:suppressAutoHyphens/>
              <w:spacing w:after="0" w:line="240" w:lineRule="auto"/>
              <w:contextualSpacing w:val="0"/>
              <w:rPr>
                <w:rFonts w:cs="Arial"/>
                <w:bCs/>
                <w:sz w:val="22"/>
              </w:rPr>
            </w:pPr>
            <w:r w:rsidRPr="0034480D">
              <w:rPr>
                <w:rFonts w:cs="Arial"/>
                <w:bCs/>
                <w:sz w:val="22"/>
              </w:rPr>
              <w:t>Work was taking place within the E</w:t>
            </w:r>
            <w:r>
              <w:rPr>
                <w:rFonts w:cs="Arial"/>
                <w:bCs/>
                <w:sz w:val="22"/>
              </w:rPr>
              <w:t>D a</w:t>
            </w:r>
            <w:r w:rsidRPr="0034480D">
              <w:rPr>
                <w:rFonts w:cs="Arial"/>
                <w:bCs/>
                <w:sz w:val="22"/>
              </w:rPr>
              <w:t>s length of stay within ED is correlated with patient harm.</w:t>
            </w:r>
          </w:p>
          <w:p w:rsidR="00E24A8E" w:rsidRPr="0034480D" w:rsidRDefault="00E24A8E" w:rsidP="001F58E6">
            <w:pPr>
              <w:pStyle w:val="BodyA"/>
              <w:keepNext/>
              <w:keepLines/>
              <w:widowControl w:val="0"/>
              <w:tabs>
                <w:tab w:val="left" w:pos="575"/>
              </w:tabs>
              <w:rPr>
                <w:bCs/>
              </w:rPr>
            </w:pPr>
          </w:p>
        </w:tc>
      </w:tr>
      <w:tr w:rsidR="00E24A8E" w:rsidRPr="0034480D" w:rsidTr="00E24A8E">
        <w:tc>
          <w:tcPr>
            <w:tcW w:w="2515" w:type="dxa"/>
          </w:tcPr>
          <w:p w:rsidR="00E24A8E" w:rsidRPr="0034480D" w:rsidRDefault="00E24A8E" w:rsidP="001F58E6">
            <w:pPr>
              <w:pStyle w:val="BodyA"/>
              <w:keepNext/>
              <w:keepLines/>
              <w:widowControl w:val="0"/>
              <w:tabs>
                <w:tab w:val="left" w:pos="575"/>
              </w:tabs>
              <w:rPr>
                <w:b/>
              </w:rPr>
            </w:pPr>
            <w:r w:rsidRPr="0034480D">
              <w:rPr>
                <w:b/>
              </w:rPr>
              <w:t>LEARNING DISABILITY CARE AND ACTIONS</w:t>
            </w:r>
          </w:p>
        </w:tc>
        <w:tc>
          <w:tcPr>
            <w:tcW w:w="7403" w:type="dxa"/>
          </w:tcPr>
          <w:p w:rsidR="00E24A8E" w:rsidRPr="0034480D" w:rsidRDefault="00E24A8E" w:rsidP="001F58E6">
            <w:pPr>
              <w:rPr>
                <w:rFonts w:cs="Arial"/>
                <w:bCs/>
                <w:sz w:val="22"/>
              </w:rPr>
            </w:pPr>
            <w:r w:rsidRPr="0034480D">
              <w:rPr>
                <w:rFonts w:cs="Arial"/>
                <w:bCs/>
                <w:sz w:val="22"/>
              </w:rPr>
              <w:t xml:space="preserve">The Committee </w:t>
            </w:r>
            <w:r w:rsidRPr="0034480D">
              <w:rPr>
                <w:rFonts w:cs="Arial"/>
                <w:b/>
                <w:bCs/>
                <w:sz w:val="22"/>
              </w:rPr>
              <w:t>NOTED</w:t>
            </w:r>
            <w:r w:rsidRPr="0034480D">
              <w:rPr>
                <w:rFonts w:cs="Arial"/>
                <w:bCs/>
                <w:sz w:val="22"/>
              </w:rPr>
              <w:t xml:space="preserve"> the following key updates:</w:t>
            </w:r>
          </w:p>
          <w:p w:rsidR="00E24A8E" w:rsidRPr="0034480D" w:rsidRDefault="00E24A8E" w:rsidP="00E24A8E">
            <w:pPr>
              <w:pStyle w:val="ListParagraph"/>
              <w:numPr>
                <w:ilvl w:val="0"/>
                <w:numId w:val="17"/>
              </w:numPr>
              <w:spacing w:after="0" w:line="240" w:lineRule="auto"/>
              <w:contextualSpacing w:val="0"/>
              <w:rPr>
                <w:rFonts w:cs="Arial"/>
                <w:bCs/>
                <w:sz w:val="22"/>
              </w:rPr>
            </w:pPr>
            <w:r w:rsidRPr="0034480D">
              <w:rPr>
                <w:rFonts w:cs="Arial"/>
                <w:bCs/>
                <w:sz w:val="22"/>
              </w:rPr>
              <w:t xml:space="preserve">The Trust was looking to expand the current Learning Disability Workforce, to increase support across all EKUHFT sites. </w:t>
            </w:r>
          </w:p>
          <w:p w:rsidR="00E24A8E" w:rsidRPr="0034480D" w:rsidRDefault="00E24A8E" w:rsidP="00E24A8E">
            <w:pPr>
              <w:pStyle w:val="ListParagraph"/>
              <w:numPr>
                <w:ilvl w:val="0"/>
                <w:numId w:val="17"/>
              </w:numPr>
              <w:spacing w:after="0" w:line="240" w:lineRule="auto"/>
              <w:contextualSpacing w:val="0"/>
              <w:rPr>
                <w:rFonts w:cs="Arial"/>
                <w:bCs/>
                <w:sz w:val="22"/>
              </w:rPr>
            </w:pPr>
            <w:r w:rsidRPr="0034480D">
              <w:rPr>
                <w:rFonts w:cs="Arial"/>
                <w:bCs/>
                <w:sz w:val="22"/>
              </w:rPr>
              <w:t>A clear vision, strategy and outcome measures were being developed, so data could be used to inform practice. The Team was working with the Integrated Care Board (ICB) and a neighbouring Trust on data quality and reporting.</w:t>
            </w:r>
          </w:p>
          <w:p w:rsidR="00E24A8E" w:rsidRPr="0034480D" w:rsidRDefault="00E24A8E" w:rsidP="00E24A8E">
            <w:pPr>
              <w:pStyle w:val="ListParagraph"/>
              <w:numPr>
                <w:ilvl w:val="0"/>
                <w:numId w:val="17"/>
              </w:numPr>
              <w:spacing w:after="0" w:line="240" w:lineRule="auto"/>
              <w:contextualSpacing w:val="0"/>
              <w:rPr>
                <w:rFonts w:cs="Arial"/>
                <w:bCs/>
                <w:sz w:val="22"/>
              </w:rPr>
            </w:pPr>
            <w:r w:rsidRPr="0034480D">
              <w:rPr>
                <w:rFonts w:cs="Arial"/>
                <w:bCs/>
                <w:sz w:val="22"/>
              </w:rPr>
              <w:t xml:space="preserve">There is risk on the Corporate Risk Register related compliance with statutory learning disability and autism training (limited funding available to deliver the training).  The Team were looking to develop a system wide solution and several options were being explored.  </w:t>
            </w:r>
          </w:p>
          <w:p w:rsidR="00E24A8E" w:rsidRPr="0034480D" w:rsidRDefault="00E24A8E" w:rsidP="001F58E6">
            <w:pPr>
              <w:pStyle w:val="ListParagraph"/>
              <w:ind w:left="360"/>
              <w:rPr>
                <w:rFonts w:cs="Arial"/>
                <w:bCs/>
                <w:sz w:val="22"/>
              </w:rPr>
            </w:pPr>
          </w:p>
        </w:tc>
      </w:tr>
      <w:tr w:rsidR="00E24A8E" w:rsidRPr="0034480D" w:rsidTr="00E24A8E">
        <w:tc>
          <w:tcPr>
            <w:tcW w:w="2515" w:type="dxa"/>
          </w:tcPr>
          <w:p w:rsidR="00E24A8E" w:rsidRPr="0034480D" w:rsidRDefault="00E24A8E" w:rsidP="001F58E6">
            <w:pPr>
              <w:rPr>
                <w:rFonts w:cs="Arial"/>
                <w:b/>
                <w:sz w:val="22"/>
              </w:rPr>
            </w:pPr>
            <w:r w:rsidRPr="0034480D">
              <w:rPr>
                <w:rFonts w:cs="Arial"/>
                <w:b/>
                <w:sz w:val="22"/>
              </w:rPr>
              <w:t xml:space="preserve">DETERIORATING PATIENT PLAN  </w:t>
            </w:r>
          </w:p>
        </w:tc>
        <w:tc>
          <w:tcPr>
            <w:tcW w:w="7403" w:type="dxa"/>
          </w:tcPr>
          <w:p w:rsidR="00E24A8E" w:rsidRPr="0034480D" w:rsidRDefault="00E24A8E" w:rsidP="001F58E6">
            <w:pPr>
              <w:pStyle w:val="BodyA"/>
              <w:keepNext/>
              <w:keepLines/>
              <w:widowControl w:val="0"/>
              <w:rPr>
                <w:bCs/>
              </w:rPr>
            </w:pPr>
            <w:r w:rsidRPr="0034480D">
              <w:rPr>
                <w:bCs/>
              </w:rPr>
              <w:t xml:space="preserve">The Committee </w:t>
            </w:r>
            <w:r w:rsidRPr="0034480D">
              <w:rPr>
                <w:b/>
                <w:bCs/>
              </w:rPr>
              <w:t>NOTED</w:t>
            </w:r>
            <w:r w:rsidRPr="0034480D">
              <w:rPr>
                <w:bCs/>
              </w:rPr>
              <w:t xml:space="preserve"> the following key updates:</w:t>
            </w:r>
          </w:p>
          <w:p w:rsidR="00E24A8E" w:rsidRPr="0034480D" w:rsidRDefault="00E24A8E" w:rsidP="00E24A8E">
            <w:pPr>
              <w:pStyle w:val="ListParagraph"/>
              <w:numPr>
                <w:ilvl w:val="0"/>
                <w:numId w:val="20"/>
              </w:numPr>
              <w:pBdr>
                <w:top w:val="nil"/>
                <w:left w:val="nil"/>
                <w:bottom w:val="nil"/>
                <w:right w:val="nil"/>
                <w:between w:val="nil"/>
                <w:bar w:val="nil"/>
              </w:pBdr>
              <w:suppressAutoHyphens/>
              <w:spacing w:after="0" w:line="240" w:lineRule="auto"/>
              <w:contextualSpacing w:val="0"/>
              <w:rPr>
                <w:rFonts w:cs="Arial"/>
                <w:bCs/>
                <w:sz w:val="22"/>
              </w:rPr>
            </w:pPr>
            <w:r w:rsidRPr="0034480D">
              <w:rPr>
                <w:rFonts w:cs="Arial"/>
                <w:bCs/>
                <w:sz w:val="22"/>
              </w:rPr>
              <w:t>There was continued monitoring of</w:t>
            </w:r>
            <w:r>
              <w:rPr>
                <w:rFonts w:cs="Arial"/>
                <w:bCs/>
                <w:sz w:val="22"/>
              </w:rPr>
              <w:t xml:space="preserve"> National Early Warning Score</w:t>
            </w:r>
            <w:r w:rsidRPr="0034480D">
              <w:rPr>
                <w:rFonts w:cs="Arial"/>
                <w:bCs/>
                <w:sz w:val="22"/>
              </w:rPr>
              <w:t xml:space="preserve"> </w:t>
            </w:r>
            <w:r>
              <w:rPr>
                <w:rFonts w:cs="Arial"/>
                <w:bCs/>
                <w:sz w:val="22"/>
              </w:rPr>
              <w:t>(N</w:t>
            </w:r>
            <w:r w:rsidRPr="0034480D">
              <w:rPr>
                <w:rFonts w:cs="Arial"/>
                <w:bCs/>
                <w:sz w:val="22"/>
              </w:rPr>
              <w:t>EWS2</w:t>
            </w:r>
            <w:r>
              <w:rPr>
                <w:rFonts w:cs="Arial"/>
                <w:bCs/>
                <w:sz w:val="22"/>
              </w:rPr>
              <w:t>) Commissioning for Quality and Innovation (</w:t>
            </w:r>
            <w:r w:rsidRPr="0034480D">
              <w:rPr>
                <w:rFonts w:cs="Arial"/>
                <w:bCs/>
                <w:sz w:val="22"/>
              </w:rPr>
              <w:t>CQUIN</w:t>
            </w:r>
            <w:r>
              <w:rPr>
                <w:rFonts w:cs="Arial"/>
                <w:bCs/>
                <w:sz w:val="22"/>
              </w:rPr>
              <w:t>)</w:t>
            </w:r>
            <w:r w:rsidRPr="0034480D">
              <w:rPr>
                <w:rFonts w:cs="Arial"/>
                <w:bCs/>
                <w:sz w:val="22"/>
              </w:rPr>
              <w:t xml:space="preserve"> data, to provide assurance that the Trust was aligned to Royal College Physicians guidance for </w:t>
            </w:r>
            <w:r>
              <w:rPr>
                <w:rFonts w:cs="Arial"/>
                <w:bCs/>
                <w:sz w:val="22"/>
              </w:rPr>
              <w:t>N</w:t>
            </w:r>
            <w:r w:rsidRPr="0034480D">
              <w:rPr>
                <w:rFonts w:cs="Arial"/>
                <w:bCs/>
                <w:sz w:val="22"/>
              </w:rPr>
              <w:t>EWS2. Concerns had been identified regarding senior review response times; however</w:t>
            </w:r>
            <w:r>
              <w:rPr>
                <w:rFonts w:cs="Arial"/>
                <w:bCs/>
                <w:sz w:val="22"/>
              </w:rPr>
              <w:t>,</w:t>
            </w:r>
            <w:r w:rsidRPr="0034480D">
              <w:rPr>
                <w:rFonts w:cs="Arial"/>
                <w:bCs/>
                <w:sz w:val="22"/>
              </w:rPr>
              <w:t xml:space="preserve"> patients were being seen in timely manner by the Critical Care Outreach Team, who were not classified as a senior review.</w:t>
            </w:r>
          </w:p>
          <w:p w:rsidR="00E24A8E" w:rsidRPr="0034480D" w:rsidRDefault="00E24A8E" w:rsidP="00E24A8E">
            <w:pPr>
              <w:pStyle w:val="ListParagraph"/>
              <w:numPr>
                <w:ilvl w:val="0"/>
                <w:numId w:val="20"/>
              </w:numPr>
              <w:pBdr>
                <w:top w:val="nil"/>
                <w:left w:val="nil"/>
                <w:bottom w:val="nil"/>
                <w:right w:val="nil"/>
                <w:between w:val="nil"/>
                <w:bar w:val="nil"/>
              </w:pBdr>
              <w:suppressAutoHyphens/>
              <w:spacing w:after="0" w:line="240" w:lineRule="auto"/>
              <w:contextualSpacing w:val="0"/>
              <w:rPr>
                <w:rFonts w:cs="Arial"/>
                <w:bCs/>
                <w:sz w:val="22"/>
              </w:rPr>
            </w:pPr>
            <w:r w:rsidRPr="0034480D">
              <w:rPr>
                <w:rFonts w:cs="Arial"/>
                <w:bCs/>
                <w:sz w:val="22"/>
              </w:rPr>
              <w:t>A digital deteriorating patient pathway was being developed.</w:t>
            </w:r>
          </w:p>
          <w:p w:rsidR="00E24A8E" w:rsidRPr="0034480D" w:rsidRDefault="00E24A8E" w:rsidP="00E24A8E">
            <w:pPr>
              <w:pStyle w:val="ListParagraph"/>
              <w:numPr>
                <w:ilvl w:val="0"/>
                <w:numId w:val="20"/>
              </w:numPr>
              <w:pBdr>
                <w:top w:val="nil"/>
                <w:left w:val="nil"/>
                <w:bottom w:val="nil"/>
                <w:right w:val="nil"/>
                <w:between w:val="nil"/>
                <w:bar w:val="nil"/>
              </w:pBdr>
              <w:suppressAutoHyphens/>
              <w:spacing w:after="0" w:line="240" w:lineRule="auto"/>
              <w:contextualSpacing w:val="0"/>
              <w:rPr>
                <w:rFonts w:cs="Arial"/>
                <w:bCs/>
                <w:sz w:val="22"/>
              </w:rPr>
            </w:pPr>
            <w:r w:rsidRPr="0034480D">
              <w:rPr>
                <w:rFonts w:cs="Arial"/>
                <w:bCs/>
                <w:sz w:val="22"/>
              </w:rPr>
              <w:t xml:space="preserve">The Trust were on track with meeting the </w:t>
            </w:r>
            <w:r>
              <w:rPr>
                <w:rFonts w:cs="Arial"/>
                <w:bCs/>
                <w:sz w:val="22"/>
              </w:rPr>
              <w:t>three</w:t>
            </w:r>
            <w:r w:rsidRPr="0034480D">
              <w:rPr>
                <w:rFonts w:cs="Arial"/>
                <w:bCs/>
                <w:sz w:val="22"/>
              </w:rPr>
              <w:t xml:space="preserve"> Martha’s Rule components. </w:t>
            </w:r>
          </w:p>
          <w:p w:rsidR="00E24A8E" w:rsidRPr="0034480D" w:rsidRDefault="00E24A8E" w:rsidP="00E24A8E">
            <w:pPr>
              <w:pStyle w:val="ListParagraph"/>
              <w:numPr>
                <w:ilvl w:val="0"/>
                <w:numId w:val="20"/>
              </w:numPr>
              <w:pBdr>
                <w:top w:val="nil"/>
                <w:left w:val="nil"/>
                <w:bottom w:val="nil"/>
                <w:right w:val="nil"/>
                <w:between w:val="nil"/>
                <w:bar w:val="nil"/>
              </w:pBdr>
              <w:suppressAutoHyphens/>
              <w:spacing w:after="0" w:line="240" w:lineRule="auto"/>
              <w:contextualSpacing w:val="0"/>
              <w:rPr>
                <w:rFonts w:cs="Arial"/>
                <w:bCs/>
                <w:sz w:val="22"/>
              </w:rPr>
            </w:pPr>
            <w:r w:rsidRPr="0034480D">
              <w:rPr>
                <w:rFonts w:cs="Arial"/>
                <w:bCs/>
                <w:sz w:val="22"/>
              </w:rPr>
              <w:t>There were possible anomalies on</w:t>
            </w:r>
            <w:r>
              <w:rPr>
                <w:rFonts w:cs="Arial"/>
                <w:bCs/>
                <w:sz w:val="22"/>
              </w:rPr>
              <w:t xml:space="preserve"> Electronic Staff Record</w:t>
            </w:r>
            <w:r w:rsidRPr="0034480D">
              <w:rPr>
                <w:rFonts w:cs="Arial"/>
                <w:bCs/>
                <w:sz w:val="22"/>
              </w:rPr>
              <w:t xml:space="preserve"> </w:t>
            </w:r>
            <w:r>
              <w:rPr>
                <w:rFonts w:cs="Arial"/>
                <w:bCs/>
                <w:sz w:val="22"/>
              </w:rPr>
              <w:t>(</w:t>
            </w:r>
            <w:r w:rsidRPr="0034480D">
              <w:rPr>
                <w:rFonts w:cs="Arial"/>
                <w:bCs/>
                <w:sz w:val="22"/>
              </w:rPr>
              <w:t>ESR</w:t>
            </w:r>
            <w:r>
              <w:rPr>
                <w:rFonts w:cs="Arial"/>
                <w:bCs/>
                <w:sz w:val="22"/>
              </w:rPr>
              <w:t>)</w:t>
            </w:r>
            <w:r w:rsidRPr="0034480D">
              <w:rPr>
                <w:rFonts w:cs="Arial"/>
                <w:bCs/>
                <w:sz w:val="22"/>
              </w:rPr>
              <w:t xml:space="preserve"> related to resuscitation training, so the compliance data may not be accurate, but this was currently being worked through and addressed.</w:t>
            </w:r>
          </w:p>
          <w:p w:rsidR="00E24A8E" w:rsidRPr="0034480D" w:rsidRDefault="00E24A8E" w:rsidP="00E24A8E">
            <w:pPr>
              <w:pStyle w:val="ListParagraph"/>
              <w:numPr>
                <w:ilvl w:val="0"/>
                <w:numId w:val="20"/>
              </w:numPr>
              <w:pBdr>
                <w:top w:val="nil"/>
                <w:left w:val="nil"/>
                <w:bottom w:val="nil"/>
                <w:right w:val="nil"/>
                <w:between w:val="nil"/>
                <w:bar w:val="nil"/>
              </w:pBdr>
              <w:suppressAutoHyphens/>
              <w:spacing w:after="0" w:line="240" w:lineRule="auto"/>
              <w:contextualSpacing w:val="0"/>
              <w:rPr>
                <w:rFonts w:cs="Arial"/>
                <w:bCs/>
                <w:sz w:val="22"/>
              </w:rPr>
            </w:pPr>
            <w:r w:rsidRPr="0034480D">
              <w:rPr>
                <w:rFonts w:cs="Arial"/>
                <w:bCs/>
                <w:sz w:val="22"/>
              </w:rPr>
              <w:t xml:space="preserve">There had been positive results for National Cardiac Arrest Audit both at QEQM and WHH, which could be related to the implementation of Respect in November 2024. </w:t>
            </w:r>
          </w:p>
          <w:p w:rsidR="00E24A8E" w:rsidRPr="0034480D" w:rsidRDefault="00E24A8E" w:rsidP="00E24A8E">
            <w:pPr>
              <w:pStyle w:val="ListParagraph"/>
              <w:numPr>
                <w:ilvl w:val="0"/>
                <w:numId w:val="20"/>
              </w:numPr>
              <w:pBdr>
                <w:top w:val="nil"/>
                <w:left w:val="nil"/>
                <w:bottom w:val="nil"/>
                <w:right w:val="nil"/>
                <w:between w:val="nil"/>
                <w:bar w:val="nil"/>
              </w:pBdr>
              <w:suppressAutoHyphens/>
              <w:spacing w:after="0" w:line="240" w:lineRule="auto"/>
              <w:contextualSpacing w:val="0"/>
              <w:rPr>
                <w:rFonts w:cs="Arial"/>
                <w:bCs/>
                <w:sz w:val="22"/>
              </w:rPr>
            </w:pPr>
            <w:r w:rsidRPr="0034480D">
              <w:rPr>
                <w:rFonts w:cs="Arial"/>
                <w:bCs/>
                <w:sz w:val="22"/>
              </w:rPr>
              <w:lastRenderedPageBreak/>
              <w:t>Bespoke Respect training for consultants was being rolled out, and it was confirmed that 11,000 Respect forms had been completed since the implementation.</w:t>
            </w:r>
          </w:p>
          <w:p w:rsidR="00E24A8E" w:rsidRPr="0034480D" w:rsidRDefault="00E24A8E" w:rsidP="00E24A8E">
            <w:pPr>
              <w:pStyle w:val="ListParagraph"/>
              <w:numPr>
                <w:ilvl w:val="0"/>
                <w:numId w:val="20"/>
              </w:numPr>
              <w:pBdr>
                <w:top w:val="nil"/>
                <w:left w:val="nil"/>
                <w:bottom w:val="nil"/>
                <w:right w:val="nil"/>
                <w:between w:val="nil"/>
                <w:bar w:val="nil"/>
              </w:pBdr>
              <w:suppressAutoHyphens/>
              <w:spacing w:after="0" w:line="240" w:lineRule="auto"/>
              <w:contextualSpacing w:val="0"/>
              <w:rPr>
                <w:rFonts w:cs="Arial"/>
                <w:bCs/>
                <w:sz w:val="22"/>
              </w:rPr>
            </w:pPr>
            <w:r w:rsidRPr="0034480D">
              <w:rPr>
                <w:rFonts w:cs="Arial"/>
                <w:bCs/>
                <w:sz w:val="22"/>
              </w:rPr>
              <w:t xml:space="preserve">It was advised that </w:t>
            </w:r>
            <w:r w:rsidRPr="0034480D">
              <w:rPr>
                <w:rFonts w:cs="Arial"/>
                <w:bCs/>
                <w:i/>
                <w:iCs/>
                <w:sz w:val="22"/>
              </w:rPr>
              <w:t>My Kit</w:t>
            </w:r>
            <w:r w:rsidRPr="0034480D">
              <w:rPr>
                <w:rFonts w:cs="Arial"/>
                <w:bCs/>
                <w:sz w:val="22"/>
              </w:rPr>
              <w:t xml:space="preserve"> Check had been purchased with the money from Martha’s rule fund.</w:t>
            </w:r>
          </w:p>
          <w:p w:rsidR="00E24A8E" w:rsidRPr="0034480D" w:rsidRDefault="00E24A8E" w:rsidP="00E24A8E">
            <w:pPr>
              <w:pStyle w:val="ListParagraph"/>
              <w:numPr>
                <w:ilvl w:val="0"/>
                <w:numId w:val="20"/>
              </w:numPr>
              <w:pBdr>
                <w:top w:val="nil"/>
                <w:left w:val="nil"/>
                <w:bottom w:val="nil"/>
                <w:right w:val="nil"/>
                <w:between w:val="nil"/>
                <w:bar w:val="nil"/>
              </w:pBdr>
              <w:suppressAutoHyphens/>
              <w:spacing w:after="0" w:line="240" w:lineRule="auto"/>
              <w:contextualSpacing w:val="0"/>
              <w:rPr>
                <w:rFonts w:cs="Arial"/>
                <w:bCs/>
                <w:sz w:val="22"/>
              </w:rPr>
            </w:pPr>
            <w:r w:rsidRPr="0034480D">
              <w:rPr>
                <w:rFonts w:cs="Arial"/>
                <w:bCs/>
                <w:sz w:val="22"/>
              </w:rPr>
              <w:t>Three Sepsis Improvement Plan K</w:t>
            </w:r>
            <w:r>
              <w:rPr>
                <w:rFonts w:cs="Arial"/>
                <w:bCs/>
                <w:sz w:val="22"/>
              </w:rPr>
              <w:t xml:space="preserve">PIs </w:t>
            </w:r>
            <w:r w:rsidRPr="0034480D">
              <w:rPr>
                <w:rFonts w:cs="Arial"/>
                <w:bCs/>
                <w:sz w:val="22"/>
              </w:rPr>
              <w:t>had been identified for the coming year.</w:t>
            </w:r>
          </w:p>
          <w:p w:rsidR="00E24A8E" w:rsidRPr="0034480D" w:rsidRDefault="00E24A8E" w:rsidP="001F58E6">
            <w:pPr>
              <w:pStyle w:val="ListParagraph"/>
              <w:pBdr>
                <w:top w:val="nil"/>
                <w:left w:val="nil"/>
                <w:bottom w:val="nil"/>
                <w:right w:val="nil"/>
                <w:between w:val="nil"/>
                <w:bar w:val="nil"/>
              </w:pBdr>
              <w:suppressAutoHyphens/>
              <w:ind w:left="360"/>
              <w:rPr>
                <w:rFonts w:cs="Arial"/>
                <w:bCs/>
                <w:sz w:val="22"/>
              </w:rPr>
            </w:pPr>
          </w:p>
        </w:tc>
      </w:tr>
      <w:tr w:rsidR="00E24A8E" w:rsidRPr="00AA4A51" w:rsidTr="00E24A8E">
        <w:tc>
          <w:tcPr>
            <w:tcW w:w="2515" w:type="dxa"/>
          </w:tcPr>
          <w:p w:rsidR="00E24A8E" w:rsidRPr="00AA4A51" w:rsidRDefault="00E24A8E" w:rsidP="001F58E6">
            <w:pPr>
              <w:pStyle w:val="BodyA"/>
              <w:keepNext/>
              <w:keepLines/>
              <w:widowControl w:val="0"/>
              <w:tabs>
                <w:tab w:val="left" w:pos="575"/>
              </w:tabs>
              <w:rPr>
                <w:b/>
              </w:rPr>
            </w:pPr>
            <w:r w:rsidRPr="00AA4A51">
              <w:rPr>
                <w:b/>
              </w:rPr>
              <w:lastRenderedPageBreak/>
              <w:t>VIRTUAL WARD UPDATE ON PROGRESS AND STATUS</w:t>
            </w:r>
          </w:p>
        </w:tc>
        <w:tc>
          <w:tcPr>
            <w:tcW w:w="7403" w:type="dxa"/>
          </w:tcPr>
          <w:p w:rsidR="00E24A8E" w:rsidRPr="00AA4A51" w:rsidRDefault="00E24A8E" w:rsidP="001F58E6">
            <w:pPr>
              <w:pStyle w:val="BodyA"/>
              <w:keepNext/>
              <w:keepLines/>
              <w:widowControl w:val="0"/>
            </w:pPr>
            <w:r w:rsidRPr="00AA4A51">
              <w:t xml:space="preserve">The Committee received the report and </w:t>
            </w:r>
            <w:r w:rsidRPr="00AA4A51">
              <w:rPr>
                <w:b/>
              </w:rPr>
              <w:t>NOTED</w:t>
            </w:r>
            <w:r w:rsidRPr="00AA4A51">
              <w:t xml:space="preserve"> the following key updates</w:t>
            </w:r>
            <w:r>
              <w:t>:</w:t>
            </w:r>
          </w:p>
          <w:p w:rsidR="00E24A8E" w:rsidRPr="00AA4A51" w:rsidRDefault="00E24A8E" w:rsidP="00E24A8E">
            <w:pPr>
              <w:pStyle w:val="BodyA"/>
              <w:keepNext/>
              <w:keepLines/>
              <w:widowControl w:val="0"/>
              <w:numPr>
                <w:ilvl w:val="0"/>
                <w:numId w:val="20"/>
              </w:numPr>
              <w:pBdr>
                <w:top w:val="nil"/>
                <w:left w:val="nil"/>
                <w:bottom w:val="nil"/>
                <w:right w:val="nil"/>
                <w:between w:val="nil"/>
                <w:bar w:val="nil"/>
              </w:pBdr>
            </w:pPr>
            <w:r w:rsidRPr="00AA4A51">
              <w:t>The Committee are now looking to see an update at Q</w:t>
            </w:r>
            <w:r>
              <w:t>&amp;</w:t>
            </w:r>
            <w:r w:rsidRPr="00AA4A51">
              <w:t>SC regarding the metrics related to the utilisation rates, refusal rates, the length of stay on the scheme, the readmission rate, benchmarking with other virtual wards and impact on bed stock.  It was agreed that more detailed update would be provided.</w:t>
            </w:r>
          </w:p>
          <w:p w:rsidR="00E24A8E" w:rsidRPr="00AA4A51" w:rsidRDefault="00E24A8E" w:rsidP="001F58E6">
            <w:pPr>
              <w:pStyle w:val="BodyA"/>
              <w:keepNext/>
              <w:keepLines/>
              <w:widowControl w:val="0"/>
              <w:rPr>
                <w:bCs/>
              </w:rPr>
            </w:pPr>
          </w:p>
        </w:tc>
      </w:tr>
      <w:tr w:rsidR="00E24A8E" w:rsidRPr="00AA4A51" w:rsidTr="00E24A8E">
        <w:tc>
          <w:tcPr>
            <w:tcW w:w="2515" w:type="dxa"/>
          </w:tcPr>
          <w:p w:rsidR="00E24A8E" w:rsidRPr="00AA4A51" w:rsidRDefault="00E24A8E" w:rsidP="001F58E6">
            <w:pPr>
              <w:pStyle w:val="BodyA"/>
              <w:keepNext/>
              <w:keepLines/>
              <w:widowControl w:val="0"/>
              <w:tabs>
                <w:tab w:val="left" w:pos="575"/>
              </w:tabs>
              <w:rPr>
                <w:b/>
              </w:rPr>
            </w:pPr>
            <w:r w:rsidRPr="00AA4A51">
              <w:rPr>
                <w:b/>
              </w:rPr>
              <w:t>MONTHLY STRATEGIC RISK REGISTER UPDATE</w:t>
            </w:r>
          </w:p>
        </w:tc>
        <w:tc>
          <w:tcPr>
            <w:tcW w:w="7403" w:type="dxa"/>
          </w:tcPr>
          <w:p w:rsidR="00E24A8E" w:rsidRPr="00AA4A51" w:rsidRDefault="00E24A8E" w:rsidP="001F58E6">
            <w:pPr>
              <w:pStyle w:val="BodyA"/>
              <w:keepNext/>
              <w:keepLines/>
              <w:widowControl w:val="0"/>
            </w:pPr>
            <w:r w:rsidRPr="00AA4A51">
              <w:t xml:space="preserve">The Committee received and </w:t>
            </w:r>
            <w:r w:rsidRPr="00AA4A51">
              <w:rPr>
                <w:b/>
              </w:rPr>
              <w:t>NOTED</w:t>
            </w:r>
            <w:r w:rsidRPr="00AA4A51">
              <w:t xml:space="preserve"> the report.</w:t>
            </w:r>
          </w:p>
          <w:p w:rsidR="00E24A8E" w:rsidRPr="00AA4A51" w:rsidRDefault="00E24A8E" w:rsidP="00E24A8E">
            <w:pPr>
              <w:pStyle w:val="BodyA"/>
              <w:keepNext/>
              <w:keepLines/>
              <w:widowControl w:val="0"/>
              <w:numPr>
                <w:ilvl w:val="0"/>
                <w:numId w:val="20"/>
              </w:numPr>
              <w:pBdr>
                <w:top w:val="nil"/>
                <w:left w:val="nil"/>
                <w:bottom w:val="nil"/>
                <w:right w:val="nil"/>
                <w:between w:val="nil"/>
                <w:bar w:val="nil"/>
              </w:pBdr>
              <w:rPr>
                <w:bCs/>
              </w:rPr>
            </w:pPr>
            <w:r w:rsidRPr="00AA4A51">
              <w:rPr>
                <w:bCs/>
              </w:rPr>
              <w:t xml:space="preserve">The Committee was advised that there were 26 quality risks on the Risk Register (an increase of </w:t>
            </w:r>
            <w:r>
              <w:rPr>
                <w:bCs/>
              </w:rPr>
              <w:t>two</w:t>
            </w:r>
            <w:r w:rsidRPr="00AA4A51">
              <w:rPr>
                <w:bCs/>
              </w:rPr>
              <w:t xml:space="preserve">).  Two risks had been closed, and </w:t>
            </w:r>
            <w:r>
              <w:rPr>
                <w:bCs/>
              </w:rPr>
              <w:t>three</w:t>
            </w:r>
            <w:r w:rsidRPr="00AA4A51">
              <w:rPr>
                <w:bCs/>
              </w:rPr>
              <w:t xml:space="preserve"> risks had been deescalated to moderate from severe, and </w:t>
            </w:r>
            <w:r>
              <w:rPr>
                <w:bCs/>
              </w:rPr>
              <w:t>ten</w:t>
            </w:r>
            <w:r w:rsidRPr="00AA4A51">
              <w:rPr>
                <w:bCs/>
              </w:rPr>
              <w:t xml:space="preserve"> risks had overdue actions. The </w:t>
            </w:r>
            <w:r>
              <w:rPr>
                <w:bCs/>
              </w:rPr>
              <w:t>E</w:t>
            </w:r>
            <w:r w:rsidRPr="00AA4A51">
              <w:rPr>
                <w:bCs/>
              </w:rPr>
              <w:t xml:space="preserve">xecutive team would review these. </w:t>
            </w:r>
          </w:p>
          <w:p w:rsidR="00E24A8E" w:rsidRPr="00AA4A51" w:rsidRDefault="00E24A8E" w:rsidP="001F58E6">
            <w:pPr>
              <w:pStyle w:val="BodyA"/>
              <w:keepNext/>
              <w:keepLines/>
              <w:widowControl w:val="0"/>
              <w:ind w:left="360"/>
              <w:rPr>
                <w:bCs/>
              </w:rPr>
            </w:pPr>
          </w:p>
        </w:tc>
      </w:tr>
      <w:tr w:rsidR="00E24A8E" w:rsidRPr="00AA4A51" w:rsidTr="00E24A8E">
        <w:trPr>
          <w:trHeight w:val="699"/>
        </w:trPr>
        <w:tc>
          <w:tcPr>
            <w:tcW w:w="2515" w:type="dxa"/>
          </w:tcPr>
          <w:p w:rsidR="00E24A8E" w:rsidRPr="00AA4A51" w:rsidRDefault="00E24A8E" w:rsidP="001F58E6">
            <w:pPr>
              <w:rPr>
                <w:rFonts w:cs="Arial"/>
                <w:b/>
                <w:color w:val="FF0000"/>
                <w:sz w:val="22"/>
              </w:rPr>
            </w:pPr>
            <w:r w:rsidRPr="00AA4A51">
              <w:rPr>
                <w:rFonts w:cs="Arial"/>
                <w:b/>
                <w:color w:val="231F20" w:themeColor="text1"/>
                <w:sz w:val="22"/>
              </w:rPr>
              <w:t>CARE QUALITY COMMISSION (CQC) UPDATE</w:t>
            </w:r>
          </w:p>
        </w:tc>
        <w:tc>
          <w:tcPr>
            <w:tcW w:w="7403" w:type="dxa"/>
          </w:tcPr>
          <w:p w:rsidR="00E24A8E" w:rsidRPr="00AA4A51" w:rsidRDefault="00E24A8E" w:rsidP="001F58E6">
            <w:pPr>
              <w:pStyle w:val="ListParagraph"/>
              <w:ind w:left="0"/>
              <w:rPr>
                <w:rFonts w:cs="Arial"/>
                <w:sz w:val="22"/>
              </w:rPr>
            </w:pPr>
            <w:r w:rsidRPr="00AA4A51">
              <w:rPr>
                <w:rFonts w:cs="Arial"/>
                <w:sz w:val="22"/>
              </w:rPr>
              <w:t xml:space="preserve">The Committee received and </w:t>
            </w:r>
            <w:r w:rsidRPr="00AA4A51">
              <w:rPr>
                <w:rFonts w:cs="Arial"/>
                <w:b/>
                <w:sz w:val="22"/>
              </w:rPr>
              <w:t xml:space="preserve">NOTED </w:t>
            </w:r>
            <w:r w:rsidRPr="00AA4A51">
              <w:rPr>
                <w:rFonts w:cs="Arial"/>
                <w:sz w:val="22"/>
              </w:rPr>
              <w:t>the report.</w:t>
            </w:r>
          </w:p>
          <w:p w:rsidR="00E24A8E" w:rsidRPr="00AA4A51" w:rsidRDefault="00E24A8E" w:rsidP="00E24A8E">
            <w:pPr>
              <w:pStyle w:val="ListParagraph"/>
              <w:numPr>
                <w:ilvl w:val="0"/>
                <w:numId w:val="21"/>
              </w:numPr>
              <w:pBdr>
                <w:top w:val="nil"/>
                <w:left w:val="nil"/>
                <w:bottom w:val="nil"/>
                <w:right w:val="nil"/>
                <w:between w:val="nil"/>
                <w:bar w:val="nil"/>
              </w:pBdr>
              <w:suppressAutoHyphens/>
              <w:spacing w:after="0" w:line="240" w:lineRule="auto"/>
              <w:contextualSpacing w:val="0"/>
              <w:rPr>
                <w:rFonts w:cs="Arial"/>
                <w:sz w:val="22"/>
              </w:rPr>
            </w:pPr>
            <w:r w:rsidRPr="00AA4A51">
              <w:rPr>
                <w:rFonts w:cs="Arial"/>
                <w:sz w:val="22"/>
              </w:rPr>
              <w:t>It was highlighted that further work was required to sustained improved medical training compliance.</w:t>
            </w:r>
          </w:p>
          <w:p w:rsidR="00E24A8E" w:rsidRPr="00AA4A51" w:rsidRDefault="00E24A8E" w:rsidP="001F58E6">
            <w:pPr>
              <w:pStyle w:val="ListParagraph"/>
              <w:pBdr>
                <w:top w:val="nil"/>
                <w:left w:val="nil"/>
                <w:bottom w:val="nil"/>
                <w:right w:val="nil"/>
                <w:between w:val="nil"/>
                <w:bar w:val="nil"/>
              </w:pBdr>
              <w:suppressAutoHyphens/>
              <w:ind w:left="360"/>
              <w:rPr>
                <w:rFonts w:cs="Arial"/>
                <w:sz w:val="22"/>
              </w:rPr>
            </w:pPr>
          </w:p>
        </w:tc>
      </w:tr>
      <w:tr w:rsidR="00E24A8E" w:rsidRPr="00AA4A51" w:rsidTr="00E24A8E">
        <w:tc>
          <w:tcPr>
            <w:tcW w:w="2515" w:type="dxa"/>
          </w:tcPr>
          <w:p w:rsidR="00E24A8E" w:rsidRPr="00AA4A51" w:rsidRDefault="00E24A8E" w:rsidP="001F58E6">
            <w:pPr>
              <w:pStyle w:val="ListParagraph"/>
              <w:suppressAutoHyphens/>
              <w:ind w:left="0" w:right="-1"/>
              <w:rPr>
                <w:rFonts w:cs="Arial"/>
                <w:b/>
                <w:sz w:val="22"/>
                <w:lang w:eastAsia="zh-CN"/>
              </w:rPr>
            </w:pPr>
            <w:r w:rsidRPr="00AA4A51">
              <w:rPr>
                <w:rFonts w:cs="Arial"/>
                <w:b/>
                <w:sz w:val="22"/>
                <w:lang w:eastAsia="zh-CN"/>
              </w:rPr>
              <w:t xml:space="preserve">INFECTION PREVENTION AND CONTROL </w:t>
            </w:r>
            <w:r>
              <w:rPr>
                <w:rFonts w:cs="Arial"/>
                <w:b/>
                <w:sz w:val="22"/>
                <w:lang w:eastAsia="zh-CN"/>
              </w:rPr>
              <w:t xml:space="preserve">(IPC) </w:t>
            </w:r>
            <w:r w:rsidRPr="00AA4A51">
              <w:rPr>
                <w:rFonts w:cs="Arial"/>
                <w:b/>
                <w:sz w:val="22"/>
                <w:lang w:eastAsia="zh-CN"/>
              </w:rPr>
              <w:t>ANNUAL REPORT</w:t>
            </w:r>
          </w:p>
        </w:tc>
        <w:tc>
          <w:tcPr>
            <w:tcW w:w="7403" w:type="dxa"/>
          </w:tcPr>
          <w:p w:rsidR="00E24A8E" w:rsidRPr="00AA4A51" w:rsidRDefault="00E24A8E" w:rsidP="001F58E6">
            <w:pPr>
              <w:pBdr>
                <w:top w:val="nil"/>
                <w:left w:val="nil"/>
                <w:bottom w:val="nil"/>
                <w:right w:val="nil"/>
                <w:between w:val="nil"/>
                <w:bar w:val="nil"/>
              </w:pBdr>
              <w:suppressAutoHyphens/>
              <w:rPr>
                <w:rFonts w:cs="Arial"/>
                <w:bCs/>
                <w:sz w:val="22"/>
              </w:rPr>
            </w:pPr>
            <w:r w:rsidRPr="00AA4A51">
              <w:rPr>
                <w:rFonts w:cs="Arial"/>
                <w:bCs/>
                <w:sz w:val="22"/>
              </w:rPr>
              <w:t xml:space="preserve">The Committee received the report and </w:t>
            </w:r>
            <w:r w:rsidRPr="00AA4A51">
              <w:rPr>
                <w:rFonts w:cs="Arial"/>
                <w:b/>
                <w:bCs/>
                <w:sz w:val="22"/>
              </w:rPr>
              <w:t>NOTED</w:t>
            </w:r>
            <w:r w:rsidRPr="00AA4A51">
              <w:rPr>
                <w:rFonts w:cs="Arial"/>
                <w:bCs/>
                <w:sz w:val="22"/>
              </w:rPr>
              <w:t xml:space="preserve"> the following key update</w:t>
            </w:r>
            <w:r>
              <w:rPr>
                <w:rFonts w:cs="Arial"/>
                <w:bCs/>
                <w:sz w:val="22"/>
              </w:rPr>
              <w:t>s</w:t>
            </w:r>
            <w:r w:rsidRPr="00AA4A51">
              <w:rPr>
                <w:rFonts w:cs="Arial"/>
                <w:bCs/>
                <w:sz w:val="22"/>
              </w:rPr>
              <w:t>:</w:t>
            </w:r>
          </w:p>
          <w:p w:rsidR="00E24A8E" w:rsidRPr="00AA4A51" w:rsidRDefault="00E24A8E" w:rsidP="00E24A8E">
            <w:pPr>
              <w:pStyle w:val="ListParagraph"/>
              <w:numPr>
                <w:ilvl w:val="0"/>
                <w:numId w:val="24"/>
              </w:numPr>
              <w:pBdr>
                <w:top w:val="nil"/>
                <w:left w:val="nil"/>
                <w:bottom w:val="nil"/>
                <w:right w:val="nil"/>
                <w:between w:val="nil"/>
                <w:bar w:val="nil"/>
              </w:pBdr>
              <w:suppressAutoHyphens/>
              <w:spacing w:after="0" w:line="240" w:lineRule="auto"/>
              <w:contextualSpacing w:val="0"/>
              <w:rPr>
                <w:rFonts w:cs="Arial"/>
                <w:bCs/>
                <w:sz w:val="22"/>
              </w:rPr>
            </w:pPr>
            <w:r w:rsidRPr="00AA4A51">
              <w:rPr>
                <w:rFonts w:cs="Arial"/>
                <w:bCs/>
                <w:sz w:val="22"/>
              </w:rPr>
              <w:t xml:space="preserve">The Trust was slightly above threshold for both </w:t>
            </w:r>
            <w:r w:rsidRPr="00AA4A51">
              <w:rPr>
                <w:rFonts w:cs="Arial"/>
                <w:bCs/>
                <w:i/>
                <w:iCs/>
                <w:sz w:val="22"/>
              </w:rPr>
              <w:t>E-Coli and C-difficile</w:t>
            </w:r>
            <w:r w:rsidRPr="00AA4A51">
              <w:rPr>
                <w:rFonts w:cs="Arial"/>
                <w:bCs/>
                <w:sz w:val="22"/>
              </w:rPr>
              <w:t xml:space="preserve"> trajectories. There had also been </w:t>
            </w:r>
            <w:r>
              <w:rPr>
                <w:rFonts w:cs="Arial"/>
                <w:bCs/>
                <w:sz w:val="22"/>
              </w:rPr>
              <w:t xml:space="preserve">two </w:t>
            </w:r>
            <w:r>
              <w:rPr>
                <w:rFonts w:cs="Arial"/>
                <w:bCs/>
                <w:i/>
                <w:sz w:val="22"/>
              </w:rPr>
              <w:t>Meticillin-Resistant Staphylococcus Aureus</w:t>
            </w:r>
            <w:r>
              <w:rPr>
                <w:rFonts w:cs="Arial"/>
                <w:bCs/>
                <w:sz w:val="22"/>
              </w:rPr>
              <w:t xml:space="preserve"> (M</w:t>
            </w:r>
            <w:r w:rsidRPr="00AA4A51">
              <w:rPr>
                <w:rFonts w:cs="Arial"/>
                <w:bCs/>
                <w:sz w:val="22"/>
              </w:rPr>
              <w:t>RSA</w:t>
            </w:r>
            <w:r>
              <w:rPr>
                <w:rFonts w:cs="Arial"/>
                <w:bCs/>
                <w:sz w:val="22"/>
              </w:rPr>
              <w:t>)</w:t>
            </w:r>
            <w:r w:rsidRPr="00AA4A51">
              <w:rPr>
                <w:rFonts w:cs="Arial"/>
                <w:bCs/>
                <w:sz w:val="22"/>
              </w:rPr>
              <w:t xml:space="preserve"> cases which were deemed to be from contaminates, although learning had been identified.</w:t>
            </w:r>
          </w:p>
          <w:p w:rsidR="00E24A8E" w:rsidRPr="00AA4A51" w:rsidRDefault="00E24A8E" w:rsidP="00E24A8E">
            <w:pPr>
              <w:pStyle w:val="ListParagraph"/>
              <w:numPr>
                <w:ilvl w:val="0"/>
                <w:numId w:val="24"/>
              </w:numPr>
              <w:pBdr>
                <w:top w:val="nil"/>
                <w:left w:val="nil"/>
                <w:bottom w:val="nil"/>
                <w:right w:val="nil"/>
                <w:between w:val="nil"/>
                <w:bar w:val="nil"/>
              </w:pBdr>
              <w:suppressAutoHyphens/>
              <w:spacing w:after="0" w:line="240" w:lineRule="auto"/>
              <w:contextualSpacing w:val="0"/>
              <w:rPr>
                <w:rFonts w:cs="Arial"/>
                <w:bCs/>
                <w:sz w:val="22"/>
              </w:rPr>
            </w:pPr>
            <w:r w:rsidRPr="00AA4A51">
              <w:rPr>
                <w:rFonts w:cs="Arial"/>
                <w:bCs/>
                <w:sz w:val="22"/>
              </w:rPr>
              <w:t>The Trust experienced significant Influenza and Covid outbreaks, and winter guidance had been produced to allow for cases to be identified more rapidly.</w:t>
            </w:r>
          </w:p>
          <w:p w:rsidR="00E24A8E" w:rsidRPr="00AA4A51" w:rsidRDefault="00E24A8E" w:rsidP="00E24A8E">
            <w:pPr>
              <w:pStyle w:val="ListParagraph"/>
              <w:numPr>
                <w:ilvl w:val="0"/>
                <w:numId w:val="24"/>
              </w:numPr>
              <w:pBdr>
                <w:top w:val="nil"/>
                <w:left w:val="nil"/>
                <w:bottom w:val="nil"/>
                <w:right w:val="nil"/>
                <w:between w:val="nil"/>
                <w:bar w:val="nil"/>
              </w:pBdr>
              <w:suppressAutoHyphens/>
              <w:spacing w:after="0" w:line="240" w:lineRule="auto"/>
              <w:contextualSpacing w:val="0"/>
              <w:rPr>
                <w:rFonts w:cs="Arial"/>
                <w:bCs/>
                <w:sz w:val="22"/>
              </w:rPr>
            </w:pPr>
            <w:r w:rsidRPr="00AA4A51">
              <w:rPr>
                <w:rFonts w:cs="Arial"/>
                <w:bCs/>
                <w:sz w:val="22"/>
              </w:rPr>
              <w:t>The Trust’s aging estate and ventilation system did not support reducing the spread of infection. This risk remained on the risk register.</w:t>
            </w:r>
          </w:p>
          <w:p w:rsidR="00E24A8E" w:rsidRPr="00AA4A51" w:rsidRDefault="00E24A8E" w:rsidP="00E24A8E">
            <w:pPr>
              <w:pStyle w:val="ListParagraph"/>
              <w:numPr>
                <w:ilvl w:val="0"/>
                <w:numId w:val="24"/>
              </w:numPr>
              <w:pBdr>
                <w:top w:val="nil"/>
                <w:left w:val="nil"/>
                <w:bottom w:val="nil"/>
                <w:right w:val="nil"/>
                <w:between w:val="nil"/>
                <w:bar w:val="nil"/>
              </w:pBdr>
              <w:suppressAutoHyphens/>
              <w:spacing w:after="0" w:line="240" w:lineRule="auto"/>
              <w:contextualSpacing w:val="0"/>
              <w:rPr>
                <w:rFonts w:cs="Arial"/>
                <w:bCs/>
                <w:sz w:val="22"/>
              </w:rPr>
            </w:pPr>
            <w:r w:rsidRPr="00AA4A51">
              <w:rPr>
                <w:rFonts w:cs="Arial"/>
                <w:bCs/>
                <w:sz w:val="22"/>
              </w:rPr>
              <w:t xml:space="preserve">There were </w:t>
            </w:r>
            <w:r>
              <w:rPr>
                <w:rFonts w:cs="Arial"/>
                <w:bCs/>
                <w:sz w:val="22"/>
              </w:rPr>
              <w:t>two</w:t>
            </w:r>
            <w:r w:rsidRPr="00AA4A51">
              <w:rPr>
                <w:rFonts w:cs="Arial"/>
                <w:bCs/>
                <w:sz w:val="22"/>
              </w:rPr>
              <w:t xml:space="preserve"> significant incidents detailed within the report, relating to Tuberculosis (TB) and Hepatis B. No onward transmission with the TB case had been identified.</w:t>
            </w:r>
          </w:p>
          <w:p w:rsidR="00E24A8E" w:rsidRPr="00AA4A51" w:rsidRDefault="00E24A8E" w:rsidP="00E24A8E">
            <w:pPr>
              <w:pStyle w:val="ListParagraph"/>
              <w:numPr>
                <w:ilvl w:val="0"/>
                <w:numId w:val="24"/>
              </w:numPr>
              <w:pBdr>
                <w:top w:val="nil"/>
                <w:left w:val="nil"/>
                <w:bottom w:val="nil"/>
                <w:right w:val="nil"/>
                <w:between w:val="nil"/>
                <w:bar w:val="nil"/>
              </w:pBdr>
              <w:suppressAutoHyphens/>
              <w:spacing w:after="0" w:line="240" w:lineRule="auto"/>
              <w:contextualSpacing w:val="0"/>
              <w:rPr>
                <w:rFonts w:cs="Arial"/>
                <w:bCs/>
                <w:sz w:val="22"/>
              </w:rPr>
            </w:pPr>
            <w:r w:rsidRPr="00AA4A51">
              <w:rPr>
                <w:rFonts w:cs="Arial"/>
                <w:bCs/>
                <w:sz w:val="22"/>
              </w:rPr>
              <w:t>Fit testing ahead of winter continued to progress and the Team were working to procure new respirators, for staff who were unable to be Fit tested.</w:t>
            </w:r>
          </w:p>
          <w:p w:rsidR="00E24A8E" w:rsidRPr="00AA4A51" w:rsidRDefault="00E24A8E" w:rsidP="00E24A8E">
            <w:pPr>
              <w:pStyle w:val="ListParagraph"/>
              <w:numPr>
                <w:ilvl w:val="0"/>
                <w:numId w:val="24"/>
              </w:numPr>
              <w:pBdr>
                <w:top w:val="nil"/>
                <w:left w:val="nil"/>
                <w:bottom w:val="nil"/>
                <w:right w:val="nil"/>
                <w:between w:val="nil"/>
                <w:bar w:val="nil"/>
              </w:pBdr>
              <w:suppressAutoHyphens/>
              <w:spacing w:after="0" w:line="240" w:lineRule="auto"/>
              <w:contextualSpacing w:val="0"/>
              <w:rPr>
                <w:rFonts w:cs="Arial"/>
                <w:sz w:val="22"/>
              </w:rPr>
            </w:pPr>
            <w:r w:rsidRPr="00AA4A51">
              <w:rPr>
                <w:rFonts w:cs="Arial"/>
                <w:sz w:val="22"/>
              </w:rPr>
              <w:lastRenderedPageBreak/>
              <w:t>The Committee were concerned by the Surgical Site Infection (SSI) data for elective joint replacement, and it was confirmed that work remained ongoing to address this issue. There had been a full assessment of our theatres, a focus on home wound care and there was monthly improvement group meeting which had recently been refreshed. No links between the cases had been identified.</w:t>
            </w:r>
          </w:p>
          <w:p w:rsidR="00E24A8E" w:rsidRPr="00AA4A51" w:rsidRDefault="00E24A8E" w:rsidP="001F58E6">
            <w:pPr>
              <w:pBdr>
                <w:top w:val="nil"/>
                <w:left w:val="nil"/>
                <w:bottom w:val="nil"/>
                <w:right w:val="nil"/>
                <w:between w:val="nil"/>
                <w:bar w:val="nil"/>
              </w:pBdr>
              <w:suppressAutoHyphens/>
              <w:rPr>
                <w:rFonts w:cs="Arial"/>
                <w:sz w:val="22"/>
              </w:rPr>
            </w:pPr>
          </w:p>
        </w:tc>
      </w:tr>
      <w:tr w:rsidR="00E24A8E" w:rsidRPr="00AA4A51" w:rsidTr="00E24A8E">
        <w:tc>
          <w:tcPr>
            <w:tcW w:w="2515" w:type="dxa"/>
          </w:tcPr>
          <w:p w:rsidR="00E24A8E" w:rsidRPr="00AA4A51" w:rsidRDefault="00E24A8E" w:rsidP="001F58E6">
            <w:pPr>
              <w:pStyle w:val="BodyA"/>
              <w:keepNext/>
              <w:keepLines/>
              <w:widowControl w:val="0"/>
              <w:tabs>
                <w:tab w:val="left" w:pos="575"/>
              </w:tabs>
              <w:rPr>
                <w:b/>
              </w:rPr>
            </w:pPr>
            <w:r w:rsidRPr="00AA4A51">
              <w:rPr>
                <w:b/>
              </w:rPr>
              <w:lastRenderedPageBreak/>
              <w:t>EMERGENCY PLANNING &amp; RESILIENCE ANNUAL REPORT</w:t>
            </w:r>
          </w:p>
        </w:tc>
        <w:tc>
          <w:tcPr>
            <w:tcW w:w="7403" w:type="dxa"/>
          </w:tcPr>
          <w:p w:rsidR="00E24A8E" w:rsidRPr="00AA4A51" w:rsidRDefault="00E24A8E" w:rsidP="001F58E6">
            <w:pPr>
              <w:tabs>
                <w:tab w:val="left" w:pos="1092"/>
                <w:tab w:val="left" w:pos="5103"/>
                <w:tab w:val="left" w:pos="6096"/>
                <w:tab w:val="left" w:pos="7371"/>
                <w:tab w:val="left" w:pos="8647"/>
              </w:tabs>
              <w:rPr>
                <w:rFonts w:cs="Arial"/>
                <w:sz w:val="22"/>
              </w:rPr>
            </w:pPr>
            <w:r w:rsidRPr="00AA4A51">
              <w:rPr>
                <w:rFonts w:cs="Arial"/>
                <w:sz w:val="22"/>
              </w:rPr>
              <w:t xml:space="preserve">The Committee received the report and </w:t>
            </w:r>
            <w:r w:rsidRPr="00AA4A51">
              <w:rPr>
                <w:rFonts w:cs="Arial"/>
                <w:b/>
                <w:sz w:val="22"/>
              </w:rPr>
              <w:t>NOTED</w:t>
            </w:r>
            <w:r w:rsidRPr="00AA4A51">
              <w:rPr>
                <w:rFonts w:cs="Arial"/>
                <w:sz w:val="22"/>
              </w:rPr>
              <w:t xml:space="preserve"> the following key updates:</w:t>
            </w:r>
          </w:p>
          <w:p w:rsidR="00E24A8E" w:rsidRPr="00AA4A51" w:rsidRDefault="00E24A8E" w:rsidP="00E24A8E">
            <w:pPr>
              <w:pStyle w:val="ListParagraph"/>
              <w:numPr>
                <w:ilvl w:val="0"/>
                <w:numId w:val="23"/>
              </w:numPr>
              <w:pBdr>
                <w:top w:val="nil"/>
                <w:left w:val="nil"/>
                <w:bottom w:val="nil"/>
                <w:right w:val="nil"/>
                <w:between w:val="nil"/>
                <w:bar w:val="nil"/>
              </w:pBdr>
              <w:suppressAutoHyphens/>
              <w:spacing w:after="0" w:line="240" w:lineRule="auto"/>
              <w:contextualSpacing w:val="0"/>
              <w:rPr>
                <w:rFonts w:cs="Arial"/>
                <w:sz w:val="22"/>
              </w:rPr>
            </w:pPr>
            <w:r w:rsidRPr="00AA4A51">
              <w:rPr>
                <w:rFonts w:cs="Arial"/>
                <w:sz w:val="22"/>
              </w:rPr>
              <w:t>The report highlighted the key elements from the Emergency Planning, Resilience and Response work programme over the past year.</w:t>
            </w:r>
          </w:p>
          <w:p w:rsidR="00E24A8E" w:rsidRPr="00AA4A51" w:rsidRDefault="00E24A8E" w:rsidP="00E24A8E">
            <w:pPr>
              <w:pStyle w:val="ListParagraph"/>
              <w:numPr>
                <w:ilvl w:val="0"/>
                <w:numId w:val="23"/>
              </w:numPr>
              <w:pBdr>
                <w:top w:val="nil"/>
                <w:left w:val="nil"/>
                <w:bottom w:val="nil"/>
                <w:right w:val="nil"/>
                <w:between w:val="nil"/>
                <w:bar w:val="nil"/>
              </w:pBdr>
              <w:suppressAutoHyphens/>
              <w:spacing w:after="0" w:line="240" w:lineRule="auto"/>
              <w:contextualSpacing w:val="0"/>
              <w:rPr>
                <w:rFonts w:cs="Arial"/>
                <w:sz w:val="22"/>
              </w:rPr>
            </w:pPr>
            <w:r w:rsidRPr="00AA4A51">
              <w:rPr>
                <w:rFonts w:cs="Arial"/>
                <w:sz w:val="22"/>
              </w:rPr>
              <w:t>The Trust again was rated as fully compliant in the annual self-assessment assurance process, against the NHS England Core Standards for Emergency Preparedness, Resilience &amp; Response (EPRR).</w:t>
            </w:r>
          </w:p>
          <w:p w:rsidR="00E24A8E" w:rsidRPr="00AA4A51" w:rsidRDefault="00E24A8E" w:rsidP="00E24A8E">
            <w:pPr>
              <w:pStyle w:val="ListParagraph"/>
              <w:numPr>
                <w:ilvl w:val="0"/>
                <w:numId w:val="23"/>
              </w:numPr>
              <w:pBdr>
                <w:top w:val="nil"/>
                <w:left w:val="nil"/>
                <w:bottom w:val="nil"/>
                <w:right w:val="nil"/>
                <w:between w:val="nil"/>
                <w:bar w:val="nil"/>
              </w:pBdr>
              <w:suppressAutoHyphens/>
              <w:spacing w:after="0" w:line="240" w:lineRule="auto"/>
              <w:contextualSpacing w:val="0"/>
              <w:rPr>
                <w:rFonts w:cs="Arial"/>
                <w:sz w:val="22"/>
              </w:rPr>
            </w:pPr>
            <w:r w:rsidRPr="00AA4A51">
              <w:rPr>
                <w:rFonts w:cs="Arial"/>
                <w:sz w:val="22"/>
              </w:rPr>
              <w:t>The team had put themselves forward for an audit of their business continuity process: The audit showed that incident plans and governance was robust, but further work was required on the service plans, actions had been set and were being monitored.</w:t>
            </w:r>
          </w:p>
          <w:p w:rsidR="00E24A8E" w:rsidRPr="00AA4A51" w:rsidRDefault="00E24A8E" w:rsidP="00E24A8E">
            <w:pPr>
              <w:pStyle w:val="ListParagraph"/>
              <w:numPr>
                <w:ilvl w:val="0"/>
                <w:numId w:val="23"/>
              </w:numPr>
              <w:spacing w:after="0" w:line="240" w:lineRule="auto"/>
              <w:contextualSpacing w:val="0"/>
              <w:rPr>
                <w:rFonts w:cs="Arial"/>
                <w:sz w:val="22"/>
              </w:rPr>
            </w:pPr>
            <w:r w:rsidRPr="00AA4A51">
              <w:rPr>
                <w:rFonts w:cs="Arial"/>
                <w:sz w:val="22"/>
              </w:rPr>
              <w:t>The training and incident exercise plan was based on risk and this year there had been a focus on hospital evacuation (an exercise had taken place with multi-agency partners on the evacuation of WHH).</w:t>
            </w:r>
          </w:p>
          <w:p w:rsidR="00E24A8E" w:rsidRPr="00AA4A51" w:rsidRDefault="00E24A8E" w:rsidP="001F58E6">
            <w:pPr>
              <w:pStyle w:val="ListParagraph"/>
              <w:pBdr>
                <w:top w:val="nil"/>
                <w:left w:val="nil"/>
                <w:bottom w:val="nil"/>
                <w:right w:val="nil"/>
                <w:between w:val="nil"/>
                <w:bar w:val="nil"/>
              </w:pBdr>
              <w:suppressAutoHyphens/>
              <w:ind w:left="360"/>
              <w:rPr>
                <w:rFonts w:cs="Arial"/>
                <w:sz w:val="22"/>
              </w:rPr>
            </w:pPr>
          </w:p>
        </w:tc>
      </w:tr>
      <w:tr w:rsidR="00E24A8E" w:rsidRPr="00AA4A51" w:rsidTr="00E24A8E">
        <w:tc>
          <w:tcPr>
            <w:tcW w:w="2515" w:type="dxa"/>
          </w:tcPr>
          <w:p w:rsidR="00E24A8E" w:rsidRPr="00AA4A51" w:rsidRDefault="00E24A8E" w:rsidP="001F58E6">
            <w:pPr>
              <w:pStyle w:val="BodyA"/>
              <w:keepNext/>
              <w:keepLines/>
              <w:widowControl w:val="0"/>
              <w:tabs>
                <w:tab w:val="left" w:pos="575"/>
              </w:tabs>
              <w:rPr>
                <w:b/>
              </w:rPr>
            </w:pPr>
            <w:r w:rsidRPr="00AA4A51">
              <w:rPr>
                <w:b/>
              </w:rPr>
              <w:t>PAEDIATRIC AUDIOLOGY PROGRESS UPDATE</w:t>
            </w:r>
          </w:p>
        </w:tc>
        <w:tc>
          <w:tcPr>
            <w:tcW w:w="7403" w:type="dxa"/>
          </w:tcPr>
          <w:p w:rsidR="00E24A8E" w:rsidRPr="00AA4A51" w:rsidRDefault="00E24A8E" w:rsidP="001F58E6">
            <w:pPr>
              <w:tabs>
                <w:tab w:val="left" w:pos="1092"/>
                <w:tab w:val="left" w:pos="5103"/>
                <w:tab w:val="left" w:pos="6096"/>
                <w:tab w:val="left" w:pos="7371"/>
                <w:tab w:val="left" w:pos="8647"/>
              </w:tabs>
              <w:rPr>
                <w:rFonts w:cs="Arial"/>
                <w:sz w:val="22"/>
              </w:rPr>
            </w:pPr>
            <w:r w:rsidRPr="00AA4A51">
              <w:rPr>
                <w:rFonts w:cs="Arial"/>
                <w:sz w:val="22"/>
              </w:rPr>
              <w:t xml:space="preserve">The Committee received and </w:t>
            </w:r>
            <w:r w:rsidRPr="00AA4A51">
              <w:rPr>
                <w:rFonts w:cs="Arial"/>
                <w:b/>
                <w:sz w:val="22"/>
              </w:rPr>
              <w:t>NOTED</w:t>
            </w:r>
            <w:r w:rsidRPr="00AA4A51">
              <w:rPr>
                <w:rFonts w:cs="Arial"/>
                <w:sz w:val="22"/>
              </w:rPr>
              <w:t xml:space="preserve"> the report.</w:t>
            </w:r>
          </w:p>
          <w:p w:rsidR="00E24A8E" w:rsidRPr="00AA4A51" w:rsidRDefault="00E24A8E" w:rsidP="001F58E6">
            <w:pPr>
              <w:tabs>
                <w:tab w:val="left" w:pos="1092"/>
                <w:tab w:val="left" w:pos="5103"/>
                <w:tab w:val="left" w:pos="6096"/>
                <w:tab w:val="left" w:pos="7371"/>
                <w:tab w:val="left" w:pos="8647"/>
              </w:tabs>
              <w:rPr>
                <w:rFonts w:cs="Arial"/>
                <w:sz w:val="22"/>
              </w:rPr>
            </w:pPr>
            <w:r w:rsidRPr="00AA4A51">
              <w:rPr>
                <w:rFonts w:cs="Arial"/>
                <w:sz w:val="22"/>
              </w:rPr>
              <w:t>The Committee noted that the risk of developmental delay had been reviewed and no obvious impact had been identified. The paediatric audiology service had now been transferred to another provider.</w:t>
            </w:r>
          </w:p>
        </w:tc>
      </w:tr>
      <w:tr w:rsidR="00E24A8E" w:rsidRPr="00AA4A51" w:rsidTr="00E24A8E">
        <w:tc>
          <w:tcPr>
            <w:tcW w:w="2515" w:type="dxa"/>
          </w:tcPr>
          <w:p w:rsidR="00E24A8E" w:rsidRPr="00AA4A51" w:rsidRDefault="00E24A8E" w:rsidP="001F58E6">
            <w:pPr>
              <w:rPr>
                <w:rFonts w:cs="Arial"/>
                <w:b/>
                <w:sz w:val="22"/>
              </w:rPr>
            </w:pPr>
            <w:r w:rsidRPr="00AA4A51">
              <w:rPr>
                <w:rFonts w:cs="Arial"/>
                <w:b/>
                <w:sz w:val="22"/>
              </w:rPr>
              <w:t>MATERNITY &amp; NEONATAL BOARD</w:t>
            </w:r>
          </w:p>
        </w:tc>
        <w:tc>
          <w:tcPr>
            <w:tcW w:w="7403" w:type="dxa"/>
          </w:tcPr>
          <w:p w:rsidR="00E24A8E" w:rsidRPr="00AA4A51" w:rsidRDefault="00E24A8E" w:rsidP="001F58E6">
            <w:pPr>
              <w:rPr>
                <w:rFonts w:cs="Arial"/>
                <w:sz w:val="22"/>
              </w:rPr>
            </w:pPr>
            <w:r w:rsidRPr="00AA4A51">
              <w:rPr>
                <w:rFonts w:cs="Arial"/>
                <w:sz w:val="22"/>
              </w:rPr>
              <w:t xml:space="preserve">The Committee received the report and </w:t>
            </w:r>
            <w:r w:rsidRPr="00AA4A51">
              <w:rPr>
                <w:rFonts w:cs="Arial"/>
                <w:b/>
                <w:sz w:val="22"/>
              </w:rPr>
              <w:t>NOTED</w:t>
            </w:r>
            <w:r w:rsidRPr="00AA4A51">
              <w:rPr>
                <w:rFonts w:cs="Arial"/>
                <w:sz w:val="22"/>
              </w:rPr>
              <w:t xml:space="preserve"> the following key updates:</w:t>
            </w:r>
          </w:p>
          <w:p w:rsidR="00E24A8E" w:rsidRPr="00AA4A51" w:rsidRDefault="00E24A8E" w:rsidP="00E24A8E">
            <w:pPr>
              <w:pStyle w:val="ListParagraph"/>
              <w:numPr>
                <w:ilvl w:val="0"/>
                <w:numId w:val="22"/>
              </w:numPr>
              <w:pBdr>
                <w:top w:val="nil"/>
                <w:left w:val="nil"/>
                <w:bottom w:val="nil"/>
                <w:right w:val="nil"/>
                <w:between w:val="nil"/>
                <w:bar w:val="nil"/>
              </w:pBdr>
              <w:suppressAutoHyphens/>
              <w:spacing w:after="0" w:line="240" w:lineRule="auto"/>
              <w:contextualSpacing w:val="0"/>
              <w:rPr>
                <w:rFonts w:cs="Arial"/>
                <w:bCs/>
                <w:sz w:val="22"/>
              </w:rPr>
            </w:pPr>
            <w:r w:rsidRPr="00AA4A51">
              <w:rPr>
                <w:rFonts w:cs="Arial"/>
                <w:bCs/>
                <w:sz w:val="22"/>
              </w:rPr>
              <w:t>Anaesthetic cover was currently being addressed</w:t>
            </w:r>
            <w:r>
              <w:rPr>
                <w:rFonts w:cs="Arial"/>
                <w:bCs/>
                <w:sz w:val="22"/>
              </w:rPr>
              <w:t>.</w:t>
            </w:r>
          </w:p>
          <w:p w:rsidR="00E24A8E" w:rsidRPr="00AA4A51" w:rsidRDefault="00E24A8E" w:rsidP="00E24A8E">
            <w:pPr>
              <w:pStyle w:val="ListParagraph"/>
              <w:numPr>
                <w:ilvl w:val="0"/>
                <w:numId w:val="22"/>
              </w:numPr>
              <w:pBdr>
                <w:top w:val="nil"/>
                <w:left w:val="nil"/>
                <w:bottom w:val="nil"/>
                <w:right w:val="nil"/>
                <w:between w:val="nil"/>
                <w:bar w:val="nil"/>
              </w:pBdr>
              <w:suppressAutoHyphens/>
              <w:spacing w:after="0" w:line="240" w:lineRule="auto"/>
              <w:contextualSpacing w:val="0"/>
              <w:rPr>
                <w:rFonts w:cs="Arial"/>
                <w:bCs/>
                <w:sz w:val="22"/>
              </w:rPr>
            </w:pPr>
            <w:r w:rsidRPr="00AA4A51">
              <w:rPr>
                <w:rFonts w:cs="Arial"/>
                <w:bCs/>
                <w:sz w:val="22"/>
              </w:rPr>
              <w:t>The data did show a slight increase in still births, however</w:t>
            </w:r>
            <w:r>
              <w:rPr>
                <w:rFonts w:cs="Arial"/>
                <w:bCs/>
                <w:sz w:val="22"/>
              </w:rPr>
              <w:t>,</w:t>
            </w:r>
            <w:r w:rsidRPr="00AA4A51">
              <w:rPr>
                <w:rFonts w:cs="Arial"/>
                <w:bCs/>
                <w:sz w:val="22"/>
              </w:rPr>
              <w:t xml:space="preserve"> the cases had been reviewed and there appeared to be no obvious omissions in care or links identified.  Assurance had been provided to the</w:t>
            </w:r>
            <w:r>
              <w:rPr>
                <w:rFonts w:cs="Arial"/>
                <w:bCs/>
                <w:sz w:val="22"/>
              </w:rPr>
              <w:t xml:space="preserve"> Integrated Care Board</w:t>
            </w:r>
            <w:r w:rsidRPr="00AA4A51">
              <w:rPr>
                <w:rFonts w:cs="Arial"/>
                <w:bCs/>
                <w:sz w:val="22"/>
              </w:rPr>
              <w:t xml:space="preserve"> </w:t>
            </w:r>
            <w:r>
              <w:rPr>
                <w:rFonts w:cs="Arial"/>
                <w:bCs/>
                <w:sz w:val="22"/>
              </w:rPr>
              <w:t>(</w:t>
            </w:r>
            <w:r w:rsidRPr="00AA4A51">
              <w:rPr>
                <w:rFonts w:cs="Arial"/>
                <w:bCs/>
                <w:sz w:val="22"/>
              </w:rPr>
              <w:t>ICB</w:t>
            </w:r>
            <w:r>
              <w:rPr>
                <w:rFonts w:cs="Arial"/>
                <w:bCs/>
                <w:sz w:val="22"/>
              </w:rPr>
              <w:t>)</w:t>
            </w:r>
            <w:r w:rsidRPr="00AA4A51">
              <w:rPr>
                <w:rFonts w:cs="Arial"/>
                <w:bCs/>
                <w:sz w:val="22"/>
              </w:rPr>
              <w:t xml:space="preserve"> and </w:t>
            </w:r>
            <w:r>
              <w:rPr>
                <w:rFonts w:cs="Arial"/>
                <w:bCs/>
                <w:sz w:val="22"/>
              </w:rPr>
              <w:t>NHS England (</w:t>
            </w:r>
            <w:r w:rsidRPr="00AA4A51">
              <w:rPr>
                <w:rFonts w:cs="Arial"/>
                <w:bCs/>
                <w:sz w:val="22"/>
              </w:rPr>
              <w:t>NHSE</w:t>
            </w:r>
            <w:r>
              <w:rPr>
                <w:rFonts w:cs="Arial"/>
                <w:bCs/>
                <w:sz w:val="22"/>
              </w:rPr>
              <w:t>)</w:t>
            </w:r>
            <w:r w:rsidRPr="00AA4A51">
              <w:rPr>
                <w:rFonts w:cs="Arial"/>
                <w:bCs/>
                <w:sz w:val="22"/>
              </w:rPr>
              <w:t xml:space="preserve"> Regional team.</w:t>
            </w:r>
          </w:p>
          <w:p w:rsidR="00E24A8E" w:rsidRPr="00AA4A51" w:rsidRDefault="00E24A8E" w:rsidP="00E24A8E">
            <w:pPr>
              <w:pStyle w:val="ListParagraph"/>
              <w:numPr>
                <w:ilvl w:val="0"/>
                <w:numId w:val="22"/>
              </w:numPr>
              <w:pBdr>
                <w:top w:val="nil"/>
                <w:left w:val="nil"/>
                <w:bottom w:val="nil"/>
                <w:right w:val="nil"/>
                <w:between w:val="nil"/>
                <w:bar w:val="nil"/>
              </w:pBdr>
              <w:suppressAutoHyphens/>
              <w:spacing w:after="0" w:line="240" w:lineRule="auto"/>
              <w:contextualSpacing w:val="0"/>
              <w:rPr>
                <w:rFonts w:cs="Arial"/>
                <w:bCs/>
                <w:sz w:val="22"/>
              </w:rPr>
            </w:pPr>
            <w:r w:rsidRPr="00AA4A51">
              <w:rPr>
                <w:rFonts w:cs="Arial"/>
                <w:bCs/>
                <w:sz w:val="22"/>
              </w:rPr>
              <w:t>A maternal death was sadly noted, and this was being investigated with the support of another provider.</w:t>
            </w:r>
          </w:p>
          <w:p w:rsidR="00E24A8E" w:rsidRPr="00AA4A51" w:rsidRDefault="00E24A8E" w:rsidP="001F58E6">
            <w:pPr>
              <w:pStyle w:val="ListParagraph"/>
              <w:pBdr>
                <w:top w:val="nil"/>
                <w:left w:val="nil"/>
                <w:bottom w:val="nil"/>
                <w:right w:val="nil"/>
                <w:between w:val="nil"/>
                <w:bar w:val="nil"/>
              </w:pBdr>
              <w:suppressAutoHyphens/>
              <w:ind w:left="360"/>
              <w:rPr>
                <w:rFonts w:cs="Arial"/>
                <w:bCs/>
                <w:sz w:val="22"/>
              </w:rPr>
            </w:pPr>
          </w:p>
        </w:tc>
      </w:tr>
      <w:tr w:rsidR="00E24A8E" w:rsidRPr="009C6620" w:rsidTr="00E24A8E">
        <w:tc>
          <w:tcPr>
            <w:tcW w:w="2515" w:type="dxa"/>
          </w:tcPr>
          <w:p w:rsidR="00E24A8E" w:rsidRPr="009C6620" w:rsidRDefault="00E24A8E" w:rsidP="001F58E6">
            <w:pPr>
              <w:rPr>
                <w:rFonts w:cs="Arial"/>
                <w:b/>
                <w:color w:val="000000"/>
                <w:sz w:val="22"/>
              </w:rPr>
            </w:pPr>
            <w:bookmarkStart w:id="16" w:name="_Hlk161067858"/>
            <w:r w:rsidRPr="009C6620">
              <w:rPr>
                <w:rFonts w:cs="Arial"/>
                <w:b/>
                <w:color w:val="000000"/>
                <w:sz w:val="22"/>
              </w:rPr>
              <w:lastRenderedPageBreak/>
              <w:t>INTEGRATED PERFORMANCE REVIEW (IPR)</w:t>
            </w:r>
          </w:p>
        </w:tc>
        <w:tc>
          <w:tcPr>
            <w:tcW w:w="7403" w:type="dxa"/>
          </w:tcPr>
          <w:p w:rsidR="00E24A8E" w:rsidRPr="009C6620" w:rsidRDefault="00E24A8E" w:rsidP="001F58E6">
            <w:pPr>
              <w:spacing w:after="60"/>
              <w:rPr>
                <w:rFonts w:cs="Arial"/>
                <w:sz w:val="22"/>
              </w:rPr>
            </w:pPr>
            <w:r w:rsidRPr="009C6620">
              <w:rPr>
                <w:rFonts w:cs="Arial"/>
                <w:sz w:val="22"/>
              </w:rPr>
              <w:t xml:space="preserve">The Committee received and </w:t>
            </w:r>
            <w:r w:rsidRPr="009C6620">
              <w:rPr>
                <w:rFonts w:cs="Arial"/>
                <w:b/>
                <w:sz w:val="22"/>
              </w:rPr>
              <w:t xml:space="preserve">NOTED </w:t>
            </w:r>
            <w:r w:rsidRPr="009C6620">
              <w:rPr>
                <w:rFonts w:cs="Arial"/>
                <w:sz w:val="22"/>
              </w:rPr>
              <w:t>the IPR.</w:t>
            </w:r>
          </w:p>
        </w:tc>
      </w:tr>
      <w:tr w:rsidR="00E24A8E" w:rsidRPr="009C6620" w:rsidTr="00E24A8E">
        <w:tc>
          <w:tcPr>
            <w:tcW w:w="2515" w:type="dxa"/>
          </w:tcPr>
          <w:p w:rsidR="00E24A8E" w:rsidRPr="009C6620" w:rsidRDefault="00E24A8E" w:rsidP="001F58E6">
            <w:pPr>
              <w:rPr>
                <w:rFonts w:cs="Arial"/>
                <w:b/>
                <w:color w:val="000000"/>
                <w:sz w:val="22"/>
              </w:rPr>
            </w:pPr>
            <w:r w:rsidRPr="009C6620">
              <w:rPr>
                <w:rFonts w:cs="Arial"/>
                <w:b/>
                <w:color w:val="000000"/>
                <w:sz w:val="22"/>
              </w:rPr>
              <w:t>PATIENT EXPERIENCE COMMITTEE ASSURANCE REPORT</w:t>
            </w:r>
          </w:p>
        </w:tc>
        <w:tc>
          <w:tcPr>
            <w:tcW w:w="7403" w:type="dxa"/>
          </w:tcPr>
          <w:p w:rsidR="00E24A8E" w:rsidRPr="009C6620" w:rsidRDefault="00E24A8E" w:rsidP="001F58E6">
            <w:pPr>
              <w:pStyle w:val="ListParagraph"/>
              <w:spacing w:after="60"/>
              <w:ind w:left="0"/>
              <w:rPr>
                <w:rFonts w:cs="Arial"/>
                <w:sz w:val="22"/>
              </w:rPr>
            </w:pPr>
            <w:r w:rsidRPr="009C6620">
              <w:rPr>
                <w:rFonts w:cs="Arial"/>
                <w:sz w:val="22"/>
              </w:rPr>
              <w:t xml:space="preserve">The Committee received and </w:t>
            </w:r>
            <w:r w:rsidRPr="009C6620">
              <w:rPr>
                <w:rFonts w:cs="Arial"/>
                <w:b/>
                <w:sz w:val="22"/>
              </w:rPr>
              <w:t>NOTED</w:t>
            </w:r>
            <w:r w:rsidRPr="009C6620">
              <w:rPr>
                <w:rFonts w:cs="Arial"/>
                <w:sz w:val="22"/>
              </w:rPr>
              <w:t xml:space="preserve"> the Patient Experience report.</w:t>
            </w:r>
          </w:p>
        </w:tc>
      </w:tr>
      <w:tr w:rsidR="00E24A8E" w:rsidRPr="009C6620" w:rsidTr="00E24A8E">
        <w:tc>
          <w:tcPr>
            <w:tcW w:w="2515" w:type="dxa"/>
          </w:tcPr>
          <w:p w:rsidR="00E24A8E" w:rsidRPr="009C6620" w:rsidRDefault="00E24A8E" w:rsidP="001F58E6">
            <w:pPr>
              <w:rPr>
                <w:rFonts w:cs="Arial"/>
                <w:b/>
                <w:color w:val="000000"/>
                <w:sz w:val="22"/>
              </w:rPr>
            </w:pPr>
            <w:r w:rsidRPr="009C6620">
              <w:rPr>
                <w:rFonts w:cs="Arial"/>
                <w:b/>
                <w:color w:val="000000"/>
                <w:sz w:val="22"/>
              </w:rPr>
              <w:t>SAFEGUARDING COMMITTEE ASSURANCE REPORT</w:t>
            </w:r>
          </w:p>
        </w:tc>
        <w:tc>
          <w:tcPr>
            <w:tcW w:w="7403" w:type="dxa"/>
          </w:tcPr>
          <w:p w:rsidR="00E24A8E" w:rsidRPr="009C6620" w:rsidRDefault="00E24A8E" w:rsidP="001F58E6">
            <w:pPr>
              <w:pStyle w:val="ListParagraph"/>
              <w:spacing w:after="60"/>
              <w:ind w:left="0"/>
              <w:rPr>
                <w:rFonts w:cs="Arial"/>
                <w:sz w:val="22"/>
              </w:rPr>
            </w:pPr>
            <w:r w:rsidRPr="009C6620">
              <w:rPr>
                <w:rFonts w:cs="Arial"/>
                <w:sz w:val="22"/>
              </w:rPr>
              <w:t xml:space="preserve">The Committee received and </w:t>
            </w:r>
            <w:r w:rsidRPr="009C6620">
              <w:rPr>
                <w:rFonts w:cs="Arial"/>
                <w:b/>
                <w:sz w:val="22"/>
              </w:rPr>
              <w:t>NOTED</w:t>
            </w:r>
            <w:r w:rsidRPr="009C6620">
              <w:rPr>
                <w:rFonts w:cs="Arial"/>
                <w:sz w:val="22"/>
              </w:rPr>
              <w:t xml:space="preserve"> the Safeguarding Committee report.</w:t>
            </w:r>
          </w:p>
        </w:tc>
      </w:tr>
      <w:tr w:rsidR="00E24A8E" w:rsidRPr="009C6620" w:rsidTr="00E24A8E">
        <w:tc>
          <w:tcPr>
            <w:tcW w:w="2515" w:type="dxa"/>
          </w:tcPr>
          <w:p w:rsidR="00E24A8E" w:rsidRPr="009C6620" w:rsidRDefault="00E24A8E" w:rsidP="001F58E6">
            <w:pPr>
              <w:rPr>
                <w:rFonts w:cs="Arial"/>
                <w:b/>
                <w:color w:val="000000"/>
                <w:sz w:val="22"/>
              </w:rPr>
            </w:pPr>
            <w:r w:rsidRPr="009C6620">
              <w:rPr>
                <w:rFonts w:cs="Arial"/>
                <w:b/>
                <w:color w:val="000000"/>
                <w:sz w:val="22"/>
              </w:rPr>
              <w:t>ETHICS COMMITTEE TERMS OF REFERENCE</w:t>
            </w:r>
          </w:p>
        </w:tc>
        <w:tc>
          <w:tcPr>
            <w:tcW w:w="7403" w:type="dxa"/>
          </w:tcPr>
          <w:p w:rsidR="00E24A8E" w:rsidRPr="009C6620" w:rsidRDefault="00E24A8E" w:rsidP="001F58E6">
            <w:pPr>
              <w:pStyle w:val="ListParagraph"/>
              <w:spacing w:after="60"/>
              <w:ind w:left="0"/>
              <w:rPr>
                <w:rFonts w:cs="Arial"/>
                <w:sz w:val="22"/>
              </w:rPr>
            </w:pPr>
            <w:r w:rsidRPr="009C6620">
              <w:rPr>
                <w:rFonts w:cs="Arial"/>
                <w:sz w:val="22"/>
              </w:rPr>
              <w:t xml:space="preserve">The Committee received and </w:t>
            </w:r>
            <w:r w:rsidRPr="009C6620">
              <w:rPr>
                <w:rFonts w:cs="Arial"/>
                <w:b/>
                <w:sz w:val="22"/>
              </w:rPr>
              <w:t>NOTED</w:t>
            </w:r>
            <w:r w:rsidRPr="009C6620">
              <w:rPr>
                <w:rFonts w:cs="Arial"/>
                <w:sz w:val="22"/>
              </w:rPr>
              <w:t xml:space="preserve"> the updated Ethics Committee Terms of Reference.</w:t>
            </w:r>
          </w:p>
        </w:tc>
      </w:tr>
      <w:bookmarkEnd w:id="16"/>
    </w:tbl>
    <w:p w:rsidR="00E24A8E" w:rsidRPr="00D926AE" w:rsidRDefault="00E24A8E" w:rsidP="001F58E6">
      <w:pPr>
        <w:rPr>
          <w:rFonts w:cs="Arial"/>
          <w:color w:val="000000"/>
          <w:szCs w:val="24"/>
        </w:rPr>
      </w:pPr>
    </w:p>
    <w:p w:rsidR="00E24A8E" w:rsidRPr="001F58E6" w:rsidRDefault="00E24A8E" w:rsidP="001F58E6">
      <w:pPr>
        <w:pStyle w:val="Heading2"/>
        <w:shd w:val="clear" w:color="auto" w:fill="E8EDEE" w:themeFill="background2"/>
      </w:pPr>
      <w:bookmarkStart w:id="17" w:name="_Toc221093383"/>
      <w:r w:rsidRPr="001F58E6">
        <w:t>Referrals from other Board Committees: None</w:t>
      </w:r>
      <w:bookmarkEnd w:id="17"/>
      <w:r w:rsidRPr="001F58E6">
        <w:t xml:space="preserve"> </w:t>
      </w:r>
    </w:p>
    <w:p w:rsidR="00E24A8E" w:rsidRDefault="00E24A8E" w:rsidP="001F58E6">
      <w:pPr>
        <w:rPr>
          <w:rFonts w:cs="Arial"/>
          <w:szCs w:val="24"/>
        </w:rPr>
      </w:pPr>
    </w:p>
    <w:p w:rsidR="00E24A8E" w:rsidRPr="001F58E6" w:rsidRDefault="00E24A8E" w:rsidP="001F58E6">
      <w:pPr>
        <w:pStyle w:val="Heading2"/>
        <w:shd w:val="clear" w:color="auto" w:fill="E8EDEE" w:themeFill="background2"/>
      </w:pPr>
      <w:bookmarkStart w:id="18" w:name="_Toc221093384"/>
      <w:r w:rsidRPr="001F58E6">
        <w:t xml:space="preserve">Items referred to the </w:t>
      </w:r>
      <w:proofErr w:type="spellStart"/>
      <w:r w:rsidRPr="001F58E6">
        <w:t>BoD</w:t>
      </w:r>
      <w:proofErr w:type="spellEnd"/>
      <w:r w:rsidRPr="001F58E6">
        <w:t xml:space="preserve"> or another Committee for approval, decision or action:</w:t>
      </w:r>
      <w:bookmarkEnd w:id="18"/>
    </w:p>
    <w:tbl>
      <w:tblPr>
        <w:tblStyle w:val="TableGrid"/>
        <w:tblW w:w="0" w:type="auto"/>
        <w:tblLook w:val="0620" w:firstRow="1" w:lastRow="0" w:firstColumn="0" w:lastColumn="0" w:noHBand="1" w:noVBand="1"/>
      </w:tblPr>
      <w:tblGrid>
        <w:gridCol w:w="3349"/>
        <w:gridCol w:w="3350"/>
        <w:gridCol w:w="3350"/>
      </w:tblGrid>
      <w:tr w:rsidR="00E24A8E" w:rsidRPr="00A91EBA" w:rsidTr="001F58E6">
        <w:tc>
          <w:tcPr>
            <w:tcW w:w="3349" w:type="dxa"/>
          </w:tcPr>
          <w:p w:rsidR="00E24A8E" w:rsidRPr="00A91EBA" w:rsidRDefault="00E24A8E" w:rsidP="001F58E6">
            <w:pPr>
              <w:spacing w:line="216" w:lineRule="auto"/>
              <w:rPr>
                <w:b/>
                <w:sz w:val="22"/>
              </w:rPr>
            </w:pPr>
            <w:r w:rsidRPr="00A91EBA">
              <w:rPr>
                <w:b/>
                <w:sz w:val="22"/>
              </w:rPr>
              <w:t>Item</w:t>
            </w:r>
          </w:p>
        </w:tc>
        <w:tc>
          <w:tcPr>
            <w:tcW w:w="3350" w:type="dxa"/>
          </w:tcPr>
          <w:p w:rsidR="00E24A8E" w:rsidRPr="00A91EBA" w:rsidRDefault="00E24A8E" w:rsidP="001F58E6">
            <w:pPr>
              <w:spacing w:line="216" w:lineRule="auto"/>
              <w:rPr>
                <w:b/>
                <w:sz w:val="22"/>
              </w:rPr>
            </w:pPr>
            <w:r w:rsidRPr="00A91EBA">
              <w:rPr>
                <w:b/>
                <w:sz w:val="22"/>
              </w:rPr>
              <w:t>Purpose</w:t>
            </w:r>
          </w:p>
        </w:tc>
        <w:tc>
          <w:tcPr>
            <w:tcW w:w="3350" w:type="dxa"/>
          </w:tcPr>
          <w:p w:rsidR="00E24A8E" w:rsidRPr="00A91EBA" w:rsidRDefault="00E24A8E" w:rsidP="001F58E6">
            <w:pPr>
              <w:spacing w:line="216" w:lineRule="auto"/>
              <w:rPr>
                <w:b/>
                <w:sz w:val="22"/>
              </w:rPr>
            </w:pPr>
            <w:r w:rsidRPr="00A91EBA">
              <w:rPr>
                <w:b/>
                <w:sz w:val="22"/>
              </w:rPr>
              <w:t>Date</w:t>
            </w:r>
          </w:p>
        </w:tc>
      </w:tr>
      <w:tr w:rsidR="00E24A8E" w:rsidRPr="00D926AE" w:rsidTr="001F58E6">
        <w:tc>
          <w:tcPr>
            <w:tcW w:w="3349" w:type="dxa"/>
          </w:tcPr>
          <w:p w:rsidR="00E24A8E" w:rsidRPr="00D926AE" w:rsidRDefault="00E24A8E" w:rsidP="001F58E6">
            <w:pPr>
              <w:spacing w:line="216" w:lineRule="auto"/>
              <w:rPr>
                <w:rFonts w:cs="Arial"/>
                <w:bCs/>
                <w:szCs w:val="24"/>
              </w:rPr>
            </w:pPr>
            <w:r w:rsidRPr="00D926AE">
              <w:rPr>
                <w:rFonts w:cs="Arial"/>
                <w:bCs/>
                <w:szCs w:val="24"/>
              </w:rPr>
              <w:t xml:space="preserve">The Committee asks the BoD to discuss and </w:t>
            </w:r>
            <w:r w:rsidRPr="00D926AE">
              <w:rPr>
                <w:rFonts w:cs="Arial"/>
                <w:b/>
                <w:bCs/>
                <w:szCs w:val="24"/>
              </w:rPr>
              <w:t>NOTE</w:t>
            </w:r>
            <w:r w:rsidRPr="00D926AE">
              <w:rPr>
                <w:rFonts w:cs="Arial"/>
                <w:bCs/>
                <w:szCs w:val="24"/>
              </w:rPr>
              <w:t xml:space="preserve"> this Q&amp;SC Chair Assurance Report.</w:t>
            </w:r>
          </w:p>
        </w:tc>
        <w:tc>
          <w:tcPr>
            <w:tcW w:w="3350" w:type="dxa"/>
          </w:tcPr>
          <w:p w:rsidR="00E24A8E" w:rsidRPr="00D926AE" w:rsidRDefault="00E24A8E" w:rsidP="001F58E6">
            <w:pPr>
              <w:spacing w:line="216" w:lineRule="auto"/>
              <w:rPr>
                <w:rFonts w:cs="Arial"/>
                <w:szCs w:val="24"/>
              </w:rPr>
            </w:pPr>
            <w:r w:rsidRPr="00D926AE">
              <w:rPr>
                <w:rFonts w:cs="Arial"/>
                <w:szCs w:val="24"/>
              </w:rPr>
              <w:t>Assurance</w:t>
            </w:r>
          </w:p>
        </w:tc>
        <w:tc>
          <w:tcPr>
            <w:tcW w:w="3350" w:type="dxa"/>
          </w:tcPr>
          <w:p w:rsidR="00E24A8E" w:rsidRPr="00D926AE" w:rsidRDefault="00E24A8E" w:rsidP="001F58E6">
            <w:pPr>
              <w:spacing w:line="216" w:lineRule="auto"/>
              <w:rPr>
                <w:rFonts w:cs="Arial"/>
                <w:szCs w:val="24"/>
              </w:rPr>
            </w:pPr>
            <w:r>
              <w:rPr>
                <w:rFonts w:cs="Arial"/>
                <w:szCs w:val="24"/>
              </w:rPr>
              <w:t>5 February 2026</w:t>
            </w:r>
          </w:p>
        </w:tc>
      </w:tr>
    </w:tbl>
    <w:p w:rsidR="00E24A8E" w:rsidRDefault="00E24A8E" w:rsidP="001F58E6">
      <w:pPr>
        <w:rPr>
          <w:rFonts w:cs="Arial"/>
          <w:color w:val="000000"/>
          <w:szCs w:val="24"/>
        </w:rPr>
      </w:pPr>
    </w:p>
    <w:p w:rsidR="00E24A8E" w:rsidRPr="001F58E6" w:rsidRDefault="00E24A8E" w:rsidP="001F58E6">
      <w:pPr>
        <w:pStyle w:val="NoSpacing"/>
        <w:rPr>
          <w:b/>
        </w:rPr>
      </w:pPr>
      <w:r w:rsidRPr="001F58E6">
        <w:rPr>
          <w:b/>
        </w:rPr>
        <w:t>Dr Andrew Catto</w:t>
      </w:r>
    </w:p>
    <w:p w:rsidR="001F58E6" w:rsidRDefault="00E24A8E" w:rsidP="001F58E6">
      <w:pPr>
        <w:pStyle w:val="NoSpacing"/>
        <w:sectPr w:rsidR="001F58E6" w:rsidSect="001F58E6">
          <w:headerReference w:type="even" r:id="rId19"/>
          <w:headerReference w:type="default" r:id="rId20"/>
          <w:footerReference w:type="even" r:id="rId21"/>
          <w:footerReference w:type="default" r:id="rId22"/>
          <w:headerReference w:type="first" r:id="rId23"/>
          <w:pgSz w:w="11906" w:h="16838" w:code="9"/>
          <w:pgMar w:top="2109" w:right="707" w:bottom="426" w:left="1140" w:header="426" w:footer="384" w:gutter="0"/>
          <w:cols w:space="720"/>
        </w:sectPr>
      </w:pPr>
      <w:r>
        <w:t>Chair, Q&amp;SC 26 January 2026</w:t>
      </w:r>
    </w:p>
    <w:p w:rsidR="001F58E6" w:rsidRPr="00F2454E" w:rsidRDefault="001F58E6" w:rsidP="001F58E6">
      <w:pPr>
        <w:pStyle w:val="Heading1"/>
      </w:pPr>
      <w:bookmarkStart w:id="19" w:name="_Toc221093385"/>
      <w:r>
        <w:lastRenderedPageBreak/>
        <w:t xml:space="preserve">122.3 </w:t>
      </w:r>
      <w:r w:rsidRPr="00F2454E">
        <w:t>BOARD COMMITTEE ASSURANCE REPORT TO THE BOARD OF DIRECTORS (BoD)</w:t>
      </w:r>
      <w:bookmarkEnd w:id="19"/>
    </w:p>
    <w:p w:rsidR="001F58E6" w:rsidRPr="00F2454E" w:rsidRDefault="001F58E6" w:rsidP="001F58E6">
      <w:pPr>
        <w:rPr>
          <w:rFonts w:cs="Arial"/>
          <w:b/>
          <w:sz w:val="22"/>
        </w:rPr>
      </w:pPr>
      <w:r w:rsidRPr="00F2454E">
        <w:rPr>
          <w:rFonts w:cs="Arial"/>
          <w:b/>
          <w:sz w:val="22"/>
        </w:rPr>
        <w:t>Committee:</w:t>
      </w:r>
      <w:r w:rsidRPr="00F2454E">
        <w:rPr>
          <w:rFonts w:cs="Arial"/>
          <w:sz w:val="22"/>
        </w:rPr>
        <w:t xml:space="preserve"> </w:t>
      </w:r>
      <w:r w:rsidRPr="00F2454E">
        <w:rPr>
          <w:rFonts w:cs="Arial"/>
          <w:sz w:val="22"/>
        </w:rPr>
        <w:tab/>
      </w:r>
      <w:r w:rsidRPr="00F2454E">
        <w:rPr>
          <w:rFonts w:cs="Arial"/>
          <w:b/>
          <w:sz w:val="22"/>
        </w:rPr>
        <w:t>Finance and Performance Committee (FPC)</w:t>
      </w:r>
    </w:p>
    <w:p w:rsidR="001F58E6" w:rsidRPr="00F2454E" w:rsidRDefault="001F58E6" w:rsidP="001F58E6">
      <w:pPr>
        <w:rPr>
          <w:rFonts w:cs="Arial"/>
          <w:b/>
          <w:sz w:val="22"/>
        </w:rPr>
      </w:pPr>
      <w:r w:rsidRPr="00F2454E">
        <w:rPr>
          <w:rFonts w:cs="Arial"/>
          <w:b/>
          <w:sz w:val="22"/>
        </w:rPr>
        <w:t>Meeting date: 6 January 2026</w:t>
      </w:r>
    </w:p>
    <w:p w:rsidR="001F58E6" w:rsidRPr="00F2454E" w:rsidRDefault="001F58E6" w:rsidP="001F58E6">
      <w:pPr>
        <w:rPr>
          <w:rFonts w:cs="Arial"/>
          <w:b/>
          <w:sz w:val="22"/>
        </w:rPr>
      </w:pPr>
      <w:r w:rsidRPr="00F2454E">
        <w:rPr>
          <w:rFonts w:cs="Arial"/>
          <w:b/>
          <w:sz w:val="22"/>
        </w:rPr>
        <w:t xml:space="preserve">Chair: </w:t>
      </w:r>
      <w:r w:rsidRPr="00F2454E">
        <w:rPr>
          <w:rFonts w:cs="Arial"/>
          <w:b/>
          <w:sz w:val="22"/>
        </w:rPr>
        <w:tab/>
        <w:t xml:space="preserve">Richard </w:t>
      </w:r>
      <w:proofErr w:type="spellStart"/>
      <w:r w:rsidRPr="00F2454E">
        <w:rPr>
          <w:rFonts w:cs="Arial"/>
          <w:b/>
          <w:sz w:val="22"/>
        </w:rPr>
        <w:t>Oirschot</w:t>
      </w:r>
      <w:proofErr w:type="spellEnd"/>
      <w:r w:rsidRPr="00F2454E">
        <w:rPr>
          <w:rFonts w:cs="Arial"/>
          <w:b/>
          <w:sz w:val="22"/>
        </w:rPr>
        <w:t>, Non-Executive Director (NED)</w:t>
      </w:r>
    </w:p>
    <w:p w:rsidR="001F58E6" w:rsidRPr="00F2454E" w:rsidRDefault="001F58E6" w:rsidP="001F58E6">
      <w:pPr>
        <w:rPr>
          <w:rFonts w:cs="Arial"/>
          <w:b/>
          <w:sz w:val="22"/>
        </w:rPr>
      </w:pPr>
      <w:r w:rsidRPr="00F2454E">
        <w:rPr>
          <w:rFonts w:cs="Arial"/>
          <w:b/>
          <w:sz w:val="22"/>
        </w:rPr>
        <w:t>Quorate: Yes</w:t>
      </w:r>
    </w:p>
    <w:p w:rsidR="001F58E6" w:rsidRDefault="001F58E6" w:rsidP="001F58E6">
      <w:pPr>
        <w:pStyle w:val="Heading2"/>
        <w:shd w:val="clear" w:color="auto" w:fill="E8EDEE" w:themeFill="background2"/>
        <w:tabs>
          <w:tab w:val="left" w:pos="2552"/>
          <w:tab w:val="left" w:pos="4536"/>
          <w:tab w:val="left" w:pos="6237"/>
          <w:tab w:val="left" w:pos="8364"/>
        </w:tabs>
        <w:rPr>
          <w:rFonts w:cs="Arial"/>
          <w:szCs w:val="22"/>
        </w:rPr>
      </w:pPr>
      <w:bookmarkStart w:id="20" w:name="_Toc221093386"/>
      <w:r w:rsidRPr="00F2454E">
        <w:rPr>
          <w:rFonts w:cs="Arial"/>
          <w:szCs w:val="22"/>
        </w:rPr>
        <w:t>Appendices:</w:t>
      </w:r>
      <w:r>
        <w:rPr>
          <w:rFonts w:cs="Arial"/>
          <w:szCs w:val="22"/>
        </w:rPr>
        <w:t xml:space="preserve">  </w:t>
      </w:r>
      <w:r w:rsidRPr="00F2454E">
        <w:rPr>
          <w:rFonts w:cs="Arial"/>
          <w:szCs w:val="22"/>
        </w:rPr>
        <w:t>None</w:t>
      </w:r>
      <w:bookmarkEnd w:id="20"/>
    </w:p>
    <w:p w:rsidR="001F58E6" w:rsidRPr="001F58E6" w:rsidRDefault="001F58E6" w:rsidP="001F58E6">
      <w:pPr>
        <w:pStyle w:val="NoSpacing"/>
      </w:pPr>
    </w:p>
    <w:p w:rsidR="001F58E6" w:rsidRPr="00F2454E" w:rsidRDefault="001F58E6" w:rsidP="001F58E6">
      <w:pPr>
        <w:pStyle w:val="Heading2"/>
        <w:shd w:val="clear" w:color="auto" w:fill="E8EDEE" w:themeFill="background2"/>
        <w:rPr>
          <w:rFonts w:cs="Arial"/>
          <w:szCs w:val="22"/>
        </w:rPr>
      </w:pPr>
      <w:bookmarkStart w:id="21" w:name="_Toc221093387"/>
      <w:r w:rsidRPr="00F2454E">
        <w:rPr>
          <w:rFonts w:cs="Arial"/>
          <w:szCs w:val="22"/>
        </w:rPr>
        <w:t>Declarations of interest made:</w:t>
      </w:r>
      <w:bookmarkEnd w:id="21"/>
    </w:p>
    <w:p w:rsidR="001F58E6" w:rsidRPr="00F2454E" w:rsidRDefault="001F58E6" w:rsidP="001F58E6">
      <w:pPr>
        <w:rPr>
          <w:rFonts w:cs="Arial"/>
          <w:sz w:val="22"/>
        </w:rPr>
      </w:pPr>
      <w:r w:rsidRPr="00F2454E">
        <w:rPr>
          <w:rFonts w:cs="Arial"/>
          <w:sz w:val="22"/>
        </w:rPr>
        <w:t>No declaration of interest was made outside the current Board Register of Interest.</w:t>
      </w:r>
    </w:p>
    <w:p w:rsidR="001F58E6" w:rsidRPr="00F2454E" w:rsidRDefault="001F58E6" w:rsidP="001F58E6">
      <w:pPr>
        <w:pStyle w:val="Heading2"/>
        <w:shd w:val="clear" w:color="auto" w:fill="E8EDEE" w:themeFill="background2"/>
        <w:rPr>
          <w:rFonts w:cs="Arial"/>
          <w:szCs w:val="22"/>
        </w:rPr>
      </w:pPr>
      <w:bookmarkStart w:id="22" w:name="_Toc221093388"/>
      <w:r w:rsidRPr="00F2454E">
        <w:rPr>
          <w:rFonts w:cs="Arial"/>
          <w:szCs w:val="22"/>
        </w:rPr>
        <w:t>Assurances received at the Committee meeting:</w:t>
      </w:r>
      <w:bookmarkEnd w:id="22"/>
    </w:p>
    <w:tbl>
      <w:tblPr>
        <w:tblStyle w:val="TableGridLight"/>
        <w:tblW w:w="0" w:type="auto"/>
        <w:tblLayout w:type="fixed"/>
        <w:tblLook w:val="0620" w:firstRow="1" w:lastRow="0" w:firstColumn="0" w:lastColumn="0" w:noHBand="1" w:noVBand="1"/>
      </w:tblPr>
      <w:tblGrid>
        <w:gridCol w:w="2405"/>
        <w:gridCol w:w="7644"/>
      </w:tblGrid>
      <w:tr w:rsidR="001F58E6" w:rsidRPr="00F2454E" w:rsidTr="001F58E6">
        <w:trPr>
          <w:cnfStyle w:val="100000000000" w:firstRow="1" w:lastRow="0" w:firstColumn="0" w:lastColumn="0" w:oddVBand="0" w:evenVBand="0" w:oddHBand="0" w:evenHBand="0" w:firstRowFirstColumn="0" w:firstRowLastColumn="0" w:lastRowFirstColumn="0" w:lastRowLastColumn="0"/>
        </w:trPr>
        <w:tc>
          <w:tcPr>
            <w:tcW w:w="2405" w:type="dxa"/>
          </w:tcPr>
          <w:p w:rsidR="001F58E6" w:rsidRPr="00F2454E" w:rsidRDefault="001F58E6" w:rsidP="001F58E6">
            <w:pPr>
              <w:rPr>
                <w:rFonts w:cs="Arial"/>
                <w:b w:val="0"/>
                <w:sz w:val="22"/>
              </w:rPr>
            </w:pPr>
            <w:r w:rsidRPr="00F2454E">
              <w:rPr>
                <w:rFonts w:cs="Arial"/>
                <w:sz w:val="22"/>
              </w:rPr>
              <w:t>Agenda item</w:t>
            </w:r>
          </w:p>
        </w:tc>
        <w:tc>
          <w:tcPr>
            <w:tcW w:w="7644" w:type="dxa"/>
          </w:tcPr>
          <w:p w:rsidR="001F58E6" w:rsidRPr="00F2454E" w:rsidRDefault="001F58E6" w:rsidP="001F58E6">
            <w:pPr>
              <w:jc w:val="both"/>
              <w:rPr>
                <w:rFonts w:cs="Arial"/>
                <w:b w:val="0"/>
                <w:sz w:val="22"/>
              </w:rPr>
            </w:pPr>
            <w:r w:rsidRPr="00F2454E">
              <w:rPr>
                <w:rFonts w:cs="Arial"/>
                <w:sz w:val="22"/>
              </w:rPr>
              <w:t>Summary</w:t>
            </w:r>
          </w:p>
        </w:tc>
      </w:tr>
      <w:tr w:rsidR="001F58E6" w:rsidRPr="00F2454E" w:rsidTr="001F58E6">
        <w:trPr>
          <w:trHeight w:val="1267"/>
        </w:trPr>
        <w:tc>
          <w:tcPr>
            <w:tcW w:w="2405" w:type="dxa"/>
            <w:vAlign w:val="top"/>
          </w:tcPr>
          <w:p w:rsidR="001F58E6" w:rsidRPr="00F2454E" w:rsidRDefault="001F58E6" w:rsidP="001F58E6">
            <w:pPr>
              <w:rPr>
                <w:rFonts w:cs="Arial"/>
                <w:b/>
                <w:sz w:val="22"/>
              </w:rPr>
            </w:pPr>
            <w:r w:rsidRPr="00F2454E">
              <w:rPr>
                <w:rFonts w:cs="Arial"/>
                <w:b/>
                <w:sz w:val="22"/>
              </w:rPr>
              <w:t>Significant Risk Register (SRR)</w:t>
            </w:r>
          </w:p>
        </w:tc>
        <w:tc>
          <w:tcPr>
            <w:tcW w:w="7644" w:type="dxa"/>
          </w:tcPr>
          <w:p w:rsidR="001F58E6" w:rsidRPr="00F2454E" w:rsidRDefault="001F58E6" w:rsidP="001F58E6">
            <w:pPr>
              <w:rPr>
                <w:rFonts w:cs="Arial"/>
                <w:sz w:val="22"/>
                <w:lang w:eastAsia="ar-SA"/>
              </w:rPr>
            </w:pPr>
            <w:r w:rsidRPr="00F2454E">
              <w:rPr>
                <w:rFonts w:cs="Arial"/>
                <w:sz w:val="22"/>
                <w:lang w:eastAsia="ar-SA"/>
              </w:rPr>
              <w:t xml:space="preserve">The Committee received and </w:t>
            </w:r>
            <w:r w:rsidRPr="00F2454E">
              <w:rPr>
                <w:rFonts w:cs="Arial"/>
                <w:b/>
                <w:sz w:val="22"/>
                <w:lang w:eastAsia="ar-SA"/>
              </w:rPr>
              <w:t>NOTED</w:t>
            </w:r>
            <w:r w:rsidRPr="00F2454E">
              <w:rPr>
                <w:rFonts w:cs="Arial"/>
                <w:sz w:val="22"/>
                <w:lang w:eastAsia="ar-SA"/>
              </w:rPr>
              <w:t xml:space="preserve"> the updated SRR relevant to its remit.</w:t>
            </w:r>
          </w:p>
          <w:p w:rsidR="001F58E6" w:rsidRDefault="001F58E6" w:rsidP="001F58E6">
            <w:pPr>
              <w:rPr>
                <w:rFonts w:cs="Arial"/>
                <w:sz w:val="22"/>
              </w:rPr>
            </w:pPr>
            <w:r w:rsidRPr="00F2454E">
              <w:rPr>
                <w:rFonts w:cs="Arial"/>
                <w:sz w:val="22"/>
              </w:rPr>
              <w:t xml:space="preserve">The Committee reviewed the </w:t>
            </w:r>
            <w:r>
              <w:rPr>
                <w:rFonts w:cs="Arial"/>
                <w:sz w:val="22"/>
              </w:rPr>
              <w:t>SRR</w:t>
            </w:r>
            <w:r w:rsidRPr="00F2454E">
              <w:rPr>
                <w:rFonts w:cs="Arial"/>
                <w:sz w:val="22"/>
              </w:rPr>
              <w:t>, noting that several actions were overdue and required urgent updates. These included risks relating to the training needs assessment, cyber reporting delays, and the targeted investment programme. The Committee emphasised the need for all risks to be supported by data</w:t>
            </w:r>
            <w:r w:rsidRPr="00F2454E">
              <w:rPr>
                <w:rFonts w:ascii="Cambria Math" w:hAnsi="Cambria Math" w:cs="Cambria Math"/>
                <w:sz w:val="22"/>
              </w:rPr>
              <w:t>‑</w:t>
            </w:r>
            <w:r w:rsidRPr="00F2454E">
              <w:rPr>
                <w:rFonts w:cs="Arial"/>
                <w:sz w:val="22"/>
              </w:rPr>
              <w:t>driven updates, with clear milestones, revised target dates and identification of any interim mitigations. Staffing risks within the Children and Young People care group were discussed in detail, particularly the difficulties in filling medical shifts attributed to Trust</w:t>
            </w:r>
            <w:r w:rsidRPr="00F2454E">
              <w:rPr>
                <w:rFonts w:ascii="Cambria Math" w:hAnsi="Cambria Math" w:cs="Cambria Math"/>
                <w:sz w:val="22"/>
              </w:rPr>
              <w:t>‑</w:t>
            </w:r>
            <w:r w:rsidRPr="00F2454E">
              <w:rPr>
                <w:rFonts w:cs="Arial"/>
                <w:sz w:val="22"/>
              </w:rPr>
              <w:t xml:space="preserve">wide pay rate harmonisation, which had disrupted historical arrangements in the Emergency Medicine Programme. </w:t>
            </w:r>
          </w:p>
          <w:p w:rsidR="001F58E6" w:rsidRPr="001F58E6" w:rsidRDefault="001F58E6" w:rsidP="001F58E6">
            <w:pPr>
              <w:rPr>
                <w:rFonts w:cs="Arial"/>
                <w:sz w:val="22"/>
              </w:rPr>
            </w:pPr>
            <w:r w:rsidRPr="00F2454E">
              <w:rPr>
                <w:rFonts w:cs="Arial"/>
                <w:sz w:val="22"/>
              </w:rPr>
              <w:t>The Committee requested a full written update before the next meeting.</w:t>
            </w:r>
          </w:p>
        </w:tc>
      </w:tr>
      <w:tr w:rsidR="001F58E6" w:rsidRPr="00F2454E" w:rsidTr="001F58E6">
        <w:trPr>
          <w:trHeight w:val="699"/>
        </w:trPr>
        <w:tc>
          <w:tcPr>
            <w:tcW w:w="2405" w:type="dxa"/>
            <w:vAlign w:val="top"/>
          </w:tcPr>
          <w:p w:rsidR="001F58E6" w:rsidRPr="00F2454E" w:rsidRDefault="001F58E6" w:rsidP="001F58E6">
            <w:pPr>
              <w:rPr>
                <w:rFonts w:eastAsia="Calibri" w:cs="Arial"/>
                <w:b/>
                <w:bCs/>
                <w:kern w:val="2"/>
                <w:sz w:val="22"/>
                <w:lang w:eastAsia="en-US"/>
              </w:rPr>
            </w:pPr>
            <w:r w:rsidRPr="00F2454E">
              <w:rPr>
                <w:rFonts w:eastAsia="Calibri" w:cs="Arial"/>
                <w:b/>
                <w:bCs/>
                <w:kern w:val="2"/>
                <w:sz w:val="22"/>
                <w:lang w:eastAsia="en-US"/>
              </w:rPr>
              <w:lastRenderedPageBreak/>
              <w:t>We Care Integrated Performance Report (IPR) (M</w:t>
            </w:r>
            <w:r>
              <w:rPr>
                <w:rFonts w:eastAsia="Calibri" w:cs="Arial"/>
                <w:b/>
                <w:bCs/>
                <w:kern w:val="2"/>
                <w:sz w:val="22"/>
                <w:lang w:eastAsia="en-US"/>
              </w:rPr>
              <w:t>8</w:t>
            </w:r>
            <w:r w:rsidRPr="00F2454E">
              <w:rPr>
                <w:rFonts w:eastAsia="Calibri" w:cs="Arial"/>
                <w:b/>
                <w:bCs/>
                <w:kern w:val="2"/>
                <w:sz w:val="22"/>
                <w:lang w:eastAsia="en-US"/>
              </w:rPr>
              <w:t>): National Constitutional Standards for Emergency Access, Referral to Treatment (RTT), Cancer and Diagnostics</w:t>
            </w:r>
          </w:p>
          <w:p w:rsidR="001F58E6" w:rsidRPr="00F2454E" w:rsidRDefault="001F58E6" w:rsidP="001F58E6">
            <w:pPr>
              <w:rPr>
                <w:rFonts w:eastAsia="Calibri" w:cs="Arial"/>
                <w:bCs/>
                <w:kern w:val="2"/>
                <w:sz w:val="22"/>
                <w:lang w:eastAsia="en-US"/>
              </w:rPr>
            </w:pPr>
          </w:p>
          <w:p w:rsidR="001F58E6" w:rsidRPr="00F2454E" w:rsidRDefault="001F58E6" w:rsidP="001F58E6">
            <w:pPr>
              <w:rPr>
                <w:rFonts w:eastAsia="Calibri" w:cs="Arial"/>
                <w:b/>
                <w:bCs/>
                <w:kern w:val="2"/>
                <w:sz w:val="22"/>
                <w:lang w:eastAsia="en-US"/>
              </w:rPr>
            </w:pPr>
            <w:r w:rsidRPr="00F2454E">
              <w:rPr>
                <w:rFonts w:eastAsia="Calibri" w:cs="Arial"/>
                <w:b/>
                <w:bCs/>
                <w:kern w:val="2"/>
                <w:sz w:val="22"/>
                <w:lang w:eastAsia="en-US"/>
              </w:rPr>
              <w:t xml:space="preserve">Emergency Care Improvement Support Team (ECIST) Report and Progress Against Actions Update </w:t>
            </w:r>
          </w:p>
          <w:p w:rsidR="001F58E6" w:rsidRPr="00F2454E" w:rsidRDefault="001F58E6" w:rsidP="001F58E6">
            <w:pPr>
              <w:rPr>
                <w:rFonts w:cs="Arial"/>
                <w:b/>
                <w:sz w:val="22"/>
              </w:rPr>
            </w:pPr>
          </w:p>
        </w:tc>
        <w:tc>
          <w:tcPr>
            <w:tcW w:w="7644" w:type="dxa"/>
          </w:tcPr>
          <w:p w:rsidR="001F58E6" w:rsidRPr="00F2454E" w:rsidRDefault="001F58E6" w:rsidP="001F58E6">
            <w:pPr>
              <w:rPr>
                <w:sz w:val="22"/>
                <w:lang w:eastAsia="ar-SA"/>
              </w:rPr>
            </w:pPr>
            <w:r w:rsidRPr="00F2454E">
              <w:rPr>
                <w:sz w:val="22"/>
                <w:lang w:eastAsia="ar-SA"/>
              </w:rPr>
              <w:t xml:space="preserve">The Committee received and </w:t>
            </w:r>
            <w:r w:rsidRPr="00F2454E">
              <w:rPr>
                <w:b/>
                <w:sz w:val="22"/>
                <w:lang w:eastAsia="ar-SA"/>
              </w:rPr>
              <w:t xml:space="preserve">NOTED </w:t>
            </w:r>
            <w:r w:rsidRPr="00F2454E">
              <w:rPr>
                <w:sz w:val="22"/>
                <w:lang w:eastAsia="ar-SA"/>
              </w:rPr>
              <w:t>the</w:t>
            </w:r>
            <w:r w:rsidRPr="00F2454E">
              <w:rPr>
                <w:rFonts w:cs="Arial"/>
                <w:sz w:val="22"/>
              </w:rPr>
              <w:t xml:space="preserve"> M</w:t>
            </w:r>
            <w:r>
              <w:rPr>
                <w:rFonts w:cs="Arial"/>
                <w:sz w:val="22"/>
              </w:rPr>
              <w:t>8</w:t>
            </w:r>
            <w:r w:rsidRPr="00F2454E">
              <w:rPr>
                <w:rFonts w:cs="Arial"/>
                <w:sz w:val="22"/>
              </w:rPr>
              <w:t xml:space="preserve"> </w:t>
            </w:r>
            <w:r w:rsidRPr="00F2454E">
              <w:rPr>
                <w:sz w:val="22"/>
                <w:lang w:eastAsia="ar-SA"/>
              </w:rPr>
              <w:t>IPR.</w:t>
            </w:r>
          </w:p>
          <w:p w:rsidR="001F58E6" w:rsidRPr="00F2454E" w:rsidRDefault="001F58E6" w:rsidP="001F58E6">
            <w:pPr>
              <w:rPr>
                <w:rFonts w:cs="Arial"/>
                <w:sz w:val="22"/>
              </w:rPr>
            </w:pPr>
            <w:r w:rsidRPr="00F2454E">
              <w:rPr>
                <w:rFonts w:cs="Arial"/>
                <w:b/>
                <w:sz w:val="22"/>
              </w:rPr>
              <w:t>Emergency Access, RTT, Cancer and Diagnostics</w:t>
            </w:r>
            <w:r w:rsidRPr="00F2454E">
              <w:rPr>
                <w:rFonts w:cs="Arial"/>
                <w:b/>
                <w:sz w:val="22"/>
              </w:rPr>
              <w:br/>
            </w:r>
            <w:r w:rsidRPr="00F2454E">
              <w:rPr>
                <w:rFonts w:cs="Arial"/>
                <w:sz w:val="22"/>
              </w:rPr>
              <w:t>Emergency performance weakened during December, driven primarily by infection control outbreaks at</w:t>
            </w:r>
            <w:r>
              <w:rPr>
                <w:rFonts w:cs="Arial"/>
                <w:sz w:val="22"/>
              </w:rPr>
              <w:t xml:space="preserve"> Queen Elizabeth the Queen Mother Hospital</w:t>
            </w:r>
            <w:r w:rsidRPr="00F2454E">
              <w:rPr>
                <w:rFonts w:cs="Arial"/>
                <w:sz w:val="22"/>
              </w:rPr>
              <w:t xml:space="preserve"> </w:t>
            </w:r>
            <w:r>
              <w:rPr>
                <w:rFonts w:cs="Arial"/>
                <w:sz w:val="22"/>
              </w:rPr>
              <w:t>(</w:t>
            </w:r>
            <w:r w:rsidRPr="00F2454E">
              <w:rPr>
                <w:rFonts w:cs="Arial"/>
                <w:sz w:val="22"/>
              </w:rPr>
              <w:t>QEQM</w:t>
            </w:r>
            <w:r>
              <w:rPr>
                <w:rFonts w:cs="Arial"/>
                <w:sz w:val="22"/>
              </w:rPr>
              <w:t>)</w:t>
            </w:r>
            <w:r w:rsidRPr="00F2454E">
              <w:rPr>
                <w:rFonts w:cs="Arial"/>
                <w:sz w:val="22"/>
              </w:rPr>
              <w:t xml:space="preserve"> that resulted in approximately 80 beds being affected and several empty but unusable beds due to cohorting restrictions. Elective performance also deteriorated, and the Trust missed its December target for 65</w:t>
            </w:r>
            <w:r w:rsidRPr="00F2454E">
              <w:rPr>
                <w:rFonts w:ascii="Cambria Math" w:hAnsi="Cambria Math" w:cs="Cambria Math"/>
                <w:sz w:val="22"/>
              </w:rPr>
              <w:t>‑</w:t>
            </w:r>
            <w:r w:rsidRPr="00F2454E">
              <w:rPr>
                <w:rFonts w:cs="Arial"/>
                <w:sz w:val="22"/>
              </w:rPr>
              <w:t>week waiters, recording 48 patients against a trajectory of 36. Mutual aid offers remained extremely limited across the Kent and Medway</w:t>
            </w:r>
            <w:r>
              <w:rPr>
                <w:rFonts w:cs="Arial"/>
                <w:sz w:val="22"/>
              </w:rPr>
              <w:t xml:space="preserve"> (K&amp;M)</w:t>
            </w:r>
            <w:r w:rsidRPr="00F2454E">
              <w:rPr>
                <w:rFonts w:cs="Arial"/>
                <w:sz w:val="22"/>
              </w:rPr>
              <w:t xml:space="preserve"> system.</w:t>
            </w:r>
          </w:p>
          <w:p w:rsidR="001F58E6" w:rsidRPr="00F2454E" w:rsidRDefault="001F58E6" w:rsidP="001F58E6">
            <w:pPr>
              <w:rPr>
                <w:rFonts w:cs="Arial"/>
                <w:sz w:val="22"/>
              </w:rPr>
            </w:pPr>
            <w:r w:rsidRPr="00F2454E">
              <w:rPr>
                <w:rFonts w:cs="Arial"/>
                <w:b/>
                <w:sz w:val="22"/>
              </w:rPr>
              <w:t>Winter Plan</w:t>
            </w:r>
            <w:r w:rsidRPr="00F2454E">
              <w:rPr>
                <w:rFonts w:cs="Arial"/>
                <w:b/>
                <w:sz w:val="22"/>
              </w:rPr>
              <w:br/>
            </w:r>
            <w:r w:rsidRPr="00F2454E">
              <w:rPr>
                <w:rFonts w:cs="Arial"/>
                <w:sz w:val="22"/>
              </w:rPr>
              <w:t>January brought significant challenges including high patient acuity,</w:t>
            </w:r>
            <w:r>
              <w:rPr>
                <w:rFonts w:cs="Arial"/>
                <w:sz w:val="22"/>
              </w:rPr>
              <w:t xml:space="preserve"> Infection Prevention and Control</w:t>
            </w:r>
            <w:r w:rsidRPr="00F2454E">
              <w:rPr>
                <w:rFonts w:cs="Arial"/>
                <w:sz w:val="22"/>
              </w:rPr>
              <w:t xml:space="preserve"> </w:t>
            </w:r>
            <w:r>
              <w:rPr>
                <w:rFonts w:cs="Arial"/>
                <w:sz w:val="22"/>
              </w:rPr>
              <w:t>(</w:t>
            </w:r>
            <w:r w:rsidRPr="00F2454E">
              <w:rPr>
                <w:rFonts w:cs="Arial"/>
                <w:sz w:val="22"/>
              </w:rPr>
              <w:t>IPC</w:t>
            </w:r>
            <w:r>
              <w:rPr>
                <w:rFonts w:cs="Arial"/>
                <w:sz w:val="22"/>
              </w:rPr>
              <w:t>)</w:t>
            </w:r>
            <w:r w:rsidRPr="00F2454E">
              <w:rPr>
                <w:rFonts w:cs="Arial"/>
                <w:sz w:val="22"/>
              </w:rPr>
              <w:t xml:space="preserve"> outbreaks, junior doctor industrial action, and days with no</w:t>
            </w:r>
            <w:r>
              <w:rPr>
                <w:rFonts w:cs="Arial"/>
                <w:sz w:val="22"/>
              </w:rPr>
              <w:t xml:space="preserve"> Intensive Therapy Unit (</w:t>
            </w:r>
            <w:r w:rsidRPr="00F2454E">
              <w:rPr>
                <w:rFonts w:cs="Arial"/>
                <w:sz w:val="22"/>
              </w:rPr>
              <w:t>ITU</w:t>
            </w:r>
            <w:r>
              <w:rPr>
                <w:rFonts w:cs="Arial"/>
                <w:sz w:val="22"/>
              </w:rPr>
              <w:t>)</w:t>
            </w:r>
            <w:r w:rsidRPr="00F2454E">
              <w:rPr>
                <w:rFonts w:cs="Arial"/>
                <w:sz w:val="22"/>
              </w:rPr>
              <w:t xml:space="preserve"> beds available. A controlled incident response was enacted across acute sites. The Committee expressed concern regarding variation in documentation quality between</w:t>
            </w:r>
            <w:r>
              <w:rPr>
                <w:rFonts w:cs="Arial"/>
                <w:sz w:val="22"/>
              </w:rPr>
              <w:t xml:space="preserve"> William Harvey Hospital</w:t>
            </w:r>
            <w:r w:rsidRPr="00F2454E">
              <w:rPr>
                <w:rFonts w:cs="Arial"/>
                <w:sz w:val="22"/>
              </w:rPr>
              <w:t xml:space="preserve"> </w:t>
            </w:r>
            <w:r>
              <w:rPr>
                <w:rFonts w:cs="Arial"/>
                <w:sz w:val="22"/>
              </w:rPr>
              <w:t>(</w:t>
            </w:r>
            <w:r w:rsidRPr="00F2454E">
              <w:rPr>
                <w:rFonts w:cs="Arial"/>
                <w:sz w:val="22"/>
              </w:rPr>
              <w:t>WHH</w:t>
            </w:r>
            <w:r>
              <w:rPr>
                <w:rFonts w:cs="Arial"/>
                <w:sz w:val="22"/>
              </w:rPr>
              <w:t>)</w:t>
            </w:r>
            <w:r w:rsidRPr="00F2454E">
              <w:rPr>
                <w:rFonts w:cs="Arial"/>
                <w:sz w:val="22"/>
              </w:rPr>
              <w:t xml:space="preserve"> and QEQM.</w:t>
            </w:r>
          </w:p>
          <w:p w:rsidR="001F58E6" w:rsidRPr="00F2454E" w:rsidRDefault="001F58E6" w:rsidP="001F58E6">
            <w:pPr>
              <w:rPr>
                <w:rFonts w:cs="Arial"/>
                <w:sz w:val="22"/>
              </w:rPr>
            </w:pPr>
            <w:r w:rsidRPr="00F2454E">
              <w:rPr>
                <w:rFonts w:cs="Arial"/>
                <w:b/>
                <w:sz w:val="22"/>
              </w:rPr>
              <w:t>Length of Stay and Flow</w:t>
            </w:r>
            <w:r w:rsidRPr="00F2454E">
              <w:rPr>
                <w:rFonts w:cs="Arial"/>
                <w:b/>
                <w:sz w:val="22"/>
              </w:rPr>
              <w:br/>
            </w:r>
            <w:r w:rsidRPr="00F2454E">
              <w:rPr>
                <w:rFonts w:cs="Arial"/>
                <w:sz w:val="22"/>
              </w:rPr>
              <w:t>Length</w:t>
            </w:r>
            <w:r>
              <w:rPr>
                <w:rFonts w:cs="Arial"/>
                <w:sz w:val="22"/>
              </w:rPr>
              <w:t xml:space="preserve"> </w:t>
            </w:r>
            <w:r w:rsidRPr="00F2454E">
              <w:rPr>
                <w:rFonts w:cs="Arial"/>
                <w:sz w:val="22"/>
              </w:rPr>
              <w:t>of</w:t>
            </w:r>
            <w:r>
              <w:rPr>
                <w:rFonts w:cs="Arial"/>
                <w:sz w:val="22"/>
              </w:rPr>
              <w:t xml:space="preserve"> </w:t>
            </w:r>
            <w:r w:rsidRPr="00F2454E">
              <w:rPr>
                <w:rFonts w:cs="Arial"/>
                <w:sz w:val="22"/>
              </w:rPr>
              <w:t>stay improvements were minimal, and</w:t>
            </w:r>
            <w:r>
              <w:rPr>
                <w:rFonts w:cs="Arial"/>
                <w:sz w:val="22"/>
              </w:rPr>
              <w:t xml:space="preserve"> No Criteria to Reside</w:t>
            </w:r>
            <w:r w:rsidRPr="00F2454E">
              <w:rPr>
                <w:rFonts w:cs="Arial"/>
                <w:sz w:val="22"/>
              </w:rPr>
              <w:t xml:space="preserve"> </w:t>
            </w:r>
            <w:r>
              <w:rPr>
                <w:rFonts w:cs="Arial"/>
                <w:sz w:val="22"/>
              </w:rPr>
              <w:t>(</w:t>
            </w:r>
            <w:r w:rsidRPr="00F2454E">
              <w:rPr>
                <w:rFonts w:cs="Arial"/>
                <w:sz w:val="22"/>
              </w:rPr>
              <w:t>NCTR</w:t>
            </w:r>
            <w:r>
              <w:rPr>
                <w:rFonts w:cs="Arial"/>
                <w:sz w:val="22"/>
              </w:rPr>
              <w:t>)</w:t>
            </w:r>
            <w:r w:rsidRPr="00F2454E">
              <w:rPr>
                <w:rFonts w:cs="Arial"/>
                <w:sz w:val="22"/>
              </w:rPr>
              <w:t xml:space="preserve"> numbers remained close to baseline. External system issues continued to delay progress, including loss of community bed capacity and brokerage delays. </w:t>
            </w:r>
            <w:r>
              <w:rPr>
                <w:rFonts w:cs="Arial"/>
                <w:sz w:val="22"/>
              </w:rPr>
              <w:t>Kent &amp; Canterbury Hospital (</w:t>
            </w:r>
            <w:r w:rsidRPr="00F2454E">
              <w:rPr>
                <w:rFonts w:cs="Arial"/>
                <w:sz w:val="22"/>
              </w:rPr>
              <w:t>K</w:t>
            </w:r>
            <w:r>
              <w:rPr>
                <w:rFonts w:cs="Arial"/>
                <w:sz w:val="22"/>
              </w:rPr>
              <w:t>&amp;</w:t>
            </w:r>
            <w:r w:rsidRPr="00F2454E">
              <w:rPr>
                <w:rFonts w:cs="Arial"/>
                <w:sz w:val="22"/>
              </w:rPr>
              <w:t>C</w:t>
            </w:r>
            <w:r>
              <w:rPr>
                <w:rFonts w:cs="Arial"/>
                <w:sz w:val="22"/>
              </w:rPr>
              <w:t>)</w:t>
            </w:r>
            <w:r w:rsidRPr="00F2454E">
              <w:rPr>
                <w:rFonts w:cs="Arial"/>
                <w:sz w:val="22"/>
              </w:rPr>
              <w:t xml:space="preserve"> length of stay remained significantly higher than other sites.</w:t>
            </w:r>
          </w:p>
          <w:p w:rsidR="001F58E6" w:rsidRPr="00F2454E" w:rsidRDefault="001F58E6" w:rsidP="001F58E6">
            <w:pPr>
              <w:rPr>
                <w:rFonts w:cs="Arial"/>
                <w:sz w:val="22"/>
              </w:rPr>
            </w:pPr>
            <w:r w:rsidRPr="00F2454E">
              <w:rPr>
                <w:rFonts w:cs="Arial"/>
                <w:b/>
                <w:sz w:val="22"/>
              </w:rPr>
              <w:t>Theatre Utilisation</w:t>
            </w:r>
            <w:r w:rsidRPr="00F2454E">
              <w:rPr>
                <w:rFonts w:cs="Arial"/>
                <w:b/>
                <w:sz w:val="22"/>
              </w:rPr>
              <w:br/>
            </w:r>
            <w:r w:rsidRPr="00F2454E">
              <w:rPr>
                <w:rFonts w:cs="Arial"/>
                <w:sz w:val="22"/>
              </w:rPr>
              <w:t>The theatre improvement programme showed early signs of progress, but overall utilisation remains below target.</w:t>
            </w:r>
          </w:p>
        </w:tc>
      </w:tr>
      <w:tr w:rsidR="001F58E6" w:rsidRPr="00F2454E" w:rsidTr="001F58E6">
        <w:trPr>
          <w:trHeight w:val="1267"/>
        </w:trPr>
        <w:tc>
          <w:tcPr>
            <w:tcW w:w="2405" w:type="dxa"/>
            <w:vAlign w:val="top"/>
          </w:tcPr>
          <w:p w:rsidR="001F58E6" w:rsidRPr="00F2454E" w:rsidRDefault="001F58E6" w:rsidP="001F58E6">
            <w:pPr>
              <w:rPr>
                <w:rFonts w:cs="Arial"/>
                <w:b/>
                <w:sz w:val="22"/>
              </w:rPr>
            </w:pPr>
            <w:r w:rsidRPr="00F2454E">
              <w:rPr>
                <w:rFonts w:eastAsia="Calibri" w:cs="Arial"/>
                <w:b/>
                <w:bCs/>
                <w:kern w:val="2"/>
                <w:sz w:val="22"/>
                <w:lang w:eastAsia="en-US"/>
              </w:rPr>
              <w:t>Month 8 Finance Report</w:t>
            </w:r>
          </w:p>
        </w:tc>
        <w:tc>
          <w:tcPr>
            <w:tcW w:w="7644" w:type="dxa"/>
          </w:tcPr>
          <w:p w:rsidR="001F58E6" w:rsidRPr="00F2454E" w:rsidRDefault="001F58E6" w:rsidP="001F58E6">
            <w:pPr>
              <w:rPr>
                <w:rFonts w:cs="Arial"/>
                <w:sz w:val="22"/>
                <w:lang w:eastAsia="ar-SA"/>
              </w:rPr>
            </w:pPr>
            <w:r w:rsidRPr="00F2454E">
              <w:rPr>
                <w:rFonts w:cs="Arial"/>
                <w:sz w:val="22"/>
                <w:lang w:eastAsia="ar-SA"/>
              </w:rPr>
              <w:t xml:space="preserve">The Committee received the Month 8 Finance Report and </w:t>
            </w:r>
            <w:r w:rsidRPr="00F2454E">
              <w:rPr>
                <w:rFonts w:cs="Arial"/>
                <w:b/>
                <w:sz w:val="22"/>
                <w:lang w:eastAsia="ar-SA"/>
              </w:rPr>
              <w:t>NOTED</w:t>
            </w:r>
            <w:r w:rsidRPr="00F2454E">
              <w:rPr>
                <w:rFonts w:cs="Arial"/>
                <w:sz w:val="22"/>
                <w:lang w:eastAsia="ar-SA"/>
              </w:rPr>
              <w:t xml:space="preserve"> its content. </w:t>
            </w:r>
          </w:p>
          <w:p w:rsidR="001F58E6" w:rsidRDefault="001F58E6" w:rsidP="001F58E6">
            <w:pPr>
              <w:rPr>
                <w:rFonts w:cs="Arial"/>
                <w:sz w:val="22"/>
              </w:rPr>
            </w:pPr>
            <w:r w:rsidRPr="00F2454E">
              <w:rPr>
                <w:rFonts w:cs="Arial"/>
                <w:sz w:val="22"/>
              </w:rPr>
              <w:t xml:space="preserve">The Month 8 financial position shows a £12.4m adverse variance including </w:t>
            </w:r>
            <w:r>
              <w:rPr>
                <w:rFonts w:cs="Arial"/>
                <w:sz w:val="22"/>
              </w:rPr>
              <w:t>Deficit Support Funding (</w:t>
            </w:r>
            <w:r w:rsidRPr="00F2454E">
              <w:rPr>
                <w:rFonts w:cs="Arial"/>
                <w:sz w:val="22"/>
              </w:rPr>
              <w:t>DSF</w:t>
            </w:r>
            <w:r>
              <w:rPr>
                <w:rFonts w:cs="Arial"/>
                <w:sz w:val="22"/>
              </w:rPr>
              <w:t>)</w:t>
            </w:r>
            <w:r w:rsidRPr="00F2454E">
              <w:rPr>
                <w:rFonts w:cs="Arial"/>
                <w:sz w:val="22"/>
              </w:rPr>
              <w:t>.</w:t>
            </w:r>
            <w:r>
              <w:rPr>
                <w:rFonts w:cs="Arial"/>
                <w:sz w:val="22"/>
              </w:rPr>
              <w:t xml:space="preserve"> Cost Improvement Programme (</w:t>
            </w:r>
            <w:r w:rsidRPr="00F2454E">
              <w:rPr>
                <w:rFonts w:cs="Arial"/>
                <w:sz w:val="22"/>
              </w:rPr>
              <w:t>CIP</w:t>
            </w:r>
            <w:r>
              <w:rPr>
                <w:rFonts w:cs="Arial"/>
                <w:sz w:val="22"/>
              </w:rPr>
              <w:t>)</w:t>
            </w:r>
            <w:r w:rsidRPr="00F2454E">
              <w:rPr>
                <w:rFonts w:cs="Arial"/>
                <w:sz w:val="22"/>
              </w:rPr>
              <w:t xml:space="preserve"> under delivery and loss of income continue to impact the position. A £2–2.5m gap remains to reach the year</w:t>
            </w:r>
            <w:r w:rsidRPr="00F2454E">
              <w:rPr>
                <w:rFonts w:ascii="Cambria Math" w:hAnsi="Cambria Math" w:cs="Cambria Math"/>
                <w:sz w:val="22"/>
              </w:rPr>
              <w:t>‑</w:t>
            </w:r>
            <w:r w:rsidRPr="00F2454E">
              <w:rPr>
                <w:rFonts w:cs="Arial"/>
                <w:sz w:val="22"/>
              </w:rPr>
              <w:t>end £20m deficit target.</w:t>
            </w:r>
          </w:p>
          <w:p w:rsidR="001F58E6" w:rsidRPr="00F2454E" w:rsidRDefault="001F58E6" w:rsidP="001F58E6">
            <w:pPr>
              <w:rPr>
                <w:rFonts w:cs="Arial"/>
                <w:sz w:val="22"/>
              </w:rPr>
            </w:pPr>
            <w:r>
              <w:rPr>
                <w:rFonts w:cs="Arial"/>
                <w:sz w:val="22"/>
              </w:rPr>
              <w:lastRenderedPageBreak/>
              <w:t xml:space="preserve">The Committee recognised the challenges and welcomed the commitment to keep the Board updated and sighted on plans.  </w:t>
            </w:r>
          </w:p>
        </w:tc>
      </w:tr>
      <w:tr w:rsidR="001F58E6" w:rsidRPr="00F2454E" w:rsidTr="001F58E6">
        <w:trPr>
          <w:trHeight w:val="710"/>
        </w:trPr>
        <w:tc>
          <w:tcPr>
            <w:tcW w:w="2405" w:type="dxa"/>
            <w:vAlign w:val="top"/>
          </w:tcPr>
          <w:p w:rsidR="001F58E6" w:rsidRPr="00F2454E" w:rsidRDefault="001F58E6" w:rsidP="001F58E6">
            <w:pPr>
              <w:rPr>
                <w:rFonts w:cs="Arial"/>
                <w:b/>
                <w:sz w:val="22"/>
              </w:rPr>
            </w:pPr>
            <w:r w:rsidRPr="00F2454E">
              <w:rPr>
                <w:rFonts w:eastAsia="Calibri" w:cs="Arial"/>
                <w:b/>
                <w:bCs/>
                <w:kern w:val="2"/>
                <w:sz w:val="22"/>
                <w:lang w:eastAsia="en-US"/>
              </w:rPr>
              <w:lastRenderedPageBreak/>
              <w:t xml:space="preserve">Capital Update </w:t>
            </w:r>
          </w:p>
        </w:tc>
        <w:tc>
          <w:tcPr>
            <w:tcW w:w="7644" w:type="dxa"/>
          </w:tcPr>
          <w:p w:rsidR="001F58E6" w:rsidRDefault="001F58E6" w:rsidP="001F58E6">
            <w:pPr>
              <w:rPr>
                <w:rFonts w:cs="Arial"/>
                <w:sz w:val="22"/>
              </w:rPr>
            </w:pPr>
            <w:r w:rsidRPr="00F2454E">
              <w:rPr>
                <w:sz w:val="22"/>
              </w:rPr>
              <w:t xml:space="preserve">The Committee received and </w:t>
            </w:r>
            <w:r w:rsidRPr="00F2454E">
              <w:rPr>
                <w:b/>
                <w:sz w:val="22"/>
              </w:rPr>
              <w:t>NOTED</w:t>
            </w:r>
            <w:r w:rsidRPr="00F2454E">
              <w:rPr>
                <w:rFonts w:cs="Arial"/>
                <w:sz w:val="22"/>
              </w:rPr>
              <w:t xml:space="preserve"> </w:t>
            </w:r>
            <w:r>
              <w:rPr>
                <w:rFonts w:cs="Arial"/>
                <w:sz w:val="22"/>
              </w:rPr>
              <w:t>the capital update.</w:t>
            </w:r>
          </w:p>
          <w:p w:rsidR="001F58E6" w:rsidRPr="00F2454E" w:rsidRDefault="001F58E6" w:rsidP="001F58E6">
            <w:pPr>
              <w:rPr>
                <w:rFonts w:cs="Arial"/>
                <w:sz w:val="22"/>
              </w:rPr>
            </w:pPr>
            <w:r w:rsidRPr="00F2454E">
              <w:rPr>
                <w:rFonts w:cs="Arial"/>
                <w:sz w:val="22"/>
              </w:rPr>
              <w:t>The Trust has a year</w:t>
            </w:r>
            <w:r w:rsidRPr="00F2454E">
              <w:rPr>
                <w:rFonts w:ascii="Cambria Math" w:hAnsi="Cambria Math" w:cs="Cambria Math"/>
                <w:sz w:val="22"/>
              </w:rPr>
              <w:t>‑</w:t>
            </w:r>
            <w:r w:rsidRPr="00F2454E">
              <w:rPr>
                <w:rFonts w:cs="Arial"/>
                <w:sz w:val="22"/>
              </w:rPr>
              <w:t>to</w:t>
            </w:r>
            <w:r w:rsidRPr="00F2454E">
              <w:rPr>
                <w:rFonts w:ascii="Cambria Math" w:hAnsi="Cambria Math" w:cs="Cambria Math"/>
                <w:sz w:val="22"/>
              </w:rPr>
              <w:t>‑</w:t>
            </w:r>
            <w:r w:rsidRPr="00F2454E">
              <w:rPr>
                <w:rFonts w:cs="Arial"/>
                <w:sz w:val="22"/>
              </w:rPr>
              <w:t>date capital underspend of £15.1m, driven largely by slippage in several major schemes. The Committee recogni</w:t>
            </w:r>
            <w:r>
              <w:rPr>
                <w:rFonts w:cs="Arial"/>
                <w:sz w:val="22"/>
              </w:rPr>
              <w:t>s</w:t>
            </w:r>
            <w:r w:rsidRPr="00F2454E">
              <w:rPr>
                <w:rFonts w:cs="Arial"/>
                <w:sz w:val="22"/>
              </w:rPr>
              <w:t>ed the potential reputational risk with NHS England</w:t>
            </w:r>
            <w:r>
              <w:rPr>
                <w:rFonts w:cs="Arial"/>
                <w:sz w:val="22"/>
              </w:rPr>
              <w:t xml:space="preserve"> (NHSE) and sought further assurance as to lessons learned and implications.  The Committee requested a further update from the Executive Director in responsible at the next meeting</w:t>
            </w:r>
            <w:r w:rsidRPr="00F2454E">
              <w:rPr>
                <w:rFonts w:cs="Arial"/>
                <w:sz w:val="22"/>
              </w:rPr>
              <w:t>.</w:t>
            </w:r>
          </w:p>
        </w:tc>
      </w:tr>
      <w:tr w:rsidR="001F58E6" w:rsidRPr="00F2454E" w:rsidTr="001F58E6">
        <w:trPr>
          <w:trHeight w:val="710"/>
        </w:trPr>
        <w:tc>
          <w:tcPr>
            <w:tcW w:w="2405" w:type="dxa"/>
            <w:vAlign w:val="top"/>
          </w:tcPr>
          <w:p w:rsidR="001F58E6" w:rsidRPr="00F2454E" w:rsidRDefault="001F58E6" w:rsidP="001F58E6">
            <w:pPr>
              <w:rPr>
                <w:rFonts w:eastAsia="Calibri" w:cs="Arial"/>
                <w:b/>
                <w:bCs/>
                <w:kern w:val="2"/>
                <w:sz w:val="22"/>
                <w:lang w:eastAsia="en-US"/>
              </w:rPr>
            </w:pPr>
            <w:r w:rsidRPr="00F2454E">
              <w:rPr>
                <w:rFonts w:eastAsia="Calibri" w:cs="Arial"/>
                <w:b/>
                <w:bCs/>
                <w:kern w:val="2"/>
                <w:sz w:val="22"/>
                <w:lang w:eastAsia="en-US"/>
              </w:rPr>
              <w:t xml:space="preserve">Cost Improvement Programme (CIP) Oversight and Assurance </w:t>
            </w:r>
          </w:p>
          <w:p w:rsidR="001F58E6" w:rsidRPr="00F2454E" w:rsidRDefault="001F58E6" w:rsidP="001F58E6">
            <w:pPr>
              <w:rPr>
                <w:rFonts w:eastAsia="Calibri" w:cs="Arial"/>
                <w:b/>
                <w:bCs/>
                <w:kern w:val="2"/>
                <w:sz w:val="22"/>
                <w:lang w:eastAsia="en-US"/>
              </w:rPr>
            </w:pPr>
          </w:p>
          <w:p w:rsidR="001F58E6" w:rsidRPr="00F2454E" w:rsidRDefault="001F58E6" w:rsidP="001F58E6">
            <w:pPr>
              <w:rPr>
                <w:rFonts w:eastAsia="Calibri" w:cs="Arial"/>
                <w:b/>
                <w:bCs/>
                <w:kern w:val="2"/>
                <w:sz w:val="22"/>
                <w:lang w:eastAsia="en-US"/>
              </w:rPr>
            </w:pPr>
            <w:r w:rsidRPr="00F2454E">
              <w:rPr>
                <w:rFonts w:eastAsia="Calibri" w:cs="Arial"/>
                <w:b/>
                <w:bCs/>
                <w:kern w:val="2"/>
                <w:sz w:val="22"/>
                <w:lang w:eastAsia="en-US"/>
              </w:rPr>
              <w:t>Workforce Plan – update on progress against targets</w:t>
            </w:r>
          </w:p>
          <w:p w:rsidR="001F58E6" w:rsidRPr="00F2454E" w:rsidRDefault="001F58E6" w:rsidP="001F58E6">
            <w:pPr>
              <w:rPr>
                <w:rFonts w:eastAsia="Calibri" w:cs="Arial"/>
                <w:b/>
                <w:bCs/>
                <w:kern w:val="2"/>
                <w:sz w:val="22"/>
                <w:lang w:eastAsia="en-US"/>
              </w:rPr>
            </w:pPr>
          </w:p>
          <w:p w:rsidR="001F58E6" w:rsidRPr="00F2454E" w:rsidRDefault="001F58E6" w:rsidP="001F58E6">
            <w:pPr>
              <w:rPr>
                <w:rFonts w:eastAsia="Calibri" w:cs="Arial"/>
                <w:b/>
                <w:bCs/>
                <w:kern w:val="2"/>
                <w:sz w:val="22"/>
                <w:lang w:eastAsia="en-US"/>
              </w:rPr>
            </w:pPr>
          </w:p>
        </w:tc>
        <w:tc>
          <w:tcPr>
            <w:tcW w:w="7644" w:type="dxa"/>
          </w:tcPr>
          <w:p w:rsidR="001F58E6" w:rsidRPr="001F58E6" w:rsidRDefault="001F58E6" w:rsidP="001F58E6">
            <w:pPr>
              <w:rPr>
                <w:sz w:val="22"/>
                <w:lang w:eastAsia="ar-SA"/>
              </w:rPr>
            </w:pPr>
            <w:r w:rsidRPr="00F2454E">
              <w:rPr>
                <w:sz w:val="22"/>
                <w:lang w:eastAsia="ar-SA"/>
              </w:rPr>
              <w:t xml:space="preserve">The Committee received and </w:t>
            </w:r>
            <w:r w:rsidRPr="00F2454E">
              <w:rPr>
                <w:b/>
                <w:sz w:val="22"/>
                <w:lang w:eastAsia="ar-SA"/>
              </w:rPr>
              <w:t xml:space="preserve">NOTED </w:t>
            </w:r>
            <w:r w:rsidRPr="00F2454E">
              <w:rPr>
                <w:sz w:val="22"/>
                <w:lang w:eastAsia="ar-SA"/>
              </w:rPr>
              <w:t>the CIP progress report.</w:t>
            </w:r>
          </w:p>
          <w:p w:rsidR="001F58E6" w:rsidRPr="00F2454E" w:rsidRDefault="001F58E6" w:rsidP="001F58E6">
            <w:pPr>
              <w:rPr>
                <w:rFonts w:cs="Arial"/>
                <w:sz w:val="22"/>
              </w:rPr>
            </w:pPr>
            <w:r w:rsidRPr="00F2454E">
              <w:rPr>
                <w:rFonts w:cs="Arial"/>
                <w:b/>
                <w:sz w:val="22"/>
              </w:rPr>
              <w:t>CIP 2025/26</w:t>
            </w:r>
            <w:r w:rsidRPr="00F2454E">
              <w:rPr>
                <w:rFonts w:cs="Arial"/>
                <w:b/>
                <w:sz w:val="22"/>
              </w:rPr>
              <w:br/>
            </w:r>
            <w:r w:rsidRPr="00F2454E">
              <w:rPr>
                <w:rFonts w:cs="Arial"/>
                <w:sz w:val="22"/>
              </w:rPr>
              <w:t xml:space="preserve">Delivery remains behind plan, with </w:t>
            </w:r>
            <w:proofErr w:type="spellStart"/>
            <w:r w:rsidRPr="00F2454E">
              <w:rPr>
                <w:rFonts w:cs="Arial"/>
                <w:sz w:val="22"/>
              </w:rPr>
              <w:t>recurrency</w:t>
            </w:r>
            <w:proofErr w:type="spellEnd"/>
            <w:r w:rsidRPr="00F2454E">
              <w:rPr>
                <w:rFonts w:cs="Arial"/>
                <w:sz w:val="22"/>
              </w:rPr>
              <w:t xml:space="preserve"> at only 44%.</w:t>
            </w:r>
          </w:p>
          <w:p w:rsidR="001F58E6" w:rsidRPr="00F2454E" w:rsidRDefault="001F58E6" w:rsidP="001F58E6">
            <w:pPr>
              <w:rPr>
                <w:rFonts w:cs="Arial"/>
                <w:sz w:val="22"/>
              </w:rPr>
            </w:pPr>
            <w:r w:rsidRPr="00F2454E">
              <w:rPr>
                <w:rFonts w:cs="Arial"/>
                <w:b/>
                <w:sz w:val="22"/>
              </w:rPr>
              <w:t>Workforce</w:t>
            </w:r>
          </w:p>
          <w:p w:rsidR="001F58E6" w:rsidRPr="00F2454E" w:rsidRDefault="001F58E6" w:rsidP="001F58E6">
            <w:pPr>
              <w:rPr>
                <w:rFonts w:cs="Arial"/>
                <w:sz w:val="22"/>
              </w:rPr>
            </w:pPr>
            <w:r w:rsidRPr="00F2454E">
              <w:rPr>
                <w:rFonts w:cs="Arial"/>
                <w:sz w:val="22"/>
              </w:rPr>
              <w:t>Workforce reductions from service transfers and restructuring were noted. Agency spend has reduced, but overall workforce transformation will be required to meet future savings targets.</w:t>
            </w:r>
          </w:p>
          <w:p w:rsidR="001F58E6" w:rsidRPr="00F2454E" w:rsidRDefault="001F58E6" w:rsidP="001F58E6">
            <w:pPr>
              <w:rPr>
                <w:rFonts w:cs="Arial"/>
                <w:b/>
                <w:sz w:val="22"/>
              </w:rPr>
            </w:pPr>
            <w:r w:rsidRPr="00F2454E">
              <w:rPr>
                <w:rFonts w:cs="Arial"/>
                <w:b/>
                <w:sz w:val="22"/>
              </w:rPr>
              <w:t xml:space="preserve">2gether </w:t>
            </w:r>
            <w:r>
              <w:rPr>
                <w:rFonts w:cs="Arial"/>
                <w:b/>
                <w:sz w:val="22"/>
              </w:rPr>
              <w:t xml:space="preserve">Support Solutions (2gether) </w:t>
            </w:r>
            <w:r w:rsidRPr="00F2454E">
              <w:rPr>
                <w:rFonts w:cs="Arial"/>
                <w:b/>
                <w:sz w:val="22"/>
              </w:rPr>
              <w:t xml:space="preserve">Update </w:t>
            </w:r>
          </w:p>
          <w:p w:rsidR="001F58E6" w:rsidRPr="001F58E6" w:rsidRDefault="001F58E6" w:rsidP="001F58E6">
            <w:pPr>
              <w:pStyle w:val="NoSpacing"/>
              <w:rPr>
                <w:rFonts w:cs="Arial"/>
                <w:sz w:val="22"/>
              </w:rPr>
            </w:pPr>
            <w:r w:rsidRPr="001F58E6">
              <w:rPr>
                <w:rFonts w:cs="Arial"/>
                <w:sz w:val="22"/>
              </w:rPr>
              <w:t>The Committee reviewed the current 2gether CIP position, noting that three schemes have been enacted through CCNs, seven are progressing to reduce ad</w:t>
            </w:r>
            <w:r w:rsidRPr="001F58E6">
              <w:rPr>
                <w:rFonts w:cs="Arial"/>
                <w:sz w:val="22"/>
              </w:rPr>
              <w:noBreakHyphen/>
              <w:t>hoc run</w:t>
            </w:r>
            <w:r w:rsidRPr="001F58E6">
              <w:rPr>
                <w:rFonts w:cs="Arial"/>
                <w:sz w:val="22"/>
              </w:rPr>
              <w:noBreakHyphen/>
              <w:t>rate spend, and eight remain under discussion or in Quality Impact Assessment (QIA), with in</w:t>
            </w:r>
            <w:r w:rsidRPr="001F58E6">
              <w:rPr>
                <w:rFonts w:cs="Arial"/>
                <w:sz w:val="22"/>
              </w:rPr>
              <w:noBreakHyphen/>
              <w:t>year delivery currently forecast at around £0.5m against the original £5m target. Delays have arisen from the time needed to develop schemes, QIA processes, slower decision timelines, and operational pressures, though Programme Management Office (PMO) support and a twice</w:t>
            </w:r>
            <w:r w:rsidRPr="001F58E6">
              <w:rPr>
                <w:rFonts w:cs="Arial"/>
                <w:sz w:val="22"/>
              </w:rPr>
              <w:noBreakHyphen/>
              <w:t xml:space="preserve">weekly Financial Improvement Programme Board (FIPB) have now been introduced to accelerate approvals. </w:t>
            </w:r>
          </w:p>
          <w:p w:rsidR="001F58E6" w:rsidRPr="001F58E6" w:rsidRDefault="001F58E6" w:rsidP="001F58E6">
            <w:pPr>
              <w:pStyle w:val="NoSpacing"/>
              <w:rPr>
                <w:rFonts w:cs="Arial"/>
                <w:sz w:val="22"/>
              </w:rPr>
            </w:pPr>
          </w:p>
          <w:p w:rsidR="001F58E6" w:rsidRPr="001F58E6" w:rsidRDefault="001F58E6" w:rsidP="001F58E6">
            <w:pPr>
              <w:pStyle w:val="NoSpacing"/>
              <w:rPr>
                <w:rFonts w:cs="Arial"/>
                <w:sz w:val="22"/>
              </w:rPr>
            </w:pPr>
            <w:r w:rsidRPr="001F58E6">
              <w:rPr>
                <w:rFonts w:cs="Arial"/>
                <w:sz w:val="22"/>
              </w:rPr>
              <w:t>Looking ahead, the Committee highlighted a pipeline of £3m recurring CIP and a further £3.4m of deferred schemes for next year, noting the need for stronger collaboration, clearer Executive accountability, and improved processes. Members agreed to produce a lessons</w:t>
            </w:r>
            <w:r w:rsidRPr="001F58E6">
              <w:rPr>
                <w:rFonts w:cs="Arial"/>
                <w:sz w:val="22"/>
              </w:rPr>
              <w:noBreakHyphen/>
              <w:t>learned paper and are considering an external peer review to support improved delivery. The Committee also reviewed the draft strategic Key Performance Indicators (KPIs), requesting additional metrics, targets, and benchmarking, and reinforced the importance of exploring income generation and investment opportunities, which will be considered in detail at the March meeting.</w:t>
            </w:r>
          </w:p>
          <w:p w:rsidR="001F58E6" w:rsidRPr="00F2454E" w:rsidRDefault="001F58E6" w:rsidP="001F58E6">
            <w:pPr>
              <w:pStyle w:val="NoSpacing"/>
              <w:rPr>
                <w:rFonts w:cs="Arial"/>
                <w:lang w:eastAsia="ar-SA"/>
              </w:rPr>
            </w:pPr>
          </w:p>
        </w:tc>
      </w:tr>
      <w:tr w:rsidR="001F58E6" w:rsidRPr="00F2454E" w:rsidTr="001F58E6">
        <w:trPr>
          <w:trHeight w:val="710"/>
        </w:trPr>
        <w:tc>
          <w:tcPr>
            <w:tcW w:w="2405" w:type="dxa"/>
            <w:vAlign w:val="top"/>
          </w:tcPr>
          <w:p w:rsidR="001F58E6" w:rsidRPr="00F2454E" w:rsidRDefault="001F58E6" w:rsidP="001F58E6">
            <w:pPr>
              <w:rPr>
                <w:rFonts w:eastAsia="Calibri" w:cs="Arial"/>
                <w:b/>
                <w:bCs/>
                <w:kern w:val="2"/>
                <w:sz w:val="22"/>
                <w:lang w:eastAsia="en-US"/>
              </w:rPr>
            </w:pPr>
            <w:r w:rsidRPr="00F2454E">
              <w:rPr>
                <w:rFonts w:eastAsia="Calibri" w:cs="Arial"/>
                <w:b/>
                <w:bCs/>
                <w:kern w:val="2"/>
                <w:sz w:val="22"/>
                <w:lang w:eastAsia="en-US"/>
              </w:rPr>
              <w:lastRenderedPageBreak/>
              <w:t xml:space="preserve">Financial Sustainability Plan (FSP) – update on delivery progress </w:t>
            </w:r>
          </w:p>
          <w:p w:rsidR="001F58E6" w:rsidRPr="00F2454E" w:rsidRDefault="001F58E6" w:rsidP="001F58E6">
            <w:pPr>
              <w:rPr>
                <w:rFonts w:eastAsia="Calibri" w:cs="Arial"/>
                <w:b/>
                <w:bCs/>
                <w:kern w:val="2"/>
                <w:sz w:val="22"/>
                <w:lang w:eastAsia="en-US"/>
              </w:rPr>
            </w:pPr>
          </w:p>
        </w:tc>
        <w:tc>
          <w:tcPr>
            <w:tcW w:w="7644" w:type="dxa"/>
          </w:tcPr>
          <w:p w:rsidR="001F58E6" w:rsidRPr="001F58E6" w:rsidRDefault="001F58E6" w:rsidP="001F58E6">
            <w:pPr>
              <w:rPr>
                <w:sz w:val="22"/>
                <w:lang w:eastAsia="ar-SA"/>
              </w:rPr>
            </w:pPr>
            <w:r w:rsidRPr="00F2454E">
              <w:rPr>
                <w:sz w:val="22"/>
                <w:lang w:eastAsia="ar-SA"/>
              </w:rPr>
              <w:t xml:space="preserve">The Committee received the </w:t>
            </w:r>
            <w:r>
              <w:rPr>
                <w:sz w:val="22"/>
                <w:lang w:eastAsia="ar-SA"/>
              </w:rPr>
              <w:t xml:space="preserve">ongoing update </w:t>
            </w:r>
            <w:r w:rsidRPr="00F2454E">
              <w:rPr>
                <w:sz w:val="22"/>
                <w:lang w:eastAsia="ar-SA"/>
              </w:rPr>
              <w:t xml:space="preserve">on the FSP delivery progress. </w:t>
            </w:r>
          </w:p>
          <w:p w:rsidR="001F58E6" w:rsidRPr="00F2454E" w:rsidRDefault="001F58E6" w:rsidP="001F58E6">
            <w:pPr>
              <w:rPr>
                <w:rFonts w:cs="Arial"/>
                <w:sz w:val="22"/>
              </w:rPr>
            </w:pPr>
            <w:r w:rsidRPr="00F2454E">
              <w:rPr>
                <w:rFonts w:cs="Arial"/>
                <w:sz w:val="22"/>
              </w:rPr>
              <w:t>The interim FSP submission reported a gross deficit of £108m. The Trust is expected to deliver £89m in savings for 2026/27, but only £23.8m in schemes have been identified to date.</w:t>
            </w:r>
          </w:p>
        </w:tc>
      </w:tr>
      <w:tr w:rsidR="001F58E6" w:rsidRPr="00F2454E" w:rsidTr="001F58E6">
        <w:trPr>
          <w:trHeight w:val="710"/>
        </w:trPr>
        <w:tc>
          <w:tcPr>
            <w:tcW w:w="2405" w:type="dxa"/>
            <w:vAlign w:val="top"/>
          </w:tcPr>
          <w:p w:rsidR="001F58E6" w:rsidRPr="00F2454E" w:rsidRDefault="001F58E6" w:rsidP="001F58E6">
            <w:pPr>
              <w:tabs>
                <w:tab w:val="left" w:pos="4305"/>
              </w:tabs>
              <w:spacing w:after="160" w:line="259" w:lineRule="auto"/>
              <w:contextualSpacing/>
              <w:rPr>
                <w:b/>
                <w:sz w:val="22"/>
              </w:rPr>
            </w:pPr>
            <w:r w:rsidRPr="00F2454E">
              <w:rPr>
                <w:b/>
                <w:sz w:val="22"/>
              </w:rPr>
              <w:t>Digital CIP and update on Strategy</w:t>
            </w:r>
          </w:p>
          <w:p w:rsidR="001F58E6" w:rsidRPr="00F2454E" w:rsidRDefault="001F58E6" w:rsidP="001F58E6">
            <w:pPr>
              <w:rPr>
                <w:rFonts w:eastAsia="Calibri" w:cs="Arial"/>
                <w:b/>
                <w:bCs/>
                <w:kern w:val="2"/>
                <w:sz w:val="22"/>
                <w:lang w:eastAsia="en-US"/>
              </w:rPr>
            </w:pPr>
          </w:p>
        </w:tc>
        <w:tc>
          <w:tcPr>
            <w:tcW w:w="7644" w:type="dxa"/>
          </w:tcPr>
          <w:p w:rsidR="001F58E6" w:rsidRDefault="001F58E6" w:rsidP="001F58E6">
            <w:pPr>
              <w:rPr>
                <w:rFonts w:cs="Arial"/>
                <w:sz w:val="22"/>
              </w:rPr>
            </w:pPr>
            <w:r w:rsidRPr="00F2454E">
              <w:rPr>
                <w:rFonts w:cs="Arial"/>
                <w:sz w:val="22"/>
              </w:rPr>
              <w:t>The Committee reviewed progress on digital priorities, including platform upgrades and transformation work focused on outpatient redesign and automation.</w:t>
            </w:r>
          </w:p>
          <w:p w:rsidR="001F58E6" w:rsidRPr="001F58E6" w:rsidRDefault="001F58E6" w:rsidP="001F58E6">
            <w:pPr>
              <w:rPr>
                <w:rFonts w:cs="Arial"/>
                <w:sz w:val="22"/>
              </w:rPr>
            </w:pPr>
            <w:r>
              <w:rPr>
                <w:rFonts w:cs="Arial"/>
                <w:sz w:val="22"/>
              </w:rPr>
              <w:t xml:space="preserve">The Committee received partial assurance on the ongoing work in this area.  </w:t>
            </w:r>
          </w:p>
        </w:tc>
      </w:tr>
      <w:tr w:rsidR="001F58E6" w:rsidRPr="00F2454E" w:rsidTr="001F58E6">
        <w:tc>
          <w:tcPr>
            <w:tcW w:w="2405" w:type="dxa"/>
            <w:vAlign w:val="top"/>
          </w:tcPr>
          <w:p w:rsidR="001F58E6" w:rsidRDefault="001F58E6" w:rsidP="001F58E6">
            <w:pPr>
              <w:rPr>
                <w:rFonts w:cs="Arial"/>
                <w:b/>
                <w:sz w:val="22"/>
              </w:rPr>
            </w:pPr>
            <w:r w:rsidRPr="00F2454E">
              <w:rPr>
                <w:rFonts w:cs="Arial"/>
                <w:b/>
                <w:sz w:val="22"/>
              </w:rPr>
              <w:t>Business cases: over £1.75m Requiring Investment £2.5m for Self-Funding.  Capital Business Cases Over £1m</w:t>
            </w:r>
          </w:p>
          <w:p w:rsidR="001F58E6" w:rsidRPr="00F2454E" w:rsidRDefault="001F58E6" w:rsidP="001F58E6">
            <w:pPr>
              <w:rPr>
                <w:rFonts w:cs="Arial"/>
                <w:b/>
                <w:sz w:val="22"/>
              </w:rPr>
            </w:pPr>
          </w:p>
        </w:tc>
        <w:tc>
          <w:tcPr>
            <w:tcW w:w="7644" w:type="dxa"/>
          </w:tcPr>
          <w:p w:rsidR="001F58E6" w:rsidRPr="00F2454E" w:rsidRDefault="001F58E6" w:rsidP="001F58E6">
            <w:pPr>
              <w:rPr>
                <w:rFonts w:cs="Arial"/>
                <w:sz w:val="22"/>
              </w:rPr>
            </w:pPr>
            <w:r w:rsidRPr="00F2454E">
              <w:rPr>
                <w:rFonts w:cs="Arial"/>
                <w:sz w:val="22"/>
              </w:rPr>
              <w:t xml:space="preserve">The Committee received and </w:t>
            </w:r>
            <w:r w:rsidRPr="00F2454E">
              <w:rPr>
                <w:rFonts w:cs="Arial"/>
                <w:b/>
                <w:sz w:val="22"/>
              </w:rPr>
              <w:t xml:space="preserve">NOTED </w:t>
            </w:r>
            <w:r w:rsidRPr="00F2454E">
              <w:rPr>
                <w:rFonts w:cs="Arial"/>
                <w:sz w:val="22"/>
              </w:rPr>
              <w:t xml:space="preserve">the Business Case Scrutiny Group Assurance Report. </w:t>
            </w:r>
          </w:p>
          <w:p w:rsidR="001F58E6" w:rsidRPr="00F2454E" w:rsidRDefault="001F58E6" w:rsidP="001F58E6">
            <w:pPr>
              <w:rPr>
                <w:rFonts w:cs="Arial"/>
                <w:sz w:val="22"/>
              </w:rPr>
            </w:pPr>
            <w:r w:rsidRPr="00F2454E">
              <w:rPr>
                <w:rFonts w:cs="Arial"/>
                <w:sz w:val="22"/>
              </w:rPr>
              <w:t xml:space="preserve">The Committee </w:t>
            </w:r>
            <w:r w:rsidRPr="00F2454E">
              <w:rPr>
                <w:rFonts w:cs="Arial"/>
                <w:b/>
                <w:sz w:val="22"/>
              </w:rPr>
              <w:t>APPROVED</w:t>
            </w:r>
            <w:r w:rsidRPr="00F2454E">
              <w:rPr>
                <w:rFonts w:cs="Arial"/>
                <w:sz w:val="22"/>
              </w:rPr>
              <w:t xml:space="preserve"> the</w:t>
            </w:r>
            <w:r>
              <w:rPr>
                <w:rFonts w:cs="Arial"/>
                <w:sz w:val="22"/>
              </w:rPr>
              <w:t xml:space="preserve"> Same Day Emergency Care</w:t>
            </w:r>
            <w:r w:rsidRPr="00F2454E">
              <w:rPr>
                <w:rFonts w:cs="Arial"/>
                <w:sz w:val="22"/>
              </w:rPr>
              <w:t xml:space="preserve"> </w:t>
            </w:r>
            <w:r>
              <w:rPr>
                <w:rFonts w:cs="Arial"/>
                <w:sz w:val="22"/>
              </w:rPr>
              <w:t>(</w:t>
            </w:r>
            <w:r w:rsidRPr="00F2454E">
              <w:rPr>
                <w:rFonts w:cs="Arial"/>
                <w:sz w:val="22"/>
              </w:rPr>
              <w:t>SDEC</w:t>
            </w:r>
            <w:r>
              <w:rPr>
                <w:rFonts w:cs="Arial"/>
                <w:sz w:val="22"/>
              </w:rPr>
              <w:t>)</w:t>
            </w:r>
            <w:r w:rsidRPr="00F2454E">
              <w:rPr>
                <w:rFonts w:cs="Arial"/>
                <w:sz w:val="22"/>
              </w:rPr>
              <w:t xml:space="preserve"> business cases for WHH and QEQM and endorsed the Healthex loan transfer for Board approval.</w:t>
            </w:r>
          </w:p>
        </w:tc>
      </w:tr>
      <w:tr w:rsidR="001F58E6" w:rsidRPr="00F2454E" w:rsidTr="001F58E6">
        <w:tc>
          <w:tcPr>
            <w:tcW w:w="2405" w:type="dxa"/>
            <w:vAlign w:val="top"/>
          </w:tcPr>
          <w:p w:rsidR="001F58E6" w:rsidRPr="00F2454E" w:rsidRDefault="001F58E6" w:rsidP="001F58E6">
            <w:pPr>
              <w:rPr>
                <w:rFonts w:cs="Arial"/>
                <w:b/>
                <w:sz w:val="22"/>
              </w:rPr>
            </w:pPr>
            <w:r w:rsidRPr="00F2454E">
              <w:rPr>
                <w:rFonts w:cs="Arial"/>
                <w:b/>
                <w:sz w:val="22"/>
              </w:rPr>
              <w:t xml:space="preserve">Capital Investment Group (CIG) Assurance Report </w:t>
            </w:r>
          </w:p>
        </w:tc>
        <w:tc>
          <w:tcPr>
            <w:tcW w:w="7644" w:type="dxa"/>
          </w:tcPr>
          <w:p w:rsidR="001F58E6" w:rsidRPr="001F58E6" w:rsidRDefault="001F58E6" w:rsidP="001F58E6">
            <w:pPr>
              <w:suppressAutoHyphens/>
              <w:rPr>
                <w:sz w:val="22"/>
              </w:rPr>
            </w:pPr>
            <w:r w:rsidRPr="00F2454E">
              <w:rPr>
                <w:sz w:val="22"/>
              </w:rPr>
              <w:t xml:space="preserve">The Committee received and </w:t>
            </w:r>
            <w:r w:rsidRPr="00F2454E">
              <w:rPr>
                <w:b/>
                <w:sz w:val="22"/>
              </w:rPr>
              <w:t>NOTED</w:t>
            </w:r>
            <w:r w:rsidRPr="00F2454E">
              <w:rPr>
                <w:sz w:val="22"/>
              </w:rPr>
              <w:t xml:space="preserve"> Capital Investment Group (CIG) Assurance Report. </w:t>
            </w:r>
          </w:p>
        </w:tc>
      </w:tr>
      <w:tr w:rsidR="001F58E6" w:rsidRPr="00F2454E" w:rsidTr="001F58E6">
        <w:tc>
          <w:tcPr>
            <w:tcW w:w="2405" w:type="dxa"/>
          </w:tcPr>
          <w:p w:rsidR="001F58E6" w:rsidRPr="001F58E6" w:rsidRDefault="001F58E6" w:rsidP="001F58E6">
            <w:pPr>
              <w:rPr>
                <w:b/>
              </w:rPr>
            </w:pPr>
            <w:r w:rsidRPr="001F58E6">
              <w:rPr>
                <w:b/>
              </w:rPr>
              <w:t>Feedback to Board of Directors</w:t>
            </w:r>
          </w:p>
        </w:tc>
        <w:tc>
          <w:tcPr>
            <w:tcW w:w="7644" w:type="dxa"/>
          </w:tcPr>
          <w:p w:rsidR="001F58E6" w:rsidRPr="00F2454E" w:rsidRDefault="001F58E6" w:rsidP="001F58E6">
            <w:pPr>
              <w:pStyle w:val="ListParagraph"/>
              <w:suppressAutoHyphens/>
              <w:ind w:left="0"/>
              <w:rPr>
                <w:sz w:val="22"/>
              </w:rPr>
            </w:pPr>
            <w:r w:rsidRPr="00F2454E">
              <w:rPr>
                <w:iCs/>
                <w:sz w:val="22"/>
              </w:rPr>
              <w:t xml:space="preserve">There was no specific feedback to the Trust Board from this meeting. </w:t>
            </w:r>
          </w:p>
        </w:tc>
      </w:tr>
      <w:tr w:rsidR="001F58E6" w:rsidRPr="00F2454E" w:rsidTr="001F58E6">
        <w:tc>
          <w:tcPr>
            <w:tcW w:w="2405" w:type="dxa"/>
            <w:vAlign w:val="top"/>
          </w:tcPr>
          <w:p w:rsidR="001F58E6" w:rsidRPr="00F2454E" w:rsidRDefault="001F58E6" w:rsidP="001F58E6">
            <w:pPr>
              <w:rPr>
                <w:rFonts w:cs="Arial"/>
                <w:b/>
                <w:sz w:val="22"/>
              </w:rPr>
            </w:pPr>
            <w:r w:rsidRPr="00F2454E">
              <w:rPr>
                <w:rFonts w:cs="Arial"/>
                <w:b/>
                <w:sz w:val="22"/>
              </w:rPr>
              <w:t xml:space="preserve">Referrals to Other Board Committees </w:t>
            </w:r>
          </w:p>
        </w:tc>
        <w:tc>
          <w:tcPr>
            <w:tcW w:w="7644" w:type="dxa"/>
          </w:tcPr>
          <w:p w:rsidR="001F58E6" w:rsidRPr="00F2454E" w:rsidRDefault="001F58E6" w:rsidP="001F58E6">
            <w:pPr>
              <w:rPr>
                <w:rFonts w:cs="Arial"/>
                <w:sz w:val="22"/>
              </w:rPr>
            </w:pPr>
            <w:r w:rsidRPr="00F2454E">
              <w:rPr>
                <w:rFonts w:cs="Arial"/>
                <w:sz w:val="22"/>
                <w:lang w:eastAsia="ar-SA"/>
              </w:rPr>
              <w:t>The Committee noted no referrals to</w:t>
            </w:r>
            <w:r>
              <w:rPr>
                <w:rFonts w:cs="Arial"/>
                <w:sz w:val="22"/>
                <w:lang w:eastAsia="ar-SA"/>
              </w:rPr>
              <w:t xml:space="preserve"> other</w:t>
            </w:r>
            <w:r w:rsidRPr="00F2454E">
              <w:rPr>
                <w:rFonts w:cs="Arial"/>
                <w:sz w:val="22"/>
                <w:lang w:eastAsia="ar-SA"/>
              </w:rPr>
              <w:t xml:space="preserve"> Board </w:t>
            </w:r>
            <w:r>
              <w:rPr>
                <w:rFonts w:cs="Arial"/>
                <w:sz w:val="22"/>
                <w:lang w:eastAsia="ar-SA"/>
              </w:rPr>
              <w:t>Committee</w:t>
            </w:r>
            <w:r w:rsidRPr="00F2454E">
              <w:rPr>
                <w:rFonts w:cs="Arial"/>
                <w:sz w:val="22"/>
                <w:lang w:eastAsia="ar-SA"/>
              </w:rPr>
              <w:t>s.</w:t>
            </w:r>
            <w:r w:rsidRPr="00F2454E">
              <w:rPr>
                <w:rFonts w:cs="Arial"/>
                <w:sz w:val="22"/>
              </w:rPr>
              <w:t xml:space="preserve"> </w:t>
            </w:r>
          </w:p>
        </w:tc>
      </w:tr>
    </w:tbl>
    <w:p w:rsidR="001F58E6" w:rsidRDefault="001F58E6" w:rsidP="001F58E6">
      <w:pPr>
        <w:rPr>
          <w:rFonts w:cs="Arial"/>
          <w:sz w:val="22"/>
        </w:rPr>
      </w:pPr>
    </w:p>
    <w:p w:rsidR="001F58E6" w:rsidRDefault="001F58E6" w:rsidP="001F58E6">
      <w:pPr>
        <w:pStyle w:val="Heading2"/>
        <w:shd w:val="clear" w:color="auto" w:fill="E8EDEE" w:themeFill="background2"/>
        <w:spacing w:after="0" w:line="216" w:lineRule="auto"/>
      </w:pPr>
      <w:bookmarkStart w:id="23" w:name="_Toc221093389"/>
      <w:r w:rsidRPr="00A91EBA">
        <w:lastRenderedPageBreak/>
        <w:t>Items referred to the BoD or another Committee for approval, decision or action:</w:t>
      </w:r>
      <w:bookmarkEnd w:id="23"/>
    </w:p>
    <w:p w:rsidR="001F58E6" w:rsidRPr="001F58E6" w:rsidRDefault="001F58E6" w:rsidP="001F58E6">
      <w:pPr>
        <w:pStyle w:val="NoSpacing"/>
      </w:pPr>
    </w:p>
    <w:tbl>
      <w:tblPr>
        <w:tblStyle w:val="TableGridLight"/>
        <w:tblW w:w="0" w:type="auto"/>
        <w:tblLook w:val="0620" w:firstRow="1" w:lastRow="0" w:firstColumn="0" w:lastColumn="0" w:noHBand="1" w:noVBand="1"/>
      </w:tblPr>
      <w:tblGrid>
        <w:gridCol w:w="3349"/>
        <w:gridCol w:w="3350"/>
        <w:gridCol w:w="3350"/>
      </w:tblGrid>
      <w:tr w:rsidR="001F58E6" w:rsidRPr="00A91EBA" w:rsidTr="001F58E6">
        <w:trPr>
          <w:cnfStyle w:val="100000000000" w:firstRow="1" w:lastRow="0" w:firstColumn="0" w:lastColumn="0" w:oddVBand="0" w:evenVBand="0" w:oddHBand="0" w:evenHBand="0" w:firstRowFirstColumn="0" w:firstRowLastColumn="0" w:lastRowFirstColumn="0" w:lastRowLastColumn="0"/>
        </w:trPr>
        <w:tc>
          <w:tcPr>
            <w:tcW w:w="3349" w:type="dxa"/>
          </w:tcPr>
          <w:p w:rsidR="001F58E6" w:rsidRPr="00A91EBA" w:rsidRDefault="001F58E6" w:rsidP="001F58E6">
            <w:pPr>
              <w:spacing w:line="216" w:lineRule="auto"/>
              <w:rPr>
                <w:b w:val="0"/>
                <w:sz w:val="22"/>
              </w:rPr>
            </w:pPr>
            <w:r w:rsidRPr="00A91EBA">
              <w:rPr>
                <w:sz w:val="22"/>
              </w:rPr>
              <w:t>Item</w:t>
            </w:r>
          </w:p>
        </w:tc>
        <w:tc>
          <w:tcPr>
            <w:tcW w:w="3350" w:type="dxa"/>
          </w:tcPr>
          <w:p w:rsidR="001F58E6" w:rsidRPr="00A91EBA" w:rsidRDefault="001F58E6" w:rsidP="001F58E6">
            <w:pPr>
              <w:spacing w:line="216" w:lineRule="auto"/>
              <w:rPr>
                <w:b w:val="0"/>
                <w:sz w:val="22"/>
              </w:rPr>
            </w:pPr>
            <w:r w:rsidRPr="00A91EBA">
              <w:rPr>
                <w:sz w:val="22"/>
              </w:rPr>
              <w:t>Purpose</w:t>
            </w:r>
          </w:p>
        </w:tc>
        <w:tc>
          <w:tcPr>
            <w:tcW w:w="3350" w:type="dxa"/>
          </w:tcPr>
          <w:p w:rsidR="001F58E6" w:rsidRPr="00A91EBA" w:rsidRDefault="001F58E6" w:rsidP="001F58E6">
            <w:pPr>
              <w:spacing w:line="216" w:lineRule="auto"/>
              <w:rPr>
                <w:b w:val="0"/>
                <w:sz w:val="22"/>
              </w:rPr>
            </w:pPr>
            <w:r w:rsidRPr="00A91EBA">
              <w:rPr>
                <w:sz w:val="22"/>
              </w:rPr>
              <w:t>Date</w:t>
            </w:r>
          </w:p>
        </w:tc>
      </w:tr>
      <w:tr w:rsidR="001F58E6" w:rsidTr="001F58E6">
        <w:tc>
          <w:tcPr>
            <w:tcW w:w="3349" w:type="dxa"/>
          </w:tcPr>
          <w:p w:rsidR="001F58E6" w:rsidRDefault="001F58E6" w:rsidP="001F58E6">
            <w:pPr>
              <w:spacing w:line="216" w:lineRule="auto"/>
              <w:rPr>
                <w:rFonts w:cs="Arial"/>
                <w:sz w:val="22"/>
              </w:rPr>
            </w:pPr>
            <w:r w:rsidRPr="00A91EBA">
              <w:rPr>
                <w:rFonts w:cs="Arial"/>
                <w:sz w:val="22"/>
              </w:rPr>
              <w:t xml:space="preserve">The Committee asks the BoD to discuss and </w:t>
            </w:r>
            <w:r w:rsidRPr="00A91EBA">
              <w:rPr>
                <w:rFonts w:ascii="Arial Bold" w:hAnsi="Arial Bold" w:cs="Arial"/>
                <w:b/>
                <w:caps/>
                <w:sz w:val="22"/>
              </w:rPr>
              <w:t>note</w:t>
            </w:r>
            <w:r w:rsidRPr="00A91EBA">
              <w:rPr>
                <w:rFonts w:cs="Arial"/>
                <w:sz w:val="22"/>
              </w:rPr>
              <w:t xml:space="preserve"> this assurance report from </w:t>
            </w:r>
            <w:r>
              <w:rPr>
                <w:rFonts w:cs="Arial"/>
                <w:sz w:val="22"/>
              </w:rPr>
              <w:t>FPC</w:t>
            </w:r>
            <w:r w:rsidRPr="00A91EBA">
              <w:rPr>
                <w:rFonts w:cs="Arial"/>
                <w:sz w:val="22"/>
              </w:rPr>
              <w:t>.</w:t>
            </w:r>
          </w:p>
          <w:p w:rsidR="001F58E6" w:rsidRPr="00FE393B" w:rsidRDefault="001F58E6" w:rsidP="001F58E6">
            <w:pPr>
              <w:spacing w:line="216" w:lineRule="auto"/>
              <w:rPr>
                <w:rFonts w:cs="Arial"/>
                <w:sz w:val="22"/>
              </w:rPr>
            </w:pPr>
          </w:p>
        </w:tc>
        <w:tc>
          <w:tcPr>
            <w:tcW w:w="3350" w:type="dxa"/>
          </w:tcPr>
          <w:p w:rsidR="001F58E6" w:rsidRPr="00A91EBA" w:rsidRDefault="001F58E6" w:rsidP="001F58E6">
            <w:pPr>
              <w:spacing w:line="216" w:lineRule="auto"/>
              <w:rPr>
                <w:sz w:val="22"/>
              </w:rPr>
            </w:pPr>
            <w:r w:rsidRPr="00A91EBA">
              <w:rPr>
                <w:sz w:val="22"/>
              </w:rPr>
              <w:t>Assurance</w:t>
            </w:r>
          </w:p>
          <w:p w:rsidR="001F58E6" w:rsidRPr="00135C7B" w:rsidRDefault="001F58E6" w:rsidP="001F58E6">
            <w:pPr>
              <w:spacing w:line="216" w:lineRule="auto"/>
              <w:rPr>
                <w:sz w:val="22"/>
              </w:rPr>
            </w:pPr>
          </w:p>
          <w:p w:rsidR="001F58E6" w:rsidRPr="00135C7B" w:rsidRDefault="001F58E6" w:rsidP="001F58E6">
            <w:pPr>
              <w:spacing w:line="216" w:lineRule="auto"/>
              <w:rPr>
                <w:sz w:val="22"/>
              </w:rPr>
            </w:pPr>
          </w:p>
          <w:p w:rsidR="001F58E6" w:rsidRPr="00A91EBA" w:rsidRDefault="001F58E6" w:rsidP="001F58E6">
            <w:pPr>
              <w:spacing w:line="216" w:lineRule="auto"/>
              <w:rPr>
                <w:color w:val="FF0000"/>
                <w:sz w:val="22"/>
              </w:rPr>
            </w:pPr>
          </w:p>
        </w:tc>
        <w:tc>
          <w:tcPr>
            <w:tcW w:w="3350" w:type="dxa"/>
          </w:tcPr>
          <w:p w:rsidR="001F58E6" w:rsidRDefault="001F58E6" w:rsidP="001F58E6">
            <w:pPr>
              <w:spacing w:line="216" w:lineRule="auto"/>
              <w:rPr>
                <w:sz w:val="22"/>
              </w:rPr>
            </w:pPr>
            <w:r w:rsidRPr="00A91EBA">
              <w:rPr>
                <w:sz w:val="22"/>
              </w:rPr>
              <w:t xml:space="preserve">To Board on </w:t>
            </w:r>
            <w:r>
              <w:rPr>
                <w:sz w:val="22"/>
              </w:rPr>
              <w:t xml:space="preserve">5 February </w:t>
            </w:r>
            <w:r w:rsidRPr="00A91EBA">
              <w:rPr>
                <w:sz w:val="22"/>
              </w:rPr>
              <w:t>202</w:t>
            </w:r>
            <w:r>
              <w:rPr>
                <w:sz w:val="22"/>
              </w:rPr>
              <w:t>6</w:t>
            </w:r>
            <w:r w:rsidRPr="00A91EBA">
              <w:rPr>
                <w:sz w:val="22"/>
              </w:rPr>
              <w:t>.</w:t>
            </w:r>
          </w:p>
          <w:p w:rsidR="001F58E6" w:rsidRDefault="001F58E6" w:rsidP="001F58E6">
            <w:pPr>
              <w:spacing w:line="216" w:lineRule="auto"/>
              <w:rPr>
                <w:sz w:val="22"/>
              </w:rPr>
            </w:pPr>
          </w:p>
          <w:p w:rsidR="001F58E6" w:rsidRPr="00F66B79" w:rsidRDefault="001F58E6" w:rsidP="001F58E6">
            <w:pPr>
              <w:spacing w:line="216" w:lineRule="auto"/>
              <w:rPr>
                <w:sz w:val="22"/>
              </w:rPr>
            </w:pPr>
          </w:p>
        </w:tc>
      </w:tr>
    </w:tbl>
    <w:p w:rsidR="001F58E6" w:rsidRDefault="001F58E6" w:rsidP="001F58E6">
      <w:pPr>
        <w:pStyle w:val="NoSpacing"/>
        <w:sectPr w:rsidR="001F58E6" w:rsidSect="001F58E6">
          <w:headerReference w:type="even" r:id="rId24"/>
          <w:headerReference w:type="default" r:id="rId25"/>
          <w:footerReference w:type="even" r:id="rId26"/>
          <w:footerReference w:type="default" r:id="rId27"/>
          <w:headerReference w:type="first" r:id="rId28"/>
          <w:pgSz w:w="11906" w:h="16838" w:code="9"/>
          <w:pgMar w:top="2109" w:right="707" w:bottom="426" w:left="1140" w:header="426" w:footer="384" w:gutter="0"/>
          <w:cols w:space="720"/>
        </w:sectPr>
      </w:pPr>
    </w:p>
    <w:p w:rsidR="001F58E6" w:rsidRPr="001F58E6" w:rsidRDefault="001F58E6" w:rsidP="001F58E6">
      <w:pPr>
        <w:pStyle w:val="Heading1"/>
      </w:pPr>
      <w:bookmarkStart w:id="24" w:name="_Toc221093390"/>
      <w:r>
        <w:lastRenderedPageBreak/>
        <w:t xml:space="preserve">122.4 </w:t>
      </w:r>
      <w:r w:rsidRPr="001F58E6">
        <w:t>BOARD COMMITTEE ASSURANCE REPORT TO THE BOARD OF DIRECTORS (</w:t>
      </w:r>
      <w:proofErr w:type="spellStart"/>
      <w:r w:rsidRPr="001F58E6">
        <w:t>BoD</w:t>
      </w:r>
      <w:proofErr w:type="spellEnd"/>
      <w:r w:rsidRPr="001F58E6">
        <w:t>)</w:t>
      </w:r>
      <w:bookmarkEnd w:id="24"/>
    </w:p>
    <w:p w:rsidR="001F58E6" w:rsidRPr="006F0EAD" w:rsidRDefault="001F58E6" w:rsidP="001F58E6">
      <w:pPr>
        <w:shd w:val="clear" w:color="auto" w:fill="E8EDEE" w:themeFill="background2"/>
        <w:rPr>
          <w:b/>
          <w:color w:val="231F20" w:themeColor="text1"/>
          <w:sz w:val="22"/>
        </w:rPr>
      </w:pPr>
      <w:r w:rsidRPr="0008759A">
        <w:rPr>
          <w:b/>
          <w:sz w:val="22"/>
        </w:rPr>
        <w:t>Committee:</w:t>
      </w:r>
      <w:r w:rsidRPr="0008759A">
        <w:rPr>
          <w:sz w:val="22"/>
        </w:rPr>
        <w:t xml:space="preserve"> </w:t>
      </w:r>
      <w:r>
        <w:rPr>
          <w:sz w:val="22"/>
        </w:rPr>
        <w:tab/>
      </w:r>
      <w:r w:rsidRPr="006F0EAD">
        <w:rPr>
          <w:b/>
          <w:color w:val="231F20" w:themeColor="text1"/>
          <w:sz w:val="22"/>
        </w:rPr>
        <w:t>People &amp; Culture Committee</w:t>
      </w:r>
      <w:r>
        <w:rPr>
          <w:b/>
          <w:color w:val="231F20" w:themeColor="text1"/>
          <w:sz w:val="22"/>
        </w:rPr>
        <w:t xml:space="preserve"> (P&amp;CC)</w:t>
      </w:r>
    </w:p>
    <w:p w:rsidR="001F58E6" w:rsidRPr="006F0EAD" w:rsidRDefault="001F58E6" w:rsidP="001F58E6">
      <w:pPr>
        <w:rPr>
          <w:b/>
          <w:color w:val="231F20" w:themeColor="text1"/>
          <w:sz w:val="22"/>
        </w:rPr>
      </w:pPr>
      <w:r w:rsidRPr="006F0EAD">
        <w:rPr>
          <w:b/>
          <w:sz w:val="22"/>
        </w:rPr>
        <w:t xml:space="preserve">Meeting date: </w:t>
      </w:r>
      <w:r w:rsidRPr="006F0EAD">
        <w:rPr>
          <w:b/>
          <w:color w:val="231F20" w:themeColor="text1"/>
          <w:sz w:val="22"/>
        </w:rPr>
        <w:t>27</w:t>
      </w:r>
      <w:r>
        <w:rPr>
          <w:b/>
          <w:color w:val="231F20" w:themeColor="text1"/>
          <w:sz w:val="22"/>
          <w:vertAlign w:val="superscript"/>
        </w:rPr>
        <w:t xml:space="preserve"> </w:t>
      </w:r>
      <w:r w:rsidRPr="006F0EAD">
        <w:rPr>
          <w:b/>
          <w:color w:val="231F20" w:themeColor="text1"/>
          <w:sz w:val="22"/>
        </w:rPr>
        <w:t>January 2026</w:t>
      </w:r>
    </w:p>
    <w:p w:rsidR="001F58E6" w:rsidRPr="006F0EAD" w:rsidRDefault="001F58E6" w:rsidP="001F58E6">
      <w:pPr>
        <w:rPr>
          <w:b/>
          <w:color w:val="231F20" w:themeColor="text1"/>
          <w:sz w:val="22"/>
        </w:rPr>
      </w:pPr>
      <w:r w:rsidRPr="006F0EAD">
        <w:rPr>
          <w:b/>
          <w:color w:val="231F20" w:themeColor="text1"/>
          <w:sz w:val="22"/>
        </w:rPr>
        <w:t xml:space="preserve">Chair: </w:t>
      </w:r>
      <w:r w:rsidRPr="006F0EAD">
        <w:rPr>
          <w:b/>
          <w:color w:val="231F20" w:themeColor="text1"/>
          <w:sz w:val="22"/>
        </w:rPr>
        <w:tab/>
        <w:t>Claudia Sykes</w:t>
      </w:r>
      <w:r>
        <w:rPr>
          <w:b/>
          <w:color w:val="231F20" w:themeColor="text1"/>
          <w:sz w:val="22"/>
        </w:rPr>
        <w:t>, Non-Executive Director (NED)</w:t>
      </w:r>
    </w:p>
    <w:p w:rsidR="001F58E6" w:rsidRPr="006F0EAD" w:rsidRDefault="001F58E6" w:rsidP="001F58E6">
      <w:pPr>
        <w:rPr>
          <w:b/>
          <w:color w:val="231F20" w:themeColor="text1"/>
          <w:sz w:val="22"/>
        </w:rPr>
      </w:pPr>
      <w:r w:rsidRPr="006F0EAD">
        <w:rPr>
          <w:b/>
          <w:color w:val="231F20" w:themeColor="text1"/>
          <w:sz w:val="22"/>
        </w:rPr>
        <w:t>Paper Author: Claudia Sykes</w:t>
      </w:r>
      <w:r>
        <w:rPr>
          <w:b/>
          <w:color w:val="231F20" w:themeColor="text1"/>
          <w:sz w:val="22"/>
        </w:rPr>
        <w:t>, NED</w:t>
      </w:r>
    </w:p>
    <w:p w:rsidR="001F58E6" w:rsidRPr="006F0EAD" w:rsidRDefault="001F58E6" w:rsidP="001F58E6">
      <w:pPr>
        <w:rPr>
          <w:b/>
          <w:color w:val="231F20" w:themeColor="text1"/>
          <w:sz w:val="22"/>
        </w:rPr>
      </w:pPr>
      <w:r w:rsidRPr="006F0EAD">
        <w:rPr>
          <w:b/>
          <w:color w:val="231F20" w:themeColor="text1"/>
          <w:sz w:val="22"/>
        </w:rPr>
        <w:t xml:space="preserve">Quorate: Yes </w:t>
      </w:r>
    </w:p>
    <w:p w:rsidR="001F58E6" w:rsidRPr="009334DB" w:rsidRDefault="001F58E6" w:rsidP="001F58E6">
      <w:pPr>
        <w:pStyle w:val="Heading2"/>
        <w:shd w:val="clear" w:color="auto" w:fill="E8EDEE" w:themeFill="background2"/>
        <w:tabs>
          <w:tab w:val="left" w:pos="2552"/>
          <w:tab w:val="left" w:pos="4536"/>
          <w:tab w:val="left" w:pos="6237"/>
          <w:tab w:val="left" w:pos="8364"/>
        </w:tabs>
        <w:rPr>
          <w:szCs w:val="22"/>
        </w:rPr>
      </w:pPr>
      <w:bookmarkStart w:id="25" w:name="_Toc221093391"/>
      <w:r w:rsidRPr="009334DB">
        <w:rPr>
          <w:szCs w:val="22"/>
        </w:rPr>
        <w:t>Appendices:</w:t>
      </w:r>
      <w:r>
        <w:rPr>
          <w:szCs w:val="22"/>
        </w:rPr>
        <w:t xml:space="preserve"> none</w:t>
      </w:r>
      <w:bookmarkEnd w:id="25"/>
    </w:p>
    <w:p w:rsidR="001F58E6" w:rsidRPr="009334DB" w:rsidRDefault="001F58E6" w:rsidP="001F58E6">
      <w:pPr>
        <w:pStyle w:val="Heading2"/>
        <w:shd w:val="clear" w:color="auto" w:fill="E8EDEE" w:themeFill="background2"/>
        <w:rPr>
          <w:i/>
          <w:color w:val="FF0000"/>
          <w:szCs w:val="22"/>
        </w:rPr>
      </w:pPr>
      <w:bookmarkStart w:id="26" w:name="_Toc221093392"/>
      <w:r w:rsidRPr="009334DB">
        <w:rPr>
          <w:szCs w:val="22"/>
        </w:rPr>
        <w:t>Declarations of interest made:</w:t>
      </w:r>
      <w:r>
        <w:rPr>
          <w:szCs w:val="22"/>
        </w:rPr>
        <w:t xml:space="preserve"> none</w:t>
      </w:r>
      <w:bookmarkEnd w:id="26"/>
    </w:p>
    <w:p w:rsidR="001F58E6" w:rsidRPr="00AE5A0C" w:rsidRDefault="001F58E6" w:rsidP="001F58E6">
      <w:pPr>
        <w:pStyle w:val="Heading2"/>
        <w:shd w:val="clear" w:color="auto" w:fill="E8EDEE" w:themeFill="background2"/>
        <w:rPr>
          <w:szCs w:val="22"/>
        </w:rPr>
      </w:pPr>
      <w:bookmarkStart w:id="27" w:name="_Toc221093393"/>
      <w:r w:rsidRPr="009334DB">
        <w:rPr>
          <w:szCs w:val="22"/>
        </w:rPr>
        <w:t>Assurances received at the Committee meeting</w:t>
      </w:r>
      <w:r>
        <w:rPr>
          <w:szCs w:val="22"/>
        </w:rPr>
        <w:t>: see below</w:t>
      </w:r>
      <w:bookmarkEnd w:id="27"/>
    </w:p>
    <w:tbl>
      <w:tblPr>
        <w:tblStyle w:val="TableGridLight"/>
        <w:tblW w:w="0" w:type="auto"/>
        <w:tblLook w:val="0620" w:firstRow="1" w:lastRow="0" w:firstColumn="0" w:lastColumn="0" w:noHBand="1" w:noVBand="1"/>
      </w:tblPr>
      <w:tblGrid>
        <w:gridCol w:w="2263"/>
        <w:gridCol w:w="7786"/>
      </w:tblGrid>
      <w:tr w:rsidR="001F58E6" w:rsidRPr="009334DB" w:rsidTr="001F58E6">
        <w:trPr>
          <w:cnfStyle w:val="100000000000" w:firstRow="1" w:lastRow="0" w:firstColumn="0" w:lastColumn="0" w:oddVBand="0" w:evenVBand="0" w:oddHBand="0" w:evenHBand="0" w:firstRowFirstColumn="0" w:firstRowLastColumn="0" w:lastRowFirstColumn="0" w:lastRowLastColumn="0"/>
        </w:trPr>
        <w:tc>
          <w:tcPr>
            <w:tcW w:w="2263" w:type="dxa"/>
          </w:tcPr>
          <w:p w:rsidR="001F58E6" w:rsidRPr="0074324E" w:rsidRDefault="001F58E6" w:rsidP="001F58E6">
            <w:pPr>
              <w:rPr>
                <w:b w:val="0"/>
                <w:sz w:val="22"/>
              </w:rPr>
            </w:pPr>
            <w:r w:rsidRPr="0074324E">
              <w:rPr>
                <w:sz w:val="22"/>
              </w:rPr>
              <w:t>Agenda item</w:t>
            </w:r>
          </w:p>
        </w:tc>
        <w:tc>
          <w:tcPr>
            <w:tcW w:w="7786" w:type="dxa"/>
          </w:tcPr>
          <w:p w:rsidR="001F58E6" w:rsidRPr="0074324E" w:rsidRDefault="001F58E6" w:rsidP="001F58E6">
            <w:pPr>
              <w:rPr>
                <w:b w:val="0"/>
                <w:sz w:val="22"/>
              </w:rPr>
            </w:pPr>
            <w:r w:rsidRPr="0074324E">
              <w:rPr>
                <w:sz w:val="22"/>
              </w:rPr>
              <w:t>Summary</w:t>
            </w:r>
          </w:p>
        </w:tc>
      </w:tr>
      <w:tr w:rsidR="001F58E6" w:rsidRPr="009334DB" w:rsidTr="001F58E6">
        <w:tc>
          <w:tcPr>
            <w:tcW w:w="2263" w:type="dxa"/>
          </w:tcPr>
          <w:p w:rsidR="001F58E6" w:rsidRDefault="001F58E6" w:rsidP="001F58E6">
            <w:pPr>
              <w:rPr>
                <w:b/>
                <w:sz w:val="22"/>
              </w:rPr>
            </w:pPr>
            <w:r>
              <w:rPr>
                <w:b/>
                <w:sz w:val="22"/>
              </w:rPr>
              <w:t>Board Assurance Framework (BAF) risk: recruitment and retention</w:t>
            </w:r>
          </w:p>
          <w:p w:rsidR="001F58E6" w:rsidRDefault="001F58E6" w:rsidP="001F58E6">
            <w:pPr>
              <w:rPr>
                <w:b/>
                <w:sz w:val="22"/>
              </w:rPr>
            </w:pPr>
          </w:p>
          <w:p w:rsidR="001F58E6" w:rsidRPr="0074324E" w:rsidRDefault="001F58E6" w:rsidP="001F58E6">
            <w:pPr>
              <w:rPr>
                <w:b/>
                <w:sz w:val="22"/>
              </w:rPr>
            </w:pPr>
            <w:r>
              <w:rPr>
                <w:b/>
                <w:sz w:val="22"/>
              </w:rPr>
              <w:t>Chief People Officer (CPO) Report</w:t>
            </w:r>
          </w:p>
        </w:tc>
        <w:tc>
          <w:tcPr>
            <w:tcW w:w="7786" w:type="dxa"/>
          </w:tcPr>
          <w:p w:rsidR="001F58E6" w:rsidRDefault="001F58E6" w:rsidP="001F58E6">
            <w:pPr>
              <w:rPr>
                <w:bCs/>
                <w:sz w:val="22"/>
              </w:rPr>
            </w:pPr>
            <w:r>
              <w:rPr>
                <w:bCs/>
                <w:sz w:val="22"/>
              </w:rPr>
              <w:t>The Committee reviewed the CPO report which covered updates on disciplinaries, tribunal cases, sickness absence, vacancies and recruitment. These were monitored against a set of Key Performance Indicators (KPIs) (e.g. time to recruit). The Committee commended the excellent work done by the Chief Nursing and Midwifery Officer (CNMO) on vaccination rates (54% at 29/12/25).</w:t>
            </w:r>
          </w:p>
          <w:p w:rsidR="001F58E6" w:rsidRPr="00EC3851" w:rsidRDefault="001F58E6" w:rsidP="001F58E6">
            <w:pPr>
              <w:rPr>
                <w:bCs/>
                <w:sz w:val="22"/>
              </w:rPr>
            </w:pPr>
            <w:r>
              <w:rPr>
                <w:bCs/>
                <w:sz w:val="22"/>
              </w:rPr>
              <w:t xml:space="preserve">The Committee was </w:t>
            </w:r>
            <w:r w:rsidRPr="006F0EAD">
              <w:rPr>
                <w:b/>
                <w:bCs/>
                <w:sz w:val="22"/>
              </w:rPr>
              <w:t>ASSURED</w:t>
            </w:r>
            <w:r>
              <w:rPr>
                <w:bCs/>
                <w:sz w:val="22"/>
              </w:rPr>
              <w:t xml:space="preserve"> of the work being undertaken by the People and Culture team.</w:t>
            </w:r>
          </w:p>
        </w:tc>
      </w:tr>
      <w:tr w:rsidR="001F58E6" w:rsidRPr="009334DB" w:rsidTr="001F58E6">
        <w:tc>
          <w:tcPr>
            <w:tcW w:w="2263" w:type="dxa"/>
          </w:tcPr>
          <w:p w:rsidR="001F58E6" w:rsidRDefault="001F58E6" w:rsidP="001F58E6">
            <w:pPr>
              <w:rPr>
                <w:b/>
                <w:sz w:val="22"/>
              </w:rPr>
            </w:pPr>
            <w:r>
              <w:rPr>
                <w:b/>
                <w:sz w:val="22"/>
              </w:rPr>
              <w:t>BAF risk: recruitment and retention</w:t>
            </w:r>
          </w:p>
          <w:p w:rsidR="001F58E6" w:rsidRDefault="001F58E6" w:rsidP="001F58E6">
            <w:pPr>
              <w:rPr>
                <w:b/>
                <w:sz w:val="22"/>
              </w:rPr>
            </w:pPr>
          </w:p>
          <w:p w:rsidR="001F58E6" w:rsidRDefault="001F58E6" w:rsidP="001F58E6">
            <w:pPr>
              <w:rPr>
                <w:b/>
                <w:sz w:val="22"/>
              </w:rPr>
            </w:pPr>
            <w:r>
              <w:rPr>
                <w:b/>
                <w:sz w:val="22"/>
              </w:rPr>
              <w:lastRenderedPageBreak/>
              <w:t>Appraisal deep-dive</w:t>
            </w:r>
          </w:p>
          <w:p w:rsidR="001F58E6" w:rsidRDefault="001F58E6" w:rsidP="001F58E6">
            <w:pPr>
              <w:rPr>
                <w:b/>
                <w:sz w:val="22"/>
              </w:rPr>
            </w:pPr>
          </w:p>
        </w:tc>
        <w:tc>
          <w:tcPr>
            <w:tcW w:w="7786" w:type="dxa"/>
          </w:tcPr>
          <w:p w:rsidR="001F58E6" w:rsidRDefault="001F58E6" w:rsidP="001F58E6">
            <w:pPr>
              <w:pStyle w:val="NormalWeb"/>
              <w:shd w:val="clear" w:color="auto" w:fill="FFFFFF"/>
              <w:jc w:val="both"/>
              <w:rPr>
                <w:rFonts w:ascii="Arial" w:hAnsi="Arial" w:cs="Arial"/>
                <w:sz w:val="22"/>
                <w:szCs w:val="22"/>
              </w:rPr>
            </w:pPr>
            <w:r>
              <w:rPr>
                <w:rFonts w:ascii="Arial" w:hAnsi="Arial" w:cs="Arial"/>
                <w:sz w:val="22"/>
                <w:szCs w:val="22"/>
              </w:rPr>
              <w:lastRenderedPageBreak/>
              <w:t>The Deputy Director of Culture, Inclusion and Organisational Development presented a review of the quality of appraisals. Key findings:</w:t>
            </w:r>
          </w:p>
          <w:p w:rsidR="001F58E6" w:rsidRPr="006F0EAD" w:rsidRDefault="001F58E6" w:rsidP="001F58E6">
            <w:pPr>
              <w:pStyle w:val="p1"/>
              <w:numPr>
                <w:ilvl w:val="0"/>
                <w:numId w:val="27"/>
              </w:numPr>
              <w:tabs>
                <w:tab w:val="left" w:pos="620"/>
              </w:tabs>
              <w:ind w:left="620"/>
              <w:rPr>
                <w:sz w:val="22"/>
                <w:szCs w:val="22"/>
              </w:rPr>
            </w:pPr>
            <w:r w:rsidRPr="00FD3815">
              <w:rPr>
                <w:sz w:val="22"/>
                <w:szCs w:val="22"/>
              </w:rPr>
              <w:t>Appraisal quality varies significantly across the organisation and is</w:t>
            </w:r>
            <w:r>
              <w:rPr>
                <w:sz w:val="22"/>
                <w:szCs w:val="22"/>
              </w:rPr>
              <w:t xml:space="preserve"> </w:t>
            </w:r>
            <w:r w:rsidRPr="006F0EAD">
              <w:rPr>
                <w:sz w:val="22"/>
                <w:szCs w:val="22"/>
              </w:rPr>
              <w:t>closely associated with wider staff experience, including engagement,</w:t>
            </w:r>
            <w:r>
              <w:rPr>
                <w:sz w:val="22"/>
                <w:szCs w:val="22"/>
              </w:rPr>
              <w:t xml:space="preserve"> </w:t>
            </w:r>
            <w:r w:rsidRPr="006F0EAD">
              <w:rPr>
                <w:sz w:val="22"/>
                <w:szCs w:val="22"/>
              </w:rPr>
              <w:t>role clarity, staff voice and team effectiveness.</w:t>
            </w:r>
          </w:p>
          <w:p w:rsidR="001F58E6" w:rsidRPr="006F0EAD" w:rsidRDefault="001F58E6" w:rsidP="001F58E6">
            <w:pPr>
              <w:pStyle w:val="p1"/>
              <w:numPr>
                <w:ilvl w:val="0"/>
                <w:numId w:val="26"/>
              </w:numPr>
              <w:tabs>
                <w:tab w:val="left" w:pos="620"/>
              </w:tabs>
              <w:ind w:left="620"/>
              <w:rPr>
                <w:sz w:val="22"/>
                <w:szCs w:val="22"/>
              </w:rPr>
            </w:pPr>
            <w:r w:rsidRPr="006F0EAD">
              <w:rPr>
                <w:sz w:val="22"/>
                <w:szCs w:val="22"/>
              </w:rPr>
              <w:t>Teams scoring highly on appraisal quality demonstrate stronger engagement, clearer understanding of expectations, greater</w:t>
            </w:r>
            <w:r>
              <w:rPr>
                <w:sz w:val="22"/>
                <w:szCs w:val="22"/>
              </w:rPr>
              <w:t xml:space="preserve"> </w:t>
            </w:r>
            <w:r w:rsidRPr="006F0EAD">
              <w:rPr>
                <w:sz w:val="22"/>
                <w:szCs w:val="22"/>
              </w:rPr>
              <w:t>confidence and higher participation in service improvement.</w:t>
            </w:r>
          </w:p>
          <w:p w:rsidR="001F58E6" w:rsidRPr="006F0EAD" w:rsidRDefault="001F58E6" w:rsidP="001F58E6">
            <w:pPr>
              <w:pStyle w:val="p1"/>
              <w:numPr>
                <w:ilvl w:val="0"/>
                <w:numId w:val="26"/>
              </w:numPr>
              <w:tabs>
                <w:tab w:val="left" w:pos="620"/>
              </w:tabs>
              <w:ind w:left="620"/>
              <w:rPr>
                <w:sz w:val="22"/>
                <w:szCs w:val="22"/>
              </w:rPr>
            </w:pPr>
            <w:r w:rsidRPr="00FD3815">
              <w:rPr>
                <w:sz w:val="22"/>
                <w:szCs w:val="22"/>
              </w:rPr>
              <w:lastRenderedPageBreak/>
              <w:t>Teams scoring below the organisational comparator on appraisal</w:t>
            </w:r>
            <w:r>
              <w:rPr>
                <w:sz w:val="22"/>
                <w:szCs w:val="22"/>
              </w:rPr>
              <w:t xml:space="preserve"> </w:t>
            </w:r>
            <w:r w:rsidRPr="006F0EAD">
              <w:rPr>
                <w:sz w:val="22"/>
                <w:szCs w:val="22"/>
              </w:rPr>
              <w:t>quality show consistently weaker outcomes across the same staff</w:t>
            </w:r>
            <w:r>
              <w:rPr>
                <w:sz w:val="22"/>
                <w:szCs w:val="22"/>
              </w:rPr>
              <w:t xml:space="preserve"> </w:t>
            </w:r>
            <w:r w:rsidRPr="006F0EAD">
              <w:rPr>
                <w:sz w:val="22"/>
                <w:szCs w:val="22"/>
              </w:rPr>
              <w:t>experience domains, indicating that appraisal quality is not an isolated</w:t>
            </w:r>
            <w:r>
              <w:rPr>
                <w:sz w:val="22"/>
                <w:szCs w:val="22"/>
              </w:rPr>
              <w:t xml:space="preserve"> </w:t>
            </w:r>
            <w:r w:rsidRPr="006F0EAD">
              <w:rPr>
                <w:sz w:val="22"/>
                <w:szCs w:val="22"/>
              </w:rPr>
              <w:t>issue but part of a broader pattern of reduced engagement and</w:t>
            </w:r>
            <w:r>
              <w:rPr>
                <w:sz w:val="22"/>
                <w:szCs w:val="22"/>
              </w:rPr>
              <w:t xml:space="preserve"> </w:t>
            </w:r>
            <w:r w:rsidRPr="006F0EAD">
              <w:rPr>
                <w:sz w:val="22"/>
                <w:szCs w:val="22"/>
              </w:rPr>
              <w:t>confidence.</w:t>
            </w:r>
          </w:p>
          <w:p w:rsidR="001F58E6" w:rsidRPr="006F0EAD" w:rsidRDefault="001F58E6" w:rsidP="001F58E6">
            <w:pPr>
              <w:pStyle w:val="p1"/>
              <w:numPr>
                <w:ilvl w:val="0"/>
                <w:numId w:val="26"/>
              </w:numPr>
              <w:tabs>
                <w:tab w:val="left" w:pos="620"/>
              </w:tabs>
              <w:ind w:left="620"/>
              <w:rPr>
                <w:sz w:val="22"/>
                <w:szCs w:val="22"/>
              </w:rPr>
            </w:pPr>
            <w:r w:rsidRPr="00FD3815">
              <w:rPr>
                <w:sz w:val="22"/>
                <w:szCs w:val="22"/>
              </w:rPr>
              <w:t>Low appraisal quality is associated with weaker line management</w:t>
            </w:r>
            <w:r>
              <w:rPr>
                <w:sz w:val="22"/>
                <w:szCs w:val="22"/>
              </w:rPr>
              <w:t xml:space="preserve"> </w:t>
            </w:r>
            <w:r w:rsidRPr="006F0EAD">
              <w:rPr>
                <w:sz w:val="22"/>
                <w:szCs w:val="22"/>
              </w:rPr>
              <w:t>capability, limited quality of feedback, reduced staff voice and poor</w:t>
            </w:r>
            <w:r>
              <w:rPr>
                <w:sz w:val="22"/>
                <w:szCs w:val="22"/>
              </w:rPr>
              <w:t xml:space="preserve"> </w:t>
            </w:r>
            <w:r w:rsidRPr="006F0EAD">
              <w:rPr>
                <w:sz w:val="22"/>
                <w:szCs w:val="22"/>
              </w:rPr>
              <w:t>follow-through on development actions.</w:t>
            </w:r>
          </w:p>
          <w:p w:rsidR="001F58E6" w:rsidRPr="006F0EAD" w:rsidRDefault="001F58E6" w:rsidP="001F58E6">
            <w:pPr>
              <w:pStyle w:val="p1"/>
              <w:numPr>
                <w:ilvl w:val="0"/>
                <w:numId w:val="26"/>
              </w:numPr>
              <w:tabs>
                <w:tab w:val="left" w:pos="620"/>
              </w:tabs>
              <w:ind w:left="620"/>
              <w:rPr>
                <w:sz w:val="22"/>
                <w:szCs w:val="22"/>
              </w:rPr>
            </w:pPr>
            <w:r w:rsidRPr="00FD3815">
              <w:rPr>
                <w:sz w:val="22"/>
                <w:szCs w:val="22"/>
              </w:rPr>
              <w:t>There is no strong evidence that low appraisal quality is driven by</w:t>
            </w:r>
            <w:r>
              <w:rPr>
                <w:sz w:val="22"/>
                <w:szCs w:val="22"/>
              </w:rPr>
              <w:t xml:space="preserve"> </w:t>
            </w:r>
            <w:r w:rsidRPr="006F0EAD">
              <w:rPr>
                <w:sz w:val="22"/>
                <w:szCs w:val="22"/>
              </w:rPr>
              <w:t>staffing levels, physical resources or system-wide constraints,</w:t>
            </w:r>
            <w:r>
              <w:rPr>
                <w:sz w:val="22"/>
                <w:szCs w:val="22"/>
              </w:rPr>
              <w:t xml:space="preserve"> </w:t>
            </w:r>
            <w:r w:rsidRPr="006F0EAD">
              <w:rPr>
                <w:sz w:val="22"/>
                <w:szCs w:val="22"/>
              </w:rPr>
              <w:t>suggesting management practice and organisational culture are the</w:t>
            </w:r>
            <w:r>
              <w:rPr>
                <w:sz w:val="22"/>
                <w:szCs w:val="22"/>
              </w:rPr>
              <w:t xml:space="preserve"> </w:t>
            </w:r>
            <w:r w:rsidRPr="006F0EAD">
              <w:rPr>
                <w:sz w:val="22"/>
                <w:szCs w:val="22"/>
              </w:rPr>
              <w:t>primary influencing factors.</w:t>
            </w:r>
          </w:p>
          <w:p w:rsidR="001F58E6" w:rsidRPr="006F0EAD" w:rsidRDefault="001F58E6" w:rsidP="001F58E6">
            <w:pPr>
              <w:pStyle w:val="p1"/>
              <w:numPr>
                <w:ilvl w:val="0"/>
                <w:numId w:val="26"/>
              </w:numPr>
              <w:ind w:left="620"/>
              <w:rPr>
                <w:sz w:val="22"/>
                <w:szCs w:val="22"/>
              </w:rPr>
            </w:pPr>
            <w:r w:rsidRPr="00FD3815">
              <w:rPr>
                <w:sz w:val="22"/>
                <w:szCs w:val="22"/>
              </w:rPr>
              <w:t>High appraisal performance in Day Surgery and Occupational Health</w:t>
            </w:r>
            <w:r>
              <w:rPr>
                <w:sz w:val="22"/>
                <w:szCs w:val="22"/>
              </w:rPr>
              <w:t xml:space="preserve"> </w:t>
            </w:r>
            <w:r w:rsidRPr="006F0EAD">
              <w:rPr>
                <w:sz w:val="22"/>
                <w:szCs w:val="22"/>
              </w:rPr>
              <w:t>demonstrates that strong appraisal quality is achievable in high-pressure clinical environments when appraisal is planned, structured</w:t>
            </w:r>
            <w:r>
              <w:rPr>
                <w:sz w:val="22"/>
                <w:szCs w:val="22"/>
              </w:rPr>
              <w:t xml:space="preserve"> </w:t>
            </w:r>
            <w:r w:rsidRPr="006F0EAD">
              <w:rPr>
                <w:sz w:val="22"/>
                <w:szCs w:val="22"/>
              </w:rPr>
              <w:t>and supported through delegated leadership.</w:t>
            </w:r>
          </w:p>
          <w:p w:rsidR="001F58E6" w:rsidRDefault="001F58E6" w:rsidP="001F58E6">
            <w:pPr>
              <w:pStyle w:val="p1"/>
            </w:pPr>
          </w:p>
          <w:p w:rsidR="001F58E6" w:rsidRDefault="001F58E6" w:rsidP="001F58E6">
            <w:pPr>
              <w:pStyle w:val="NormalWeb"/>
              <w:shd w:val="clear" w:color="auto" w:fill="FFFFFF"/>
              <w:rPr>
                <w:rFonts w:ascii="Arial" w:hAnsi="Arial" w:cs="Arial"/>
                <w:sz w:val="22"/>
                <w:szCs w:val="22"/>
              </w:rPr>
            </w:pPr>
            <w:r>
              <w:rPr>
                <w:rFonts w:ascii="Arial" w:hAnsi="Arial" w:cs="Arial"/>
                <w:sz w:val="22"/>
                <w:szCs w:val="22"/>
              </w:rPr>
              <w:t>The Committee welcomed the report, and noted that, along with the staff survey, it reflected a wide variation in line management capability and staff experience across the Trust. A focused approach on the departments needing significant turnaround should be prioritised, supporting the improvement of line management capability and training.</w:t>
            </w:r>
          </w:p>
          <w:p w:rsidR="001F58E6" w:rsidRDefault="001F58E6" w:rsidP="001F58E6">
            <w:pPr>
              <w:pStyle w:val="NormalWeb"/>
              <w:shd w:val="clear" w:color="auto" w:fill="FFFFFF"/>
              <w:jc w:val="both"/>
              <w:rPr>
                <w:rFonts w:ascii="Arial" w:hAnsi="Arial" w:cs="Arial"/>
                <w:sz w:val="22"/>
                <w:szCs w:val="22"/>
              </w:rPr>
            </w:pPr>
          </w:p>
        </w:tc>
      </w:tr>
      <w:tr w:rsidR="001F58E6" w:rsidRPr="009334DB" w:rsidTr="001F58E6">
        <w:tc>
          <w:tcPr>
            <w:tcW w:w="2263" w:type="dxa"/>
          </w:tcPr>
          <w:p w:rsidR="001F58E6" w:rsidRDefault="001F58E6" w:rsidP="001F58E6">
            <w:pPr>
              <w:rPr>
                <w:b/>
                <w:sz w:val="22"/>
              </w:rPr>
            </w:pPr>
            <w:r>
              <w:rPr>
                <w:b/>
                <w:sz w:val="22"/>
              </w:rPr>
              <w:lastRenderedPageBreak/>
              <w:t>BAF risk: culture and values</w:t>
            </w:r>
          </w:p>
          <w:p w:rsidR="001F58E6" w:rsidRDefault="001F58E6" w:rsidP="001F58E6">
            <w:pPr>
              <w:rPr>
                <w:b/>
                <w:sz w:val="22"/>
              </w:rPr>
            </w:pPr>
          </w:p>
          <w:p w:rsidR="001F58E6" w:rsidRPr="0074324E" w:rsidRDefault="001F58E6" w:rsidP="001F58E6">
            <w:pPr>
              <w:rPr>
                <w:b/>
                <w:sz w:val="22"/>
              </w:rPr>
            </w:pPr>
            <w:r>
              <w:rPr>
                <w:b/>
                <w:sz w:val="22"/>
              </w:rPr>
              <w:t>Staff voice</w:t>
            </w:r>
          </w:p>
        </w:tc>
        <w:tc>
          <w:tcPr>
            <w:tcW w:w="7786" w:type="dxa"/>
          </w:tcPr>
          <w:p w:rsidR="001F58E6" w:rsidRPr="001326B8" w:rsidRDefault="001F58E6" w:rsidP="001F58E6">
            <w:pPr>
              <w:pStyle w:val="NormalWeb"/>
              <w:shd w:val="clear" w:color="auto" w:fill="FFFFFF"/>
              <w:rPr>
                <w:rFonts w:ascii="Arial" w:hAnsi="Arial" w:cs="Arial"/>
                <w:sz w:val="22"/>
                <w:szCs w:val="22"/>
              </w:rPr>
            </w:pPr>
            <w:r>
              <w:rPr>
                <w:rFonts w:ascii="Arial" w:hAnsi="Arial" w:cs="Arial"/>
                <w:sz w:val="22"/>
                <w:szCs w:val="22"/>
              </w:rPr>
              <w:t xml:space="preserve">The Committee welcomed the Chair of the Trust’s neurodiversity network, who spoke about the need for greater awareness of neurodiversity and ongoing efforts to reduce stigma and promote the value of diversity. She was developing a Resource pack for line managers. The network had 100 members, out of an estimated 1500 staff who may be neurodiverse. </w:t>
            </w:r>
          </w:p>
        </w:tc>
      </w:tr>
      <w:tr w:rsidR="001F58E6" w:rsidRPr="009334DB" w:rsidTr="001F58E6">
        <w:tc>
          <w:tcPr>
            <w:tcW w:w="2263" w:type="dxa"/>
          </w:tcPr>
          <w:p w:rsidR="001F58E6" w:rsidRDefault="001F58E6" w:rsidP="001F58E6">
            <w:pPr>
              <w:rPr>
                <w:b/>
                <w:sz w:val="22"/>
              </w:rPr>
            </w:pPr>
            <w:r>
              <w:rPr>
                <w:b/>
                <w:sz w:val="22"/>
              </w:rPr>
              <w:t>BAF risk: culture and values</w:t>
            </w:r>
          </w:p>
          <w:p w:rsidR="001F58E6" w:rsidRDefault="001F58E6" w:rsidP="001F58E6">
            <w:pPr>
              <w:rPr>
                <w:b/>
                <w:sz w:val="22"/>
              </w:rPr>
            </w:pPr>
          </w:p>
          <w:p w:rsidR="001F58E6" w:rsidRDefault="001F58E6" w:rsidP="001F58E6">
            <w:pPr>
              <w:rPr>
                <w:b/>
                <w:sz w:val="22"/>
              </w:rPr>
            </w:pPr>
            <w:r>
              <w:rPr>
                <w:b/>
                <w:sz w:val="22"/>
              </w:rPr>
              <w:t>Staff survey</w:t>
            </w:r>
          </w:p>
        </w:tc>
        <w:tc>
          <w:tcPr>
            <w:tcW w:w="7786" w:type="dxa"/>
          </w:tcPr>
          <w:p w:rsidR="001F58E6" w:rsidRDefault="001F58E6" w:rsidP="001F58E6">
            <w:pPr>
              <w:rPr>
                <w:bCs/>
                <w:sz w:val="22"/>
              </w:rPr>
            </w:pPr>
            <w:r>
              <w:rPr>
                <w:bCs/>
                <w:sz w:val="22"/>
              </w:rPr>
              <w:t xml:space="preserve">The Committee discussed early findings from the staff survey. The full reports remain embargoed until March. </w:t>
            </w:r>
          </w:p>
        </w:tc>
      </w:tr>
      <w:tr w:rsidR="001F58E6" w:rsidRPr="009334DB" w:rsidTr="001F58E6">
        <w:tc>
          <w:tcPr>
            <w:tcW w:w="2263" w:type="dxa"/>
          </w:tcPr>
          <w:p w:rsidR="001F58E6" w:rsidRDefault="001F58E6" w:rsidP="001F58E6">
            <w:pPr>
              <w:rPr>
                <w:b/>
                <w:sz w:val="22"/>
              </w:rPr>
            </w:pPr>
            <w:r>
              <w:rPr>
                <w:b/>
                <w:sz w:val="22"/>
              </w:rPr>
              <w:t>BAF risk: culture and values</w:t>
            </w:r>
          </w:p>
          <w:p w:rsidR="001F58E6" w:rsidRDefault="001F58E6" w:rsidP="001F58E6">
            <w:pPr>
              <w:rPr>
                <w:b/>
                <w:sz w:val="22"/>
              </w:rPr>
            </w:pPr>
          </w:p>
          <w:p w:rsidR="001F58E6" w:rsidRPr="001F58E6" w:rsidRDefault="001F58E6" w:rsidP="001F58E6">
            <w:pPr>
              <w:rPr>
                <w:b/>
                <w:sz w:val="22"/>
              </w:rPr>
            </w:pPr>
            <w:r>
              <w:rPr>
                <w:b/>
                <w:sz w:val="22"/>
              </w:rPr>
              <w:t>Communications</w:t>
            </w:r>
          </w:p>
        </w:tc>
        <w:tc>
          <w:tcPr>
            <w:tcW w:w="7786" w:type="dxa"/>
          </w:tcPr>
          <w:p w:rsidR="001F58E6" w:rsidRDefault="001F58E6" w:rsidP="001F58E6">
            <w:pPr>
              <w:rPr>
                <w:bCs/>
                <w:sz w:val="22"/>
              </w:rPr>
            </w:pPr>
            <w:r>
              <w:rPr>
                <w:bCs/>
                <w:sz w:val="22"/>
              </w:rPr>
              <w:t xml:space="preserve">The Deputy Director of Communications and Engagement presented a draft of the new Communications strategy. This will be shared with the Board and Governors for early input. The Committee welcomed the strategy and the proactive approach being taken with stakeholders. </w:t>
            </w:r>
          </w:p>
        </w:tc>
      </w:tr>
      <w:tr w:rsidR="001F58E6" w:rsidRPr="009334DB" w:rsidTr="001F58E6">
        <w:tc>
          <w:tcPr>
            <w:tcW w:w="2263" w:type="dxa"/>
          </w:tcPr>
          <w:p w:rsidR="001F58E6" w:rsidRDefault="001F58E6" w:rsidP="001F58E6">
            <w:pPr>
              <w:rPr>
                <w:b/>
                <w:sz w:val="22"/>
              </w:rPr>
            </w:pPr>
            <w:r>
              <w:rPr>
                <w:b/>
                <w:sz w:val="22"/>
              </w:rPr>
              <w:lastRenderedPageBreak/>
              <w:t>BAF risk: organisational development and resilience</w:t>
            </w:r>
          </w:p>
          <w:p w:rsidR="001F58E6" w:rsidRDefault="001F58E6" w:rsidP="001F58E6">
            <w:pPr>
              <w:rPr>
                <w:b/>
                <w:sz w:val="22"/>
              </w:rPr>
            </w:pPr>
          </w:p>
          <w:p w:rsidR="001F58E6" w:rsidRPr="0074324E" w:rsidRDefault="001F58E6" w:rsidP="001F58E6">
            <w:pPr>
              <w:rPr>
                <w:b/>
                <w:sz w:val="22"/>
              </w:rPr>
            </w:pPr>
            <w:r>
              <w:rPr>
                <w:b/>
                <w:sz w:val="22"/>
              </w:rPr>
              <w:t>Workforce planning</w:t>
            </w:r>
          </w:p>
        </w:tc>
        <w:tc>
          <w:tcPr>
            <w:tcW w:w="7786" w:type="dxa"/>
          </w:tcPr>
          <w:p w:rsidR="001F58E6" w:rsidRDefault="001F58E6" w:rsidP="001F58E6">
            <w:pPr>
              <w:rPr>
                <w:bCs/>
                <w:sz w:val="22"/>
              </w:rPr>
            </w:pPr>
            <w:r>
              <w:rPr>
                <w:bCs/>
                <w:sz w:val="22"/>
              </w:rPr>
              <w:t xml:space="preserve">The Committee reviewed the 2025/26 workforce savings against plan, and noted that targets were unlikely to be met, with only £16m savings estimated to be achieved out of a planned £45m. The Finance and Performance Committee (FPC) had discussed lessons learnt on this earlier. The main drivers related to temporary staffing reductions, especially medical bank staff, not being achieved. This remained a challenging area due to the priority of ensuring patient safety and meeting operational performance targets. </w:t>
            </w:r>
          </w:p>
          <w:p w:rsidR="001F58E6" w:rsidRPr="00F527A0" w:rsidRDefault="001F58E6" w:rsidP="001F58E6">
            <w:pPr>
              <w:rPr>
                <w:bCs/>
                <w:sz w:val="22"/>
              </w:rPr>
            </w:pPr>
            <w:r>
              <w:rPr>
                <w:bCs/>
                <w:sz w:val="22"/>
              </w:rPr>
              <w:t xml:space="preserve">The Chair requested a detailed workforce plan for 2026/27 be brought to the next Committee meeting, with key themes and leads identified. This would include some of the work from the </w:t>
            </w:r>
            <w:proofErr w:type="gramStart"/>
            <w:r>
              <w:rPr>
                <w:bCs/>
                <w:sz w:val="22"/>
              </w:rPr>
              <w:t>Zero Based</w:t>
            </w:r>
            <w:proofErr w:type="gramEnd"/>
            <w:r>
              <w:rPr>
                <w:bCs/>
                <w:sz w:val="22"/>
              </w:rPr>
              <w:t xml:space="preserve"> reviews being undertaken to look at service transformation, and also needed to reflect the wider system drivers in Kent &amp; Medway (K&amp;M). </w:t>
            </w:r>
          </w:p>
        </w:tc>
      </w:tr>
      <w:tr w:rsidR="001F58E6" w:rsidRPr="009334DB" w:rsidTr="001F58E6">
        <w:tc>
          <w:tcPr>
            <w:tcW w:w="2263" w:type="dxa"/>
          </w:tcPr>
          <w:p w:rsidR="001F58E6" w:rsidRDefault="001F58E6" w:rsidP="001F58E6">
            <w:pPr>
              <w:rPr>
                <w:b/>
                <w:sz w:val="22"/>
              </w:rPr>
            </w:pPr>
            <w:r>
              <w:rPr>
                <w:b/>
                <w:sz w:val="22"/>
              </w:rPr>
              <w:t>BAF risk: organisational development and resilience</w:t>
            </w:r>
          </w:p>
          <w:p w:rsidR="001F58E6" w:rsidRDefault="001F58E6" w:rsidP="001F58E6">
            <w:pPr>
              <w:rPr>
                <w:b/>
                <w:sz w:val="22"/>
              </w:rPr>
            </w:pPr>
          </w:p>
          <w:p w:rsidR="001F58E6" w:rsidRDefault="001F58E6" w:rsidP="001F58E6">
            <w:pPr>
              <w:rPr>
                <w:b/>
                <w:sz w:val="22"/>
              </w:rPr>
            </w:pPr>
          </w:p>
        </w:tc>
        <w:tc>
          <w:tcPr>
            <w:tcW w:w="7786" w:type="dxa"/>
          </w:tcPr>
          <w:p w:rsidR="001F58E6" w:rsidRDefault="001F58E6" w:rsidP="001F58E6">
            <w:pPr>
              <w:rPr>
                <w:bCs/>
                <w:sz w:val="22"/>
              </w:rPr>
            </w:pPr>
            <w:r>
              <w:rPr>
                <w:bCs/>
                <w:sz w:val="22"/>
              </w:rPr>
              <w:t>The Committee welcomed Dr Owez Madhani, who has recently been appointed by the Trust to support with the NHS England (NHSE) 10 year plan to improve working conditions for resident doctors.</w:t>
            </w:r>
          </w:p>
          <w:p w:rsidR="001F58E6" w:rsidRDefault="001F58E6" w:rsidP="001F58E6">
            <w:pPr>
              <w:rPr>
                <w:bCs/>
                <w:sz w:val="22"/>
              </w:rPr>
            </w:pPr>
            <w:r>
              <w:rPr>
                <w:bCs/>
                <w:sz w:val="22"/>
              </w:rPr>
              <w:t xml:space="preserve">Dr </w:t>
            </w:r>
            <w:proofErr w:type="spellStart"/>
            <w:r>
              <w:rPr>
                <w:bCs/>
                <w:sz w:val="22"/>
              </w:rPr>
              <w:t>Madhani</w:t>
            </w:r>
            <w:proofErr w:type="spellEnd"/>
            <w:r>
              <w:rPr>
                <w:bCs/>
                <w:sz w:val="22"/>
              </w:rPr>
              <w:t xml:space="preserve"> presented his feedback on each of the 10 areas at the Trust, with some concerns noted over parking for on call doctors, booking of annual leave, and support for wellbeing during rotations. Some improvements had already been actioned as related to rostering and Guardian of Safe Working (GoSW) requirements.</w:t>
            </w:r>
          </w:p>
          <w:p w:rsidR="001F58E6" w:rsidRPr="00E0128A" w:rsidRDefault="001F58E6" w:rsidP="001F58E6">
            <w:pPr>
              <w:rPr>
                <w:bCs/>
                <w:sz w:val="22"/>
              </w:rPr>
            </w:pPr>
            <w:r>
              <w:rPr>
                <w:bCs/>
                <w:sz w:val="22"/>
              </w:rPr>
              <w:t>Miss Elizabeth Sharp and Dr Kamal Ahmed presented th</w:t>
            </w:r>
            <w:r w:rsidRPr="00CA0B9A">
              <w:rPr>
                <w:bCs/>
                <w:sz w:val="22"/>
              </w:rPr>
              <w:t xml:space="preserve">e </w:t>
            </w:r>
            <w:r w:rsidRPr="00CA0B9A">
              <w:rPr>
                <w:sz w:val="22"/>
              </w:rPr>
              <w:t xml:space="preserve">GoSW </w:t>
            </w:r>
            <w:r w:rsidRPr="00CA0B9A">
              <w:rPr>
                <w:bCs/>
                <w:sz w:val="22"/>
              </w:rPr>
              <w:t>qu</w:t>
            </w:r>
            <w:r>
              <w:rPr>
                <w:bCs/>
                <w:sz w:val="22"/>
              </w:rPr>
              <w:t xml:space="preserve">arterly report. This gives assurance that doctors and dentists in training are safely rostered and that their working hours are compliant with their training terms and conditions. The team monitor exception reporting. Highest numbers of exception reports in Q4 were in Acute/Emergency Medicine, reflecting the acuity and number of patients. Work to establish numbers of resident doctors and locally employed doctors within the Trust and vacancy levels is ongoing. The report also included an update on the work to address historic backpay issues (from 2020-2024) around annual leave entitlements. The objective is to resolve all overdue payments for current staff within the current financial year. Entitlements have been correctly implemented since January 2025.  Concerns were highlighted around Vascular surgery and urology work and </w:t>
            </w:r>
            <w:r>
              <w:rPr>
                <w:bCs/>
                <w:sz w:val="22"/>
              </w:rPr>
              <w:lastRenderedPageBreak/>
              <w:t>training environment at Kent &amp; Canterbury Hospital (K&amp;C), with Foundation doctors consistently working beyond their scheduled hours and difficulty taking breaks. An action plan has been developed, however the main concern is the current number of doctors is insufficient to safely manage the workload and patient acuity.</w:t>
            </w:r>
          </w:p>
        </w:tc>
      </w:tr>
    </w:tbl>
    <w:p w:rsidR="001F58E6" w:rsidRPr="00CB347D" w:rsidRDefault="001F58E6" w:rsidP="001F58E6">
      <w:pPr>
        <w:pStyle w:val="Heading2"/>
        <w:shd w:val="clear" w:color="auto" w:fill="E8EDEE" w:themeFill="background2"/>
        <w:rPr>
          <w:b w:val="0"/>
          <w:bCs w:val="0"/>
          <w:szCs w:val="22"/>
        </w:rPr>
      </w:pPr>
      <w:bookmarkStart w:id="28" w:name="_Toc221093394"/>
      <w:r w:rsidRPr="001F20AE">
        <w:rPr>
          <w:szCs w:val="22"/>
        </w:rPr>
        <w:lastRenderedPageBreak/>
        <w:t>Other items of business</w:t>
      </w:r>
      <w:r>
        <w:rPr>
          <w:szCs w:val="22"/>
        </w:rPr>
        <w:t>: n</w:t>
      </w:r>
      <w:r w:rsidRPr="00CA0B9A">
        <w:rPr>
          <w:szCs w:val="22"/>
        </w:rPr>
        <w:t>one</w:t>
      </w:r>
      <w:bookmarkEnd w:id="28"/>
    </w:p>
    <w:p w:rsidR="001F58E6" w:rsidRPr="00CB347D" w:rsidRDefault="001F58E6" w:rsidP="001F58E6">
      <w:pPr>
        <w:pStyle w:val="Heading2"/>
        <w:shd w:val="clear" w:color="auto" w:fill="E8EDEE" w:themeFill="background2"/>
        <w:rPr>
          <w:szCs w:val="22"/>
        </w:rPr>
      </w:pPr>
      <w:bookmarkStart w:id="29" w:name="_Toc221093395"/>
      <w:r w:rsidRPr="001F20AE">
        <w:rPr>
          <w:szCs w:val="22"/>
        </w:rPr>
        <w:t>Actions taken by the Committee within its Terms of Reference:</w:t>
      </w:r>
      <w:r>
        <w:rPr>
          <w:szCs w:val="22"/>
        </w:rPr>
        <w:t xml:space="preserve"> none</w:t>
      </w:r>
      <w:bookmarkEnd w:id="29"/>
    </w:p>
    <w:p w:rsidR="001F58E6" w:rsidRDefault="001F58E6" w:rsidP="001F58E6">
      <w:pPr>
        <w:pStyle w:val="Heading2"/>
        <w:shd w:val="clear" w:color="auto" w:fill="E8EDEE" w:themeFill="background2"/>
        <w:rPr>
          <w:szCs w:val="22"/>
        </w:rPr>
      </w:pPr>
      <w:bookmarkStart w:id="30" w:name="_Toc221093396"/>
      <w:r w:rsidRPr="001F20AE">
        <w:rPr>
          <w:szCs w:val="22"/>
        </w:rPr>
        <w:t>Items to come back to the Committee outside its routine business c</w:t>
      </w:r>
      <w:r>
        <w:rPr>
          <w:szCs w:val="22"/>
        </w:rPr>
        <w:t>y</w:t>
      </w:r>
      <w:r w:rsidRPr="001F20AE">
        <w:rPr>
          <w:szCs w:val="22"/>
        </w:rPr>
        <w:t>cle:</w:t>
      </w:r>
      <w:r>
        <w:rPr>
          <w:szCs w:val="22"/>
        </w:rPr>
        <w:t xml:space="preserve"> none</w:t>
      </w:r>
      <w:bookmarkEnd w:id="30"/>
    </w:p>
    <w:p w:rsidR="001F58E6" w:rsidRPr="00CB347D" w:rsidRDefault="001F58E6" w:rsidP="001F58E6">
      <w:pPr>
        <w:pStyle w:val="Heading2"/>
        <w:shd w:val="clear" w:color="auto" w:fill="E8EDEE" w:themeFill="background2"/>
        <w:rPr>
          <w:szCs w:val="22"/>
        </w:rPr>
      </w:pPr>
      <w:bookmarkStart w:id="31" w:name="_Toc221093397"/>
      <w:r w:rsidRPr="001F20AE">
        <w:t xml:space="preserve">Items </w:t>
      </w:r>
      <w:r>
        <w:t xml:space="preserve">referred to the BoD or another Committee for approval, decision or action: </w:t>
      </w:r>
      <w:r w:rsidRPr="00CA0B9A">
        <w:t>none</w:t>
      </w:r>
      <w:bookmarkEnd w:id="31"/>
    </w:p>
    <w:p w:rsidR="001F58E6" w:rsidRDefault="001F58E6" w:rsidP="001F58E6">
      <w:pPr>
        <w:pStyle w:val="NoSpacing"/>
      </w:pPr>
    </w:p>
    <w:tbl>
      <w:tblPr>
        <w:tblStyle w:val="TableGridLight"/>
        <w:tblW w:w="0" w:type="auto"/>
        <w:tblLook w:val="0620" w:firstRow="1" w:lastRow="0" w:firstColumn="0" w:lastColumn="0" w:noHBand="1" w:noVBand="1"/>
      </w:tblPr>
      <w:tblGrid>
        <w:gridCol w:w="3349"/>
        <w:gridCol w:w="3350"/>
        <w:gridCol w:w="3350"/>
      </w:tblGrid>
      <w:tr w:rsidR="001F58E6" w:rsidRPr="00922A2D" w:rsidTr="001F58E6">
        <w:trPr>
          <w:cnfStyle w:val="100000000000" w:firstRow="1" w:lastRow="0" w:firstColumn="0" w:lastColumn="0" w:oddVBand="0" w:evenVBand="0" w:oddHBand="0" w:evenHBand="0" w:firstRowFirstColumn="0" w:firstRowLastColumn="0" w:lastRowFirstColumn="0" w:lastRowLastColumn="0"/>
        </w:trPr>
        <w:tc>
          <w:tcPr>
            <w:tcW w:w="3349" w:type="dxa"/>
          </w:tcPr>
          <w:p w:rsidR="001F58E6" w:rsidRPr="000E2526" w:rsidRDefault="001F58E6" w:rsidP="001F58E6">
            <w:pPr>
              <w:rPr>
                <w:rFonts w:cs="Arial"/>
                <w:b w:val="0"/>
                <w:sz w:val="22"/>
              </w:rPr>
            </w:pPr>
            <w:r w:rsidRPr="000E2526">
              <w:rPr>
                <w:rFonts w:cs="Arial"/>
                <w:sz w:val="22"/>
              </w:rPr>
              <w:t>Item</w:t>
            </w:r>
          </w:p>
        </w:tc>
        <w:tc>
          <w:tcPr>
            <w:tcW w:w="3350" w:type="dxa"/>
          </w:tcPr>
          <w:p w:rsidR="001F58E6" w:rsidRPr="000E2526" w:rsidRDefault="001F58E6" w:rsidP="001F58E6">
            <w:pPr>
              <w:rPr>
                <w:rFonts w:cs="Arial"/>
                <w:b w:val="0"/>
                <w:sz w:val="22"/>
              </w:rPr>
            </w:pPr>
            <w:r w:rsidRPr="000E2526">
              <w:rPr>
                <w:rFonts w:cs="Arial"/>
                <w:sz w:val="22"/>
              </w:rPr>
              <w:t>Purpose</w:t>
            </w:r>
          </w:p>
        </w:tc>
        <w:tc>
          <w:tcPr>
            <w:tcW w:w="3350" w:type="dxa"/>
          </w:tcPr>
          <w:p w:rsidR="001F58E6" w:rsidRPr="00922A2D" w:rsidRDefault="001F58E6" w:rsidP="001F58E6">
            <w:pPr>
              <w:rPr>
                <w:rFonts w:cs="Arial"/>
                <w:b w:val="0"/>
                <w:sz w:val="22"/>
              </w:rPr>
            </w:pPr>
            <w:r w:rsidRPr="000E2526">
              <w:rPr>
                <w:rFonts w:cs="Arial"/>
                <w:sz w:val="22"/>
              </w:rPr>
              <w:t>Date</w:t>
            </w:r>
          </w:p>
        </w:tc>
      </w:tr>
      <w:tr w:rsidR="001F58E6" w:rsidRPr="00922A2D" w:rsidTr="001F58E6">
        <w:tc>
          <w:tcPr>
            <w:tcW w:w="3349" w:type="dxa"/>
          </w:tcPr>
          <w:p w:rsidR="001F58E6" w:rsidRPr="001F58E6" w:rsidRDefault="001F58E6" w:rsidP="001F58E6">
            <w:pPr>
              <w:contextualSpacing/>
              <w:rPr>
                <w:rFonts w:cs="Arial"/>
                <w:b/>
                <w:sz w:val="22"/>
              </w:rPr>
            </w:pPr>
            <w:r>
              <w:rPr>
                <w:bCs/>
                <w:sz w:val="22"/>
              </w:rPr>
              <w:t xml:space="preserve">P&amp;CC </w:t>
            </w:r>
            <w:r w:rsidRPr="00A736EF">
              <w:rPr>
                <w:bCs/>
                <w:sz w:val="22"/>
              </w:rPr>
              <w:t xml:space="preserve">asks the BoD to discuss and </w:t>
            </w:r>
            <w:r w:rsidRPr="00A736EF">
              <w:rPr>
                <w:b/>
                <w:bCs/>
                <w:sz w:val="22"/>
              </w:rPr>
              <w:t>NOTE</w:t>
            </w:r>
            <w:r w:rsidRPr="00A736EF">
              <w:rPr>
                <w:bCs/>
                <w:sz w:val="22"/>
              </w:rPr>
              <w:t xml:space="preserve"> this </w:t>
            </w:r>
            <w:r>
              <w:rPr>
                <w:bCs/>
                <w:sz w:val="22"/>
              </w:rPr>
              <w:t>P&amp;CC</w:t>
            </w:r>
            <w:r w:rsidRPr="00A736EF">
              <w:rPr>
                <w:bCs/>
                <w:sz w:val="22"/>
              </w:rPr>
              <w:t xml:space="preserve"> Chair Assurance Report.</w:t>
            </w:r>
          </w:p>
        </w:tc>
        <w:tc>
          <w:tcPr>
            <w:tcW w:w="3350" w:type="dxa"/>
          </w:tcPr>
          <w:p w:rsidR="001F58E6" w:rsidRPr="001F58E6" w:rsidRDefault="001F58E6" w:rsidP="001F58E6">
            <w:pPr>
              <w:rPr>
                <w:rFonts w:cs="Arial"/>
                <w:sz w:val="22"/>
              </w:rPr>
            </w:pPr>
            <w:r w:rsidRPr="00FE49E2">
              <w:rPr>
                <w:rFonts w:cs="Arial"/>
                <w:sz w:val="22"/>
              </w:rPr>
              <w:t>Assurance</w:t>
            </w:r>
          </w:p>
        </w:tc>
        <w:tc>
          <w:tcPr>
            <w:tcW w:w="3350" w:type="dxa"/>
          </w:tcPr>
          <w:p w:rsidR="001F58E6" w:rsidRPr="001F58E6" w:rsidRDefault="001F58E6" w:rsidP="001F58E6">
            <w:pPr>
              <w:rPr>
                <w:rFonts w:cs="Arial"/>
                <w:sz w:val="22"/>
              </w:rPr>
            </w:pPr>
            <w:r>
              <w:rPr>
                <w:rFonts w:cs="Arial"/>
                <w:sz w:val="22"/>
              </w:rPr>
              <w:t xml:space="preserve">5 February </w:t>
            </w:r>
            <w:r w:rsidRPr="0093524E">
              <w:rPr>
                <w:rFonts w:cs="Arial"/>
                <w:sz w:val="22"/>
              </w:rPr>
              <w:t>202</w:t>
            </w:r>
            <w:r>
              <w:rPr>
                <w:rFonts w:cs="Arial"/>
                <w:sz w:val="22"/>
              </w:rPr>
              <w:t>6</w:t>
            </w:r>
          </w:p>
        </w:tc>
      </w:tr>
    </w:tbl>
    <w:p w:rsidR="001F58E6" w:rsidRPr="00CD6F78" w:rsidRDefault="001F58E6" w:rsidP="001F58E6">
      <w:pPr>
        <w:rPr>
          <w:color w:val="000000"/>
          <w:sz w:val="22"/>
        </w:rPr>
      </w:pPr>
    </w:p>
    <w:p w:rsidR="001F58E6" w:rsidRDefault="001F58E6" w:rsidP="001F58E6">
      <w:pPr>
        <w:pStyle w:val="NoSpacing"/>
        <w:sectPr w:rsidR="001F58E6" w:rsidSect="001F58E6">
          <w:headerReference w:type="even" r:id="rId29"/>
          <w:headerReference w:type="default" r:id="rId30"/>
          <w:footerReference w:type="even" r:id="rId31"/>
          <w:footerReference w:type="default" r:id="rId32"/>
          <w:headerReference w:type="first" r:id="rId33"/>
          <w:pgSz w:w="11906" w:h="16838" w:code="9"/>
          <w:pgMar w:top="2109" w:right="707" w:bottom="426" w:left="1140" w:header="426" w:footer="384" w:gutter="0"/>
          <w:cols w:space="720"/>
        </w:sectPr>
      </w:pPr>
    </w:p>
    <w:p w:rsidR="001F58E6" w:rsidRPr="001F58E6" w:rsidRDefault="001F58E6" w:rsidP="001F58E6">
      <w:pPr>
        <w:pStyle w:val="NoSpacing"/>
        <w:jc w:val="center"/>
        <w:rPr>
          <w:b/>
          <w:color w:val="FF0000"/>
        </w:rPr>
      </w:pPr>
      <w:r w:rsidRPr="001F58E6">
        <w:rPr>
          <w:b/>
        </w:rPr>
        <w:lastRenderedPageBreak/>
        <w:t>REPORT TO BOARD OF DIRECTORS (BoD)</w:t>
      </w:r>
    </w:p>
    <w:p w:rsidR="001F58E6" w:rsidRPr="001F58E6" w:rsidRDefault="0093618F" w:rsidP="001F58E6">
      <w:pPr>
        <w:pStyle w:val="Heading1"/>
      </w:pPr>
      <w:bookmarkStart w:id="32" w:name="_Toc221093398"/>
      <w:r>
        <w:t xml:space="preserve">122.4.1 </w:t>
      </w:r>
      <w:r w:rsidR="001F58E6">
        <w:t>Report title</w:t>
      </w:r>
      <w:r w:rsidR="001F58E6" w:rsidRPr="0008759A">
        <w:t xml:space="preserve">: </w:t>
      </w:r>
      <w:r w:rsidR="001F58E6">
        <w:t>10 Point Plan to improve resident doctors’ working lives</w:t>
      </w:r>
      <w:bookmarkEnd w:id="32"/>
    </w:p>
    <w:p w:rsidR="001F58E6" w:rsidRPr="001F58E6" w:rsidRDefault="001F58E6" w:rsidP="001F58E6">
      <w:pPr>
        <w:rPr>
          <w:b/>
          <w:sz w:val="22"/>
        </w:rPr>
      </w:pPr>
      <w:r w:rsidRPr="00ED3E3A">
        <w:rPr>
          <w:b/>
          <w:sz w:val="22"/>
        </w:rPr>
        <w:t xml:space="preserve">Meeting date: </w:t>
      </w:r>
      <w:r w:rsidRPr="00ED3E3A">
        <w:rPr>
          <w:b/>
          <w:sz w:val="22"/>
        </w:rPr>
        <w:tab/>
      </w:r>
      <w:r>
        <w:rPr>
          <w:b/>
          <w:sz w:val="22"/>
        </w:rPr>
        <w:t>5 February 2026</w:t>
      </w:r>
    </w:p>
    <w:p w:rsidR="001F58E6" w:rsidRPr="001F58E6" w:rsidRDefault="001F58E6" w:rsidP="001F58E6">
      <w:pPr>
        <w:rPr>
          <w:b/>
          <w:color w:val="FF0000"/>
          <w:sz w:val="22"/>
        </w:rPr>
      </w:pPr>
      <w:r w:rsidRPr="00ED3E3A">
        <w:rPr>
          <w:b/>
          <w:sz w:val="22"/>
        </w:rPr>
        <w:t xml:space="preserve">Board sponsor: </w:t>
      </w:r>
      <w:r w:rsidRPr="00ED3E3A">
        <w:rPr>
          <w:b/>
          <w:sz w:val="22"/>
        </w:rPr>
        <w:tab/>
      </w:r>
      <w:r>
        <w:rPr>
          <w:b/>
          <w:sz w:val="22"/>
        </w:rPr>
        <w:t>Helen Mackie, Acting Chief Medical Officer (CMO)</w:t>
      </w:r>
    </w:p>
    <w:p w:rsidR="001F58E6" w:rsidRPr="00ED3E3A" w:rsidRDefault="001F58E6" w:rsidP="001F58E6">
      <w:pPr>
        <w:rPr>
          <w:b/>
          <w:color w:val="FF0000"/>
          <w:sz w:val="22"/>
        </w:rPr>
      </w:pPr>
      <w:r w:rsidRPr="00ED3E3A">
        <w:rPr>
          <w:b/>
          <w:sz w:val="22"/>
        </w:rPr>
        <w:t xml:space="preserve">Paper Author: </w:t>
      </w:r>
      <w:r w:rsidRPr="00ED3E3A">
        <w:rPr>
          <w:b/>
          <w:sz w:val="22"/>
        </w:rPr>
        <w:tab/>
      </w:r>
      <w:r>
        <w:rPr>
          <w:b/>
          <w:sz w:val="22"/>
        </w:rPr>
        <w:t>Owez Madhani, R</w:t>
      </w:r>
      <w:r w:rsidRPr="009353AE">
        <w:rPr>
          <w:b/>
          <w:sz w:val="22"/>
        </w:rPr>
        <w:t xml:space="preserve">esident </w:t>
      </w:r>
      <w:r>
        <w:rPr>
          <w:b/>
          <w:sz w:val="22"/>
        </w:rPr>
        <w:t>D</w:t>
      </w:r>
      <w:r w:rsidRPr="009353AE">
        <w:rPr>
          <w:b/>
          <w:sz w:val="22"/>
        </w:rPr>
        <w:t xml:space="preserve">octor </w:t>
      </w:r>
      <w:r>
        <w:rPr>
          <w:b/>
          <w:sz w:val="22"/>
        </w:rPr>
        <w:t>P</w:t>
      </w:r>
      <w:r w:rsidRPr="009353AE">
        <w:rPr>
          <w:b/>
          <w:sz w:val="22"/>
        </w:rPr>
        <w:t xml:space="preserve">eer </w:t>
      </w:r>
      <w:r>
        <w:rPr>
          <w:b/>
          <w:sz w:val="22"/>
        </w:rPr>
        <w:t>L</w:t>
      </w:r>
      <w:r w:rsidRPr="009353AE">
        <w:rPr>
          <w:b/>
          <w:sz w:val="22"/>
        </w:rPr>
        <w:t xml:space="preserve">ead </w:t>
      </w:r>
    </w:p>
    <w:p w:rsidR="001F58E6" w:rsidRPr="001F58E6" w:rsidRDefault="001F58E6" w:rsidP="001F58E6">
      <w:pPr>
        <w:pStyle w:val="Heading2"/>
        <w:shd w:val="clear" w:color="auto" w:fill="E8EDEE" w:themeFill="background2"/>
        <w:tabs>
          <w:tab w:val="left" w:pos="2552"/>
          <w:tab w:val="left" w:pos="4536"/>
          <w:tab w:val="left" w:pos="6237"/>
          <w:tab w:val="left" w:pos="8364"/>
        </w:tabs>
        <w:spacing w:after="0"/>
        <w:rPr>
          <w:szCs w:val="22"/>
        </w:rPr>
      </w:pPr>
      <w:bookmarkStart w:id="33" w:name="_Toc221093399"/>
      <w:r w:rsidRPr="009334DB">
        <w:rPr>
          <w:szCs w:val="22"/>
        </w:rPr>
        <w:t>Appendices:</w:t>
      </w:r>
      <w:bookmarkEnd w:id="33"/>
    </w:p>
    <w:p w:rsidR="001F58E6" w:rsidRPr="001F58E6" w:rsidRDefault="001F58E6" w:rsidP="001F58E6">
      <w:pPr>
        <w:rPr>
          <w:sz w:val="22"/>
        </w:rPr>
      </w:pPr>
      <w:r w:rsidRPr="007E39D3">
        <w:rPr>
          <w:sz w:val="22"/>
        </w:rPr>
        <w:t xml:space="preserve">Appendix 1:  </w:t>
      </w:r>
      <w:r>
        <w:rPr>
          <w:sz w:val="22"/>
        </w:rPr>
        <w:t>10 Point Plan presentation</w:t>
      </w:r>
    </w:p>
    <w:p w:rsidR="001F58E6" w:rsidRDefault="001F58E6" w:rsidP="001F58E6">
      <w:pPr>
        <w:pStyle w:val="Heading2"/>
        <w:shd w:val="clear" w:color="auto" w:fill="E8EDEE" w:themeFill="background2"/>
        <w:spacing w:after="0"/>
        <w:rPr>
          <w:szCs w:val="22"/>
        </w:rPr>
      </w:pPr>
      <w:bookmarkStart w:id="34" w:name="_Toc221093400"/>
      <w:r>
        <w:rPr>
          <w:szCs w:val="22"/>
        </w:rPr>
        <w:t>Executive summary</w:t>
      </w:r>
      <w:r w:rsidRPr="009334DB">
        <w:rPr>
          <w:szCs w:val="22"/>
        </w:rPr>
        <w:t>:</w:t>
      </w:r>
      <w:bookmarkEnd w:id="34"/>
    </w:p>
    <w:p w:rsidR="001F58E6" w:rsidRPr="00A44E6A" w:rsidRDefault="001F58E6" w:rsidP="001F58E6"/>
    <w:tbl>
      <w:tblPr>
        <w:tblStyle w:val="TableGridLight"/>
        <w:tblW w:w="0" w:type="auto"/>
        <w:tblLook w:val="0620" w:firstRow="1" w:lastRow="0" w:firstColumn="0" w:lastColumn="0" w:noHBand="1" w:noVBand="1"/>
      </w:tblPr>
      <w:tblGrid>
        <w:gridCol w:w="2263"/>
        <w:gridCol w:w="7786"/>
      </w:tblGrid>
      <w:tr w:rsidR="001F58E6" w:rsidRPr="009334DB" w:rsidTr="001F58E6">
        <w:trPr>
          <w:cnfStyle w:val="100000000000" w:firstRow="1" w:lastRow="0" w:firstColumn="0" w:lastColumn="0" w:oddVBand="0" w:evenVBand="0" w:oddHBand="0" w:evenHBand="0" w:firstRowFirstColumn="0" w:firstRowLastColumn="0" w:lastRowFirstColumn="0" w:lastRowLastColumn="0"/>
        </w:trPr>
        <w:tc>
          <w:tcPr>
            <w:tcW w:w="2263" w:type="dxa"/>
          </w:tcPr>
          <w:p w:rsidR="001F58E6" w:rsidRDefault="001F58E6" w:rsidP="001F58E6">
            <w:pPr>
              <w:rPr>
                <w:b w:val="0"/>
                <w:sz w:val="22"/>
              </w:rPr>
            </w:pPr>
            <w:r w:rsidRPr="00844CC8">
              <w:rPr>
                <w:sz w:val="22"/>
              </w:rPr>
              <w:t>Action required:</w:t>
            </w:r>
          </w:p>
        </w:tc>
        <w:tc>
          <w:tcPr>
            <w:tcW w:w="7786" w:type="dxa"/>
          </w:tcPr>
          <w:p w:rsidR="001F58E6" w:rsidRPr="0093618F" w:rsidRDefault="001F58E6" w:rsidP="001F58E6">
            <w:pPr>
              <w:rPr>
                <w:b w:val="0"/>
                <w:i/>
                <w:sz w:val="22"/>
              </w:rPr>
            </w:pPr>
            <w:r w:rsidRPr="007E39D3">
              <w:rPr>
                <w:sz w:val="22"/>
              </w:rPr>
              <w:t>Discussion</w:t>
            </w:r>
          </w:p>
        </w:tc>
      </w:tr>
      <w:tr w:rsidR="001F58E6" w:rsidRPr="009334DB" w:rsidTr="001F58E6">
        <w:tc>
          <w:tcPr>
            <w:tcW w:w="2263" w:type="dxa"/>
          </w:tcPr>
          <w:p w:rsidR="001F58E6" w:rsidRPr="001A5315" w:rsidRDefault="001F58E6" w:rsidP="001F58E6">
            <w:pPr>
              <w:rPr>
                <w:b/>
                <w:color w:val="FF0000"/>
                <w:sz w:val="22"/>
              </w:rPr>
            </w:pPr>
            <w:r>
              <w:rPr>
                <w:b/>
                <w:sz w:val="22"/>
              </w:rPr>
              <w:t>Purpose of the Report:</w:t>
            </w:r>
          </w:p>
        </w:tc>
        <w:tc>
          <w:tcPr>
            <w:tcW w:w="7786" w:type="dxa"/>
          </w:tcPr>
          <w:p w:rsidR="001F58E6" w:rsidRDefault="001F58E6" w:rsidP="001F58E6">
            <w:pPr>
              <w:rPr>
                <w:sz w:val="22"/>
              </w:rPr>
            </w:pPr>
            <w:r w:rsidRPr="009353AE">
              <w:rPr>
                <w:sz w:val="22"/>
              </w:rPr>
              <w:t xml:space="preserve">Supported by </w:t>
            </w:r>
            <w:r>
              <w:rPr>
                <w:sz w:val="22"/>
              </w:rPr>
              <w:t xml:space="preserve">the clear </w:t>
            </w:r>
            <w:r w:rsidRPr="009353AE">
              <w:rPr>
                <w:sz w:val="22"/>
              </w:rPr>
              <w:t>commitment to staff under the</w:t>
            </w:r>
            <w:r>
              <w:rPr>
                <w:sz w:val="22"/>
              </w:rPr>
              <w:t xml:space="preserve"> Department of Health and Social Care</w:t>
            </w:r>
            <w:r w:rsidRPr="009353AE">
              <w:rPr>
                <w:sz w:val="22"/>
              </w:rPr>
              <w:t xml:space="preserve"> </w:t>
            </w:r>
            <w:r>
              <w:rPr>
                <w:sz w:val="22"/>
              </w:rPr>
              <w:t xml:space="preserve">(DoHSC) </w:t>
            </w:r>
            <w:r w:rsidRPr="009353AE">
              <w:rPr>
                <w:sz w:val="22"/>
              </w:rPr>
              <w:t>10 Year Health Plan for England, NHS England set</w:t>
            </w:r>
            <w:r>
              <w:rPr>
                <w:sz w:val="22"/>
              </w:rPr>
              <w:t xml:space="preserve"> </w:t>
            </w:r>
            <w:r w:rsidRPr="009353AE">
              <w:rPr>
                <w:sz w:val="22"/>
              </w:rPr>
              <w:t xml:space="preserve">out 10 ways in which NHS England and individual trusts </w:t>
            </w:r>
            <w:r>
              <w:rPr>
                <w:sz w:val="22"/>
              </w:rPr>
              <w:t xml:space="preserve">are required to </w:t>
            </w:r>
            <w:r w:rsidRPr="009353AE">
              <w:rPr>
                <w:sz w:val="22"/>
              </w:rPr>
              <w:t>improv</w:t>
            </w:r>
            <w:r>
              <w:rPr>
                <w:sz w:val="22"/>
              </w:rPr>
              <w:t xml:space="preserve">e </w:t>
            </w:r>
            <w:r w:rsidRPr="009353AE">
              <w:rPr>
                <w:sz w:val="22"/>
              </w:rPr>
              <w:t>resident doctors working conditions.</w:t>
            </w:r>
            <w:r>
              <w:rPr>
                <w:sz w:val="22"/>
              </w:rPr>
              <w:t xml:space="preserve"> </w:t>
            </w:r>
            <w:r w:rsidRPr="009353AE">
              <w:rPr>
                <w:sz w:val="22"/>
              </w:rPr>
              <w:t>To ensure meaningful progress, it will be formally incorporated into the new NHS Oversight Framework.</w:t>
            </w:r>
          </w:p>
          <w:p w:rsidR="001F58E6" w:rsidRDefault="001F58E6" w:rsidP="001F58E6">
            <w:pPr>
              <w:rPr>
                <w:sz w:val="22"/>
              </w:rPr>
            </w:pPr>
            <w:r w:rsidRPr="009353AE">
              <w:rPr>
                <w:sz w:val="22"/>
              </w:rPr>
              <w:t>Trusts are also expected to develop a Board Assurance Framework to provide oversight of this work. The outcomes should be included in their annual reports to demonstrate accountability and progress.</w:t>
            </w:r>
          </w:p>
          <w:p w:rsidR="001F58E6" w:rsidRDefault="001F58E6" w:rsidP="001F58E6">
            <w:pPr>
              <w:rPr>
                <w:sz w:val="22"/>
              </w:rPr>
            </w:pPr>
            <w:r w:rsidRPr="00C9049F">
              <w:rPr>
                <w:sz w:val="22"/>
              </w:rPr>
              <w:t>The attached presentation</w:t>
            </w:r>
            <w:r>
              <w:rPr>
                <w:sz w:val="22"/>
              </w:rPr>
              <w:t>,</w:t>
            </w:r>
            <w:r w:rsidRPr="00C9049F">
              <w:rPr>
                <w:sz w:val="22"/>
              </w:rPr>
              <w:t xml:space="preserve"> </w:t>
            </w:r>
            <w:r>
              <w:rPr>
                <w:sz w:val="22"/>
              </w:rPr>
              <w:t>provided initially to the People &amp; Culture Committee, sets out East Kent’s approach to the NHSE’s 10 Point Plan and ensuring we get the basics right for resident doctors.</w:t>
            </w:r>
          </w:p>
          <w:p w:rsidR="001F58E6" w:rsidRPr="00C9049F" w:rsidRDefault="001F58E6" w:rsidP="001F58E6">
            <w:pPr>
              <w:rPr>
                <w:sz w:val="22"/>
              </w:rPr>
            </w:pPr>
            <w:r>
              <w:rPr>
                <w:sz w:val="22"/>
              </w:rPr>
              <w:t>Progress is required to be reported to the Board through its committees and directly, which we have committed to do.  Where actions are not met, a formal explanation and corrective measures should be provided.</w:t>
            </w:r>
          </w:p>
        </w:tc>
      </w:tr>
      <w:tr w:rsidR="001F58E6" w:rsidTr="001F58E6">
        <w:tc>
          <w:tcPr>
            <w:tcW w:w="2263" w:type="dxa"/>
          </w:tcPr>
          <w:p w:rsidR="001F58E6" w:rsidRPr="0075639A" w:rsidRDefault="001F58E6" w:rsidP="001F58E6">
            <w:pPr>
              <w:rPr>
                <w:b/>
                <w:color w:val="FF0000"/>
              </w:rPr>
            </w:pPr>
            <w:r>
              <w:rPr>
                <w:b/>
                <w:sz w:val="22"/>
              </w:rPr>
              <w:lastRenderedPageBreak/>
              <w:t>Summary of key issues:</w:t>
            </w:r>
          </w:p>
        </w:tc>
        <w:tc>
          <w:tcPr>
            <w:tcW w:w="7786" w:type="dxa"/>
          </w:tcPr>
          <w:p w:rsidR="001F58E6" w:rsidRDefault="001F58E6" w:rsidP="001F58E6">
            <w:pPr>
              <w:rPr>
                <w:sz w:val="22"/>
              </w:rPr>
            </w:pPr>
            <w:r>
              <w:rPr>
                <w:sz w:val="22"/>
              </w:rPr>
              <w:t>Summary of the 10 Point Plan:</w:t>
            </w:r>
          </w:p>
          <w:p w:rsidR="001F58E6" w:rsidRDefault="001F58E6" w:rsidP="001F58E6">
            <w:pPr>
              <w:pStyle w:val="ListParagraph"/>
              <w:numPr>
                <w:ilvl w:val="0"/>
                <w:numId w:val="28"/>
              </w:numPr>
              <w:spacing w:after="0" w:line="240" w:lineRule="auto"/>
              <w:contextualSpacing w:val="0"/>
              <w:rPr>
                <w:sz w:val="22"/>
              </w:rPr>
            </w:pPr>
            <w:r>
              <w:rPr>
                <w:sz w:val="22"/>
              </w:rPr>
              <w:t xml:space="preserve">Trusts should </w:t>
            </w:r>
            <w:proofErr w:type="gramStart"/>
            <w:r>
              <w:rPr>
                <w:sz w:val="22"/>
              </w:rPr>
              <w:t>take action</w:t>
            </w:r>
            <w:proofErr w:type="gramEnd"/>
            <w:r>
              <w:rPr>
                <w:sz w:val="22"/>
              </w:rPr>
              <w:t xml:space="preserve"> to improve the working environment and wellbeing of resident doctors.</w:t>
            </w:r>
          </w:p>
          <w:p w:rsidR="001F58E6" w:rsidRPr="0002107D" w:rsidRDefault="001F58E6" w:rsidP="001F58E6">
            <w:pPr>
              <w:pStyle w:val="ListParagraph"/>
              <w:numPr>
                <w:ilvl w:val="0"/>
                <w:numId w:val="28"/>
              </w:numPr>
              <w:spacing w:after="0" w:line="240" w:lineRule="auto"/>
              <w:contextualSpacing w:val="0"/>
              <w:rPr>
                <w:sz w:val="22"/>
              </w:rPr>
            </w:pPr>
            <w:r>
              <w:rPr>
                <w:sz w:val="22"/>
              </w:rPr>
              <w:t xml:space="preserve">Resident doctors must receive work schedules and </w:t>
            </w:r>
            <w:r w:rsidRPr="0002107D">
              <w:rPr>
                <w:rFonts w:cs="Arial"/>
                <w:sz w:val="22"/>
              </w:rPr>
              <w:t>rota information in line with the Code of Practice</w:t>
            </w:r>
            <w:r>
              <w:rPr>
                <w:rFonts w:cs="Arial"/>
                <w:sz w:val="22"/>
              </w:rPr>
              <w:t>.</w:t>
            </w:r>
          </w:p>
          <w:p w:rsidR="001F58E6" w:rsidRPr="0002107D" w:rsidRDefault="001F58E6" w:rsidP="001F58E6">
            <w:pPr>
              <w:pStyle w:val="ListParagraph"/>
              <w:numPr>
                <w:ilvl w:val="0"/>
                <w:numId w:val="28"/>
              </w:numPr>
              <w:spacing w:after="0" w:line="240" w:lineRule="auto"/>
              <w:contextualSpacing w:val="0"/>
              <w:rPr>
                <w:rFonts w:cs="Arial"/>
                <w:sz w:val="22"/>
              </w:rPr>
            </w:pPr>
            <w:r w:rsidRPr="0002107D">
              <w:rPr>
                <w:rFonts w:cs="Arial"/>
                <w:sz w:val="22"/>
              </w:rPr>
              <w:t>Resident doctors should be able to take annual leave in a fair and equitable way which enables wellbeing.</w:t>
            </w:r>
          </w:p>
          <w:p w:rsidR="001F58E6" w:rsidRPr="0002107D" w:rsidRDefault="001F58E6" w:rsidP="001F58E6">
            <w:pPr>
              <w:pStyle w:val="ListParagraph"/>
              <w:numPr>
                <w:ilvl w:val="0"/>
                <w:numId w:val="28"/>
              </w:numPr>
              <w:spacing w:after="0" w:line="240" w:lineRule="auto"/>
              <w:contextualSpacing w:val="0"/>
              <w:rPr>
                <w:rFonts w:cs="Arial"/>
                <w:sz w:val="22"/>
              </w:rPr>
            </w:pPr>
            <w:r w:rsidRPr="0002107D">
              <w:rPr>
                <w:rFonts w:cs="Arial"/>
                <w:sz w:val="22"/>
              </w:rPr>
              <w:t>All NHS trust boards should appoint 2 named leads: one senior leader responsible for resident doctor issues, and one peer representative who is a resident doctor. Both should report to trust boards.</w:t>
            </w:r>
          </w:p>
          <w:p w:rsidR="001F58E6" w:rsidRPr="0002107D" w:rsidRDefault="001F58E6" w:rsidP="001F58E6">
            <w:pPr>
              <w:pStyle w:val="ListParagraph"/>
              <w:numPr>
                <w:ilvl w:val="0"/>
                <w:numId w:val="28"/>
              </w:numPr>
              <w:spacing w:after="0" w:line="240" w:lineRule="auto"/>
              <w:contextualSpacing w:val="0"/>
              <w:rPr>
                <w:rFonts w:cs="Arial"/>
                <w:sz w:val="22"/>
              </w:rPr>
            </w:pPr>
            <w:r w:rsidRPr="0002107D">
              <w:rPr>
                <w:rFonts w:cs="Arial"/>
                <w:sz w:val="22"/>
              </w:rPr>
              <w:t>Resident doctors should never experience payroll errors due to rotations.</w:t>
            </w:r>
          </w:p>
          <w:p w:rsidR="001F58E6" w:rsidRPr="0002107D" w:rsidRDefault="001F58E6" w:rsidP="001F58E6">
            <w:pPr>
              <w:pStyle w:val="ListParagraph"/>
              <w:numPr>
                <w:ilvl w:val="0"/>
                <w:numId w:val="28"/>
              </w:numPr>
              <w:spacing w:after="0" w:line="240" w:lineRule="auto"/>
              <w:contextualSpacing w:val="0"/>
              <w:rPr>
                <w:rFonts w:cs="Arial"/>
                <w:sz w:val="22"/>
              </w:rPr>
            </w:pPr>
            <w:r w:rsidRPr="0002107D">
              <w:rPr>
                <w:rFonts w:cs="Arial"/>
                <w:sz w:val="22"/>
              </w:rPr>
              <w:t>No resident doctor will unnecessarily repeat statutory and mandatory training when rotating.</w:t>
            </w:r>
          </w:p>
          <w:p w:rsidR="001F58E6" w:rsidRPr="0002107D" w:rsidRDefault="001F58E6" w:rsidP="001F58E6">
            <w:pPr>
              <w:pStyle w:val="ListParagraph"/>
              <w:numPr>
                <w:ilvl w:val="0"/>
                <w:numId w:val="28"/>
              </w:numPr>
              <w:spacing w:after="0" w:line="240" w:lineRule="auto"/>
              <w:contextualSpacing w:val="0"/>
              <w:rPr>
                <w:rFonts w:cs="Arial"/>
                <w:sz w:val="22"/>
              </w:rPr>
            </w:pPr>
            <w:r w:rsidRPr="0002107D">
              <w:rPr>
                <w:rFonts w:cs="Arial"/>
                <w:sz w:val="22"/>
              </w:rPr>
              <w:t>Resident doctors must be enabled and encouraged to Exception Report to better support doctors working beyond their contracted hours.</w:t>
            </w:r>
          </w:p>
          <w:p w:rsidR="001F58E6" w:rsidRPr="0002107D" w:rsidRDefault="001F58E6" w:rsidP="001F58E6">
            <w:pPr>
              <w:pStyle w:val="ListParagraph"/>
              <w:numPr>
                <w:ilvl w:val="0"/>
                <w:numId w:val="28"/>
              </w:numPr>
              <w:spacing w:after="0" w:line="240" w:lineRule="auto"/>
              <w:contextualSpacing w:val="0"/>
              <w:rPr>
                <w:rFonts w:cs="Arial"/>
                <w:sz w:val="22"/>
              </w:rPr>
            </w:pPr>
            <w:r w:rsidRPr="0002107D">
              <w:rPr>
                <w:rFonts w:cs="Arial"/>
                <w:sz w:val="22"/>
              </w:rPr>
              <w:t>Resident doctors should receive reimbursement of course related expenses as soon as possible.</w:t>
            </w:r>
          </w:p>
          <w:p w:rsidR="001F58E6" w:rsidRPr="0002107D" w:rsidRDefault="001F58E6" w:rsidP="001F58E6">
            <w:pPr>
              <w:pStyle w:val="ListParagraph"/>
              <w:numPr>
                <w:ilvl w:val="0"/>
                <w:numId w:val="28"/>
              </w:numPr>
              <w:spacing w:after="0" w:line="240" w:lineRule="auto"/>
              <w:contextualSpacing w:val="0"/>
              <w:rPr>
                <w:rFonts w:cs="Arial"/>
                <w:sz w:val="22"/>
              </w:rPr>
            </w:pPr>
            <w:r w:rsidRPr="0002107D">
              <w:rPr>
                <w:rFonts w:cs="Arial"/>
                <w:sz w:val="22"/>
              </w:rPr>
              <w:t>We will reduce the impact of rotations upon resident doctors’ lives while maintaining service delivery.</w:t>
            </w:r>
          </w:p>
          <w:p w:rsidR="001F58E6" w:rsidRDefault="001F58E6" w:rsidP="001F58E6">
            <w:pPr>
              <w:pStyle w:val="ListParagraph"/>
              <w:numPr>
                <w:ilvl w:val="0"/>
                <w:numId w:val="28"/>
              </w:numPr>
              <w:spacing w:after="0" w:line="240" w:lineRule="auto"/>
              <w:contextualSpacing w:val="0"/>
              <w:rPr>
                <w:rFonts w:cs="Arial"/>
                <w:sz w:val="22"/>
              </w:rPr>
            </w:pPr>
            <w:r w:rsidRPr="0002107D">
              <w:rPr>
                <w:rFonts w:cs="Arial"/>
                <w:sz w:val="22"/>
              </w:rPr>
              <w:t>We will minimise the practical impact upon resident doctors of having to move employers when they rotate.</w:t>
            </w:r>
          </w:p>
          <w:p w:rsidR="0093618F" w:rsidRDefault="0093618F" w:rsidP="001F58E6">
            <w:pPr>
              <w:rPr>
                <w:rFonts w:cs="Arial"/>
                <w:sz w:val="22"/>
              </w:rPr>
            </w:pPr>
          </w:p>
          <w:p w:rsidR="001F58E6" w:rsidRDefault="001F58E6" w:rsidP="001F58E6">
            <w:pPr>
              <w:rPr>
                <w:rFonts w:cs="Arial"/>
                <w:sz w:val="22"/>
              </w:rPr>
            </w:pPr>
            <w:r>
              <w:rPr>
                <w:rFonts w:cs="Arial"/>
                <w:sz w:val="22"/>
              </w:rPr>
              <w:t xml:space="preserve">The presentation highlights the Trust’s initial focus and actions in respect of each of these – see attached. </w:t>
            </w:r>
          </w:p>
          <w:p w:rsidR="0093618F" w:rsidRDefault="0093618F" w:rsidP="001F58E6">
            <w:pPr>
              <w:rPr>
                <w:rFonts w:cs="Arial"/>
                <w:sz w:val="22"/>
              </w:rPr>
            </w:pPr>
          </w:p>
          <w:p w:rsidR="001F58E6" w:rsidRDefault="001F58E6" w:rsidP="001F58E6">
            <w:pPr>
              <w:rPr>
                <w:rFonts w:cs="Arial"/>
                <w:sz w:val="22"/>
              </w:rPr>
            </w:pPr>
            <w:r>
              <w:rPr>
                <w:rFonts w:cs="Arial"/>
                <w:sz w:val="22"/>
              </w:rPr>
              <w:t>In summary:</w:t>
            </w:r>
          </w:p>
          <w:p w:rsidR="001F58E6" w:rsidRPr="00BC2311" w:rsidRDefault="001F58E6" w:rsidP="001F58E6">
            <w:pPr>
              <w:numPr>
                <w:ilvl w:val="0"/>
                <w:numId w:val="29"/>
              </w:numPr>
              <w:spacing w:after="0" w:line="240" w:lineRule="auto"/>
              <w:rPr>
                <w:rFonts w:cs="Arial"/>
                <w:sz w:val="22"/>
              </w:rPr>
            </w:pPr>
            <w:r w:rsidRPr="00BC2311">
              <w:rPr>
                <w:rFonts w:cs="Arial"/>
                <w:sz w:val="22"/>
              </w:rPr>
              <w:t xml:space="preserve">NHS </w:t>
            </w:r>
            <w:proofErr w:type="gramStart"/>
            <w:r w:rsidRPr="00BC2311">
              <w:rPr>
                <w:rFonts w:cs="Arial"/>
                <w:sz w:val="22"/>
              </w:rPr>
              <w:t>10 point</w:t>
            </w:r>
            <w:proofErr w:type="gramEnd"/>
            <w:r w:rsidRPr="00BC2311">
              <w:rPr>
                <w:rFonts w:cs="Arial"/>
                <w:sz w:val="22"/>
              </w:rPr>
              <w:t xml:space="preserve"> plan – August 2025</w:t>
            </w:r>
          </w:p>
          <w:p w:rsidR="001F58E6" w:rsidRPr="00BC2311" w:rsidRDefault="001F58E6" w:rsidP="001F58E6">
            <w:pPr>
              <w:numPr>
                <w:ilvl w:val="0"/>
                <w:numId w:val="29"/>
              </w:numPr>
              <w:spacing w:after="0" w:line="240" w:lineRule="auto"/>
              <w:rPr>
                <w:rFonts w:cs="Arial"/>
                <w:sz w:val="22"/>
              </w:rPr>
            </w:pPr>
            <w:r w:rsidRPr="00BC2311">
              <w:rPr>
                <w:rFonts w:cs="Arial"/>
                <w:sz w:val="22"/>
              </w:rPr>
              <w:t>Baseline portal submission to NHS England (NHSE)</w:t>
            </w:r>
          </w:p>
          <w:p w:rsidR="001F58E6" w:rsidRPr="00BC2311" w:rsidRDefault="001F58E6" w:rsidP="001F58E6">
            <w:pPr>
              <w:numPr>
                <w:ilvl w:val="0"/>
                <w:numId w:val="29"/>
              </w:numPr>
              <w:spacing w:after="0" w:line="240" w:lineRule="auto"/>
              <w:rPr>
                <w:rFonts w:cs="Arial"/>
                <w:sz w:val="22"/>
              </w:rPr>
            </w:pPr>
            <w:r w:rsidRPr="00BC2311">
              <w:rPr>
                <w:rFonts w:cs="Arial"/>
                <w:sz w:val="22"/>
              </w:rPr>
              <w:t>Resident doctor peer lead appointed – Early December 2025</w:t>
            </w:r>
          </w:p>
          <w:p w:rsidR="001F58E6" w:rsidRPr="00BC2311" w:rsidRDefault="001F58E6" w:rsidP="001F58E6">
            <w:pPr>
              <w:numPr>
                <w:ilvl w:val="0"/>
                <w:numId w:val="29"/>
              </w:numPr>
              <w:spacing w:after="0" w:line="240" w:lineRule="auto"/>
              <w:rPr>
                <w:rFonts w:cs="Arial"/>
                <w:sz w:val="22"/>
              </w:rPr>
            </w:pPr>
            <w:r w:rsidRPr="00BC2311">
              <w:rPr>
                <w:rFonts w:cs="Arial"/>
                <w:sz w:val="22"/>
              </w:rPr>
              <w:t xml:space="preserve">Update sent to NHSE – Mid December 2025 </w:t>
            </w:r>
          </w:p>
          <w:p w:rsidR="001F58E6" w:rsidRPr="00BC2311" w:rsidRDefault="001F58E6" w:rsidP="001F58E6">
            <w:pPr>
              <w:numPr>
                <w:ilvl w:val="0"/>
                <w:numId w:val="29"/>
              </w:numPr>
              <w:spacing w:after="0" w:line="240" w:lineRule="auto"/>
              <w:rPr>
                <w:rFonts w:cs="Arial"/>
                <w:sz w:val="22"/>
              </w:rPr>
            </w:pPr>
            <w:r w:rsidRPr="00BC2311">
              <w:rPr>
                <w:rFonts w:cs="Arial"/>
                <w:sz w:val="22"/>
              </w:rPr>
              <w:t xml:space="preserve">Action plan </w:t>
            </w:r>
            <w:r>
              <w:rPr>
                <w:rFonts w:cs="Arial"/>
                <w:sz w:val="22"/>
              </w:rPr>
              <w:t>developed</w:t>
            </w:r>
          </w:p>
          <w:p w:rsidR="001F58E6" w:rsidRPr="00BC2311" w:rsidRDefault="001F58E6" w:rsidP="001F58E6">
            <w:pPr>
              <w:numPr>
                <w:ilvl w:val="0"/>
                <w:numId w:val="29"/>
              </w:numPr>
              <w:spacing w:after="0" w:line="240" w:lineRule="auto"/>
              <w:rPr>
                <w:rFonts w:cs="Arial"/>
                <w:sz w:val="22"/>
              </w:rPr>
            </w:pPr>
            <w:r w:rsidRPr="00BC2311">
              <w:rPr>
                <w:rFonts w:cs="Arial"/>
                <w:sz w:val="22"/>
              </w:rPr>
              <w:t>Meeting with Acting Chief Executive, Des Holden – 04.02.26</w:t>
            </w:r>
          </w:p>
          <w:p w:rsidR="001F58E6" w:rsidRPr="00BC2311" w:rsidRDefault="001F58E6" w:rsidP="001F58E6">
            <w:pPr>
              <w:numPr>
                <w:ilvl w:val="0"/>
                <w:numId w:val="29"/>
              </w:numPr>
              <w:spacing w:after="0" w:line="240" w:lineRule="auto"/>
              <w:rPr>
                <w:rFonts w:cs="Arial"/>
                <w:sz w:val="22"/>
              </w:rPr>
            </w:pPr>
            <w:r w:rsidRPr="00BC2311">
              <w:rPr>
                <w:rFonts w:cs="Arial"/>
                <w:sz w:val="22"/>
              </w:rPr>
              <w:t xml:space="preserve">Board meeting – 05.02.26 </w:t>
            </w:r>
          </w:p>
          <w:p w:rsidR="001F58E6" w:rsidRPr="00A44E6A" w:rsidRDefault="001F58E6" w:rsidP="001F58E6">
            <w:pPr>
              <w:rPr>
                <w:color w:val="FF0000"/>
                <w:sz w:val="22"/>
              </w:rPr>
            </w:pPr>
          </w:p>
        </w:tc>
      </w:tr>
      <w:tr w:rsidR="001F58E6" w:rsidTr="001F58E6">
        <w:tc>
          <w:tcPr>
            <w:tcW w:w="2263" w:type="dxa"/>
          </w:tcPr>
          <w:p w:rsidR="001F58E6" w:rsidRPr="0075639A" w:rsidRDefault="001F58E6" w:rsidP="001F58E6">
            <w:pPr>
              <w:rPr>
                <w:b/>
                <w:color w:val="FF0000"/>
              </w:rPr>
            </w:pPr>
            <w:r w:rsidRPr="0075639A">
              <w:rPr>
                <w:b/>
                <w:sz w:val="22"/>
              </w:rPr>
              <w:t>Key recommendations:</w:t>
            </w:r>
          </w:p>
        </w:tc>
        <w:tc>
          <w:tcPr>
            <w:tcW w:w="7786" w:type="dxa"/>
          </w:tcPr>
          <w:p w:rsidR="001F58E6" w:rsidRPr="0002107D" w:rsidRDefault="001F58E6" w:rsidP="001F58E6">
            <w:pPr>
              <w:rPr>
                <w:sz w:val="22"/>
              </w:rPr>
            </w:pPr>
            <w:r w:rsidRPr="0002107D">
              <w:rPr>
                <w:sz w:val="22"/>
              </w:rPr>
              <w:t xml:space="preserve">The Board of Directors is asked to </w:t>
            </w:r>
            <w:r w:rsidRPr="0002107D">
              <w:rPr>
                <w:rFonts w:ascii="Arial Bold" w:hAnsi="Arial Bold"/>
                <w:b/>
                <w:caps/>
                <w:sz w:val="22"/>
              </w:rPr>
              <w:t>note</w:t>
            </w:r>
            <w:r w:rsidRPr="0002107D">
              <w:rPr>
                <w:sz w:val="22"/>
              </w:rPr>
              <w:t xml:space="preserve"> the presentation on the 10 Point Plan</w:t>
            </w:r>
            <w:r>
              <w:rPr>
                <w:sz w:val="22"/>
              </w:rPr>
              <w:t xml:space="preserve"> initially through the People &amp; Culture Committee and the intention to return with a Board Assurance Framework and report</w:t>
            </w:r>
            <w:r w:rsidRPr="0002107D">
              <w:rPr>
                <w:sz w:val="22"/>
              </w:rPr>
              <w:t>.</w:t>
            </w:r>
          </w:p>
        </w:tc>
      </w:tr>
    </w:tbl>
    <w:p w:rsidR="001F58E6" w:rsidRPr="00A44E6A" w:rsidRDefault="001F58E6" w:rsidP="001F58E6">
      <w:pPr>
        <w:spacing w:line="216" w:lineRule="auto"/>
      </w:pPr>
    </w:p>
    <w:p w:rsidR="001F58E6" w:rsidRDefault="001F58E6" w:rsidP="0093618F">
      <w:pPr>
        <w:pStyle w:val="Heading2"/>
        <w:shd w:val="clear" w:color="auto" w:fill="E8EDEE" w:themeFill="background2"/>
        <w:spacing w:after="0" w:line="216" w:lineRule="auto"/>
        <w:rPr>
          <w:szCs w:val="22"/>
        </w:rPr>
      </w:pPr>
      <w:bookmarkStart w:id="35" w:name="_Toc221093401"/>
      <w:r>
        <w:rPr>
          <w:szCs w:val="22"/>
        </w:rPr>
        <w:lastRenderedPageBreak/>
        <w:t>Implications:</w:t>
      </w:r>
      <w:bookmarkEnd w:id="35"/>
    </w:p>
    <w:p w:rsidR="001F58E6" w:rsidRPr="00A44E6A" w:rsidRDefault="001F58E6" w:rsidP="001F58E6">
      <w:pPr>
        <w:spacing w:line="216" w:lineRule="auto"/>
      </w:pPr>
    </w:p>
    <w:tbl>
      <w:tblPr>
        <w:tblStyle w:val="PlainTable1"/>
        <w:tblW w:w="0" w:type="auto"/>
        <w:tblLook w:val="06A0" w:firstRow="1" w:lastRow="0" w:firstColumn="1" w:lastColumn="0" w:noHBand="1" w:noVBand="1"/>
      </w:tblPr>
      <w:tblGrid>
        <w:gridCol w:w="2263"/>
        <w:gridCol w:w="7786"/>
      </w:tblGrid>
      <w:tr w:rsidR="001F58E6" w:rsidRPr="009334DB" w:rsidTr="009361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001F58E6" w:rsidRDefault="001F58E6" w:rsidP="001F58E6">
            <w:pPr>
              <w:spacing w:line="216" w:lineRule="auto"/>
              <w:rPr>
                <w:b w:val="0"/>
                <w:sz w:val="22"/>
              </w:rPr>
            </w:pPr>
            <w:r w:rsidRPr="0075639A">
              <w:rPr>
                <w:b w:val="0"/>
                <w:sz w:val="22"/>
              </w:rPr>
              <w:t xml:space="preserve">Links to Strategic </w:t>
            </w:r>
            <w:r>
              <w:rPr>
                <w:b w:val="0"/>
                <w:sz w:val="22"/>
              </w:rPr>
              <w:t>Theme</w:t>
            </w:r>
            <w:r w:rsidRPr="0075639A">
              <w:rPr>
                <w:b w:val="0"/>
                <w:sz w:val="22"/>
              </w:rPr>
              <w:t>:</w:t>
            </w:r>
          </w:p>
        </w:tc>
        <w:tc>
          <w:tcPr>
            <w:tcW w:w="7786" w:type="dxa"/>
          </w:tcPr>
          <w:p w:rsidR="001F58E6" w:rsidRPr="0002107D" w:rsidRDefault="001F58E6" w:rsidP="001F58E6">
            <w:pPr>
              <w:pStyle w:val="ListParagraph"/>
              <w:numPr>
                <w:ilvl w:val="0"/>
                <w:numId w:val="5"/>
              </w:numPr>
              <w:spacing w:after="0" w:line="216" w:lineRule="auto"/>
              <w:ind w:left="714" w:hanging="357"/>
              <w:contextualSpacing w:val="0"/>
              <w:cnfStyle w:val="100000000000" w:firstRow="1" w:lastRow="0" w:firstColumn="0" w:lastColumn="0" w:oddVBand="0" w:evenVBand="0" w:oddHBand="0" w:evenHBand="0" w:firstRowFirstColumn="0" w:firstRowLastColumn="0" w:lastRowFirstColumn="0" w:lastRowLastColumn="0"/>
              <w:rPr>
                <w:sz w:val="22"/>
              </w:rPr>
            </w:pPr>
            <w:r w:rsidRPr="0002107D">
              <w:rPr>
                <w:sz w:val="22"/>
              </w:rPr>
              <w:t>Quality and Safety</w:t>
            </w:r>
          </w:p>
          <w:p w:rsidR="001F58E6" w:rsidRPr="0002107D" w:rsidRDefault="001F58E6" w:rsidP="001F58E6">
            <w:pPr>
              <w:pStyle w:val="ListParagraph"/>
              <w:numPr>
                <w:ilvl w:val="0"/>
                <w:numId w:val="5"/>
              </w:numPr>
              <w:spacing w:after="0" w:line="216" w:lineRule="auto"/>
              <w:ind w:left="714" w:hanging="357"/>
              <w:contextualSpacing w:val="0"/>
              <w:cnfStyle w:val="100000000000" w:firstRow="1" w:lastRow="0" w:firstColumn="0" w:lastColumn="0" w:oddVBand="0" w:evenVBand="0" w:oddHBand="0" w:evenHBand="0" w:firstRowFirstColumn="0" w:firstRowLastColumn="0" w:lastRowFirstColumn="0" w:lastRowLastColumn="0"/>
              <w:rPr>
                <w:sz w:val="22"/>
              </w:rPr>
            </w:pPr>
            <w:r w:rsidRPr="0002107D">
              <w:rPr>
                <w:sz w:val="22"/>
              </w:rPr>
              <w:t>Patients</w:t>
            </w:r>
          </w:p>
          <w:p w:rsidR="001F58E6" w:rsidRPr="0002107D" w:rsidRDefault="001F58E6" w:rsidP="001F58E6">
            <w:pPr>
              <w:pStyle w:val="ListParagraph"/>
              <w:numPr>
                <w:ilvl w:val="0"/>
                <w:numId w:val="5"/>
              </w:numPr>
              <w:spacing w:after="0" w:line="216" w:lineRule="auto"/>
              <w:ind w:left="714" w:hanging="357"/>
              <w:contextualSpacing w:val="0"/>
              <w:cnfStyle w:val="100000000000" w:firstRow="1" w:lastRow="0" w:firstColumn="0" w:lastColumn="0" w:oddVBand="0" w:evenVBand="0" w:oddHBand="0" w:evenHBand="0" w:firstRowFirstColumn="0" w:firstRowLastColumn="0" w:lastRowFirstColumn="0" w:lastRowLastColumn="0"/>
              <w:rPr>
                <w:sz w:val="22"/>
              </w:rPr>
            </w:pPr>
            <w:r w:rsidRPr="0002107D">
              <w:rPr>
                <w:sz w:val="22"/>
              </w:rPr>
              <w:t>People</w:t>
            </w:r>
          </w:p>
          <w:p w:rsidR="001F58E6" w:rsidRPr="0002107D" w:rsidRDefault="001F58E6" w:rsidP="001F58E6">
            <w:pPr>
              <w:pStyle w:val="ListParagraph"/>
              <w:numPr>
                <w:ilvl w:val="0"/>
                <w:numId w:val="5"/>
              </w:numPr>
              <w:spacing w:after="0" w:line="216" w:lineRule="auto"/>
              <w:ind w:left="714" w:hanging="357"/>
              <w:contextualSpacing w:val="0"/>
              <w:cnfStyle w:val="100000000000" w:firstRow="1" w:lastRow="0" w:firstColumn="0" w:lastColumn="0" w:oddVBand="0" w:evenVBand="0" w:oddHBand="0" w:evenHBand="0" w:firstRowFirstColumn="0" w:firstRowLastColumn="0" w:lastRowFirstColumn="0" w:lastRowLastColumn="0"/>
              <w:rPr>
                <w:sz w:val="22"/>
              </w:rPr>
            </w:pPr>
            <w:r w:rsidRPr="0002107D">
              <w:rPr>
                <w:sz w:val="22"/>
              </w:rPr>
              <w:t>Partnerships</w:t>
            </w:r>
          </w:p>
          <w:p w:rsidR="001F58E6" w:rsidRPr="0002107D" w:rsidRDefault="001F58E6" w:rsidP="001F58E6">
            <w:pPr>
              <w:pStyle w:val="ListParagraph"/>
              <w:numPr>
                <w:ilvl w:val="0"/>
                <w:numId w:val="5"/>
              </w:numPr>
              <w:spacing w:after="0" w:line="216" w:lineRule="auto"/>
              <w:ind w:left="714" w:hanging="357"/>
              <w:contextualSpacing w:val="0"/>
              <w:cnfStyle w:val="100000000000" w:firstRow="1" w:lastRow="0" w:firstColumn="0" w:lastColumn="0" w:oddVBand="0" w:evenVBand="0" w:oddHBand="0" w:evenHBand="0" w:firstRowFirstColumn="0" w:firstRowLastColumn="0" w:lastRowFirstColumn="0" w:lastRowLastColumn="0"/>
              <w:rPr>
                <w:sz w:val="22"/>
              </w:rPr>
            </w:pPr>
            <w:r w:rsidRPr="0002107D">
              <w:rPr>
                <w:sz w:val="22"/>
              </w:rPr>
              <w:t>Sustainability</w:t>
            </w:r>
          </w:p>
        </w:tc>
      </w:tr>
      <w:tr w:rsidR="001F58E6" w:rsidRPr="009334DB" w:rsidTr="0093618F">
        <w:tc>
          <w:tcPr>
            <w:cnfStyle w:val="001000000000" w:firstRow="0" w:lastRow="0" w:firstColumn="1" w:lastColumn="0" w:oddVBand="0" w:evenVBand="0" w:oddHBand="0" w:evenHBand="0" w:firstRowFirstColumn="0" w:firstRowLastColumn="0" w:lastRowFirstColumn="0" w:lastRowLastColumn="0"/>
            <w:tcW w:w="2263" w:type="dxa"/>
          </w:tcPr>
          <w:p w:rsidR="001F58E6" w:rsidRPr="00396D98" w:rsidRDefault="001F58E6" w:rsidP="001F58E6">
            <w:pPr>
              <w:spacing w:line="216" w:lineRule="auto"/>
              <w:rPr>
                <w:b w:val="0"/>
                <w:sz w:val="22"/>
              </w:rPr>
            </w:pPr>
            <w:r w:rsidRPr="0024778F">
              <w:rPr>
                <w:b w:val="0"/>
                <w:sz w:val="22"/>
              </w:rPr>
              <w:t xml:space="preserve">Link </w:t>
            </w:r>
            <w:r w:rsidRPr="0024778F">
              <w:rPr>
                <w:rFonts w:cs="Arial"/>
                <w:b w:val="0"/>
                <w:sz w:val="22"/>
              </w:rPr>
              <w:t xml:space="preserve">to the </w:t>
            </w:r>
            <w:r>
              <w:rPr>
                <w:rFonts w:cs="Arial"/>
                <w:b w:val="0"/>
                <w:sz w:val="22"/>
              </w:rPr>
              <w:t>Trust Risk Register</w:t>
            </w:r>
            <w:r w:rsidRPr="0024778F">
              <w:rPr>
                <w:b w:val="0"/>
                <w:sz w:val="22"/>
              </w:rPr>
              <w:t>:</w:t>
            </w:r>
          </w:p>
        </w:tc>
        <w:tc>
          <w:tcPr>
            <w:tcW w:w="7786" w:type="dxa"/>
          </w:tcPr>
          <w:p w:rsidR="001F58E6" w:rsidRPr="00A44E6A" w:rsidRDefault="001F58E6" w:rsidP="001F58E6">
            <w:pPr>
              <w:spacing w:line="216" w:lineRule="auto"/>
              <w:cnfStyle w:val="000000000000" w:firstRow="0" w:lastRow="0" w:firstColumn="0" w:lastColumn="0" w:oddVBand="0" w:evenVBand="0" w:oddHBand="0" w:evenHBand="0" w:firstRowFirstColumn="0" w:firstRowLastColumn="0" w:lastRowFirstColumn="0" w:lastRowLastColumn="0"/>
              <w:rPr>
                <w:sz w:val="22"/>
              </w:rPr>
            </w:pPr>
            <w:r>
              <w:rPr>
                <w:sz w:val="22"/>
              </w:rPr>
              <w:t>N/A</w:t>
            </w:r>
          </w:p>
        </w:tc>
      </w:tr>
      <w:tr w:rsidR="001F58E6" w:rsidTr="0093618F">
        <w:tc>
          <w:tcPr>
            <w:cnfStyle w:val="001000000000" w:firstRow="0" w:lastRow="0" w:firstColumn="1" w:lastColumn="0" w:oddVBand="0" w:evenVBand="0" w:oddHBand="0" w:evenHBand="0" w:firstRowFirstColumn="0" w:firstRowLastColumn="0" w:lastRowFirstColumn="0" w:lastRowLastColumn="0"/>
            <w:tcW w:w="2263" w:type="dxa"/>
          </w:tcPr>
          <w:p w:rsidR="001F58E6" w:rsidRDefault="001F58E6" w:rsidP="001F58E6">
            <w:pPr>
              <w:spacing w:line="216" w:lineRule="auto"/>
              <w:rPr>
                <w:b w:val="0"/>
                <w:sz w:val="22"/>
              </w:rPr>
            </w:pPr>
            <w:r>
              <w:rPr>
                <w:b w:val="0"/>
                <w:sz w:val="22"/>
              </w:rPr>
              <w:t>Resource</w:t>
            </w:r>
            <w:r w:rsidRPr="0075639A">
              <w:rPr>
                <w:b w:val="0"/>
                <w:sz w:val="22"/>
              </w:rPr>
              <w:t>:</w:t>
            </w:r>
          </w:p>
          <w:p w:rsidR="001F58E6" w:rsidRPr="0075639A" w:rsidRDefault="001F58E6" w:rsidP="001F58E6">
            <w:pPr>
              <w:spacing w:line="216" w:lineRule="auto"/>
              <w:rPr>
                <w:b w:val="0"/>
                <w:color w:val="FF0000"/>
              </w:rPr>
            </w:pPr>
          </w:p>
        </w:tc>
        <w:tc>
          <w:tcPr>
            <w:tcW w:w="7786" w:type="dxa"/>
          </w:tcPr>
          <w:p w:rsidR="001F58E6" w:rsidRPr="000D1A12" w:rsidRDefault="001F58E6" w:rsidP="001F58E6">
            <w:pPr>
              <w:spacing w:line="216" w:lineRule="auto"/>
              <w:cnfStyle w:val="000000000000" w:firstRow="0" w:lastRow="0" w:firstColumn="0" w:lastColumn="0" w:oddVBand="0" w:evenVBand="0" w:oddHBand="0" w:evenHBand="0" w:firstRowFirstColumn="0" w:firstRowLastColumn="0" w:lastRowFirstColumn="0" w:lastRowLastColumn="0"/>
              <w:rPr>
                <w:sz w:val="22"/>
              </w:rPr>
            </w:pPr>
            <w:r w:rsidRPr="000D1A12">
              <w:rPr>
                <w:sz w:val="22"/>
              </w:rPr>
              <w:t>N</w:t>
            </w:r>
          </w:p>
        </w:tc>
      </w:tr>
      <w:tr w:rsidR="001F58E6" w:rsidTr="0093618F">
        <w:tc>
          <w:tcPr>
            <w:cnfStyle w:val="001000000000" w:firstRow="0" w:lastRow="0" w:firstColumn="1" w:lastColumn="0" w:oddVBand="0" w:evenVBand="0" w:oddHBand="0" w:evenHBand="0" w:firstRowFirstColumn="0" w:firstRowLastColumn="0" w:lastRowFirstColumn="0" w:lastRowLastColumn="0"/>
            <w:tcW w:w="2263" w:type="dxa"/>
          </w:tcPr>
          <w:p w:rsidR="001F58E6" w:rsidRDefault="001F58E6" w:rsidP="001F58E6">
            <w:pPr>
              <w:spacing w:line="216" w:lineRule="auto"/>
              <w:rPr>
                <w:b w:val="0"/>
                <w:sz w:val="22"/>
              </w:rPr>
            </w:pPr>
            <w:r>
              <w:rPr>
                <w:b w:val="0"/>
                <w:sz w:val="22"/>
              </w:rPr>
              <w:t>Legal and regulatory:</w:t>
            </w:r>
          </w:p>
        </w:tc>
        <w:tc>
          <w:tcPr>
            <w:tcW w:w="7786" w:type="dxa"/>
          </w:tcPr>
          <w:p w:rsidR="001F58E6" w:rsidRPr="000D1A12" w:rsidRDefault="001F58E6" w:rsidP="001F58E6">
            <w:pPr>
              <w:spacing w:line="216" w:lineRule="auto"/>
              <w:cnfStyle w:val="000000000000" w:firstRow="0" w:lastRow="0" w:firstColumn="0" w:lastColumn="0" w:oddVBand="0" w:evenVBand="0" w:oddHBand="0" w:evenHBand="0" w:firstRowFirstColumn="0" w:firstRowLastColumn="0" w:lastRowFirstColumn="0" w:lastRowLastColumn="0"/>
              <w:rPr>
                <w:sz w:val="22"/>
              </w:rPr>
            </w:pPr>
            <w:r w:rsidRPr="000D1A12">
              <w:rPr>
                <w:sz w:val="22"/>
              </w:rPr>
              <w:t>N</w:t>
            </w:r>
          </w:p>
        </w:tc>
      </w:tr>
      <w:tr w:rsidR="001F58E6" w:rsidTr="0093618F">
        <w:tc>
          <w:tcPr>
            <w:cnfStyle w:val="001000000000" w:firstRow="0" w:lastRow="0" w:firstColumn="1" w:lastColumn="0" w:oddVBand="0" w:evenVBand="0" w:oddHBand="0" w:evenHBand="0" w:firstRowFirstColumn="0" w:firstRowLastColumn="0" w:lastRowFirstColumn="0" w:lastRowLastColumn="0"/>
            <w:tcW w:w="2263" w:type="dxa"/>
          </w:tcPr>
          <w:p w:rsidR="001F58E6" w:rsidRDefault="001F58E6" w:rsidP="001F58E6">
            <w:pPr>
              <w:spacing w:line="216" w:lineRule="auto"/>
              <w:rPr>
                <w:b w:val="0"/>
                <w:sz w:val="22"/>
              </w:rPr>
            </w:pPr>
            <w:r>
              <w:rPr>
                <w:b w:val="0"/>
                <w:sz w:val="22"/>
              </w:rPr>
              <w:t>Subsidiary:</w:t>
            </w:r>
          </w:p>
          <w:p w:rsidR="001F58E6" w:rsidRDefault="001F58E6" w:rsidP="001F58E6">
            <w:pPr>
              <w:spacing w:line="216" w:lineRule="auto"/>
              <w:rPr>
                <w:b w:val="0"/>
                <w:sz w:val="22"/>
              </w:rPr>
            </w:pPr>
          </w:p>
        </w:tc>
        <w:tc>
          <w:tcPr>
            <w:tcW w:w="7786" w:type="dxa"/>
          </w:tcPr>
          <w:p w:rsidR="001F58E6" w:rsidRPr="000D1A12" w:rsidRDefault="001F58E6" w:rsidP="001F58E6">
            <w:pPr>
              <w:spacing w:line="216" w:lineRule="auto"/>
              <w:cnfStyle w:val="000000000000" w:firstRow="0" w:lastRow="0" w:firstColumn="0" w:lastColumn="0" w:oddVBand="0" w:evenVBand="0" w:oddHBand="0" w:evenHBand="0" w:firstRowFirstColumn="0" w:firstRowLastColumn="0" w:lastRowFirstColumn="0" w:lastRowLastColumn="0"/>
              <w:rPr>
                <w:sz w:val="22"/>
              </w:rPr>
            </w:pPr>
            <w:r w:rsidRPr="000D1A12">
              <w:rPr>
                <w:sz w:val="22"/>
              </w:rPr>
              <w:t>N</w:t>
            </w:r>
          </w:p>
        </w:tc>
      </w:tr>
    </w:tbl>
    <w:p w:rsidR="001F58E6" w:rsidRDefault="001F58E6" w:rsidP="001F58E6">
      <w:pPr>
        <w:spacing w:line="216" w:lineRule="auto"/>
        <w:rPr>
          <w:b/>
          <w:sz w:val="22"/>
        </w:rPr>
      </w:pPr>
    </w:p>
    <w:p w:rsidR="001F58E6" w:rsidRPr="001F20AE" w:rsidRDefault="001F58E6" w:rsidP="0093618F">
      <w:pPr>
        <w:pStyle w:val="Heading2"/>
        <w:shd w:val="clear" w:color="auto" w:fill="E8EDEE" w:themeFill="background2"/>
        <w:spacing w:after="0" w:line="216" w:lineRule="auto"/>
        <w:rPr>
          <w:szCs w:val="22"/>
        </w:rPr>
      </w:pPr>
      <w:bookmarkStart w:id="36" w:name="_Toc221093402"/>
      <w:r w:rsidRPr="001F20AE">
        <w:rPr>
          <w:szCs w:val="22"/>
        </w:rPr>
        <w:t>A</w:t>
      </w:r>
      <w:r>
        <w:rPr>
          <w:szCs w:val="22"/>
        </w:rPr>
        <w:t>ssurance route</w:t>
      </w:r>
      <w:r w:rsidRPr="001F20AE">
        <w:rPr>
          <w:szCs w:val="22"/>
        </w:rPr>
        <w:t>:</w:t>
      </w:r>
      <w:bookmarkEnd w:id="36"/>
    </w:p>
    <w:p w:rsidR="001F58E6" w:rsidRDefault="001F58E6" w:rsidP="001F58E6">
      <w:pPr>
        <w:spacing w:line="216" w:lineRule="auto"/>
        <w:ind w:left="3"/>
        <w:rPr>
          <w:sz w:val="22"/>
        </w:rPr>
      </w:pPr>
    </w:p>
    <w:p w:rsidR="001F58E6" w:rsidRDefault="001F58E6" w:rsidP="001F58E6">
      <w:pPr>
        <w:spacing w:line="216" w:lineRule="auto"/>
        <w:ind w:left="3"/>
        <w:rPr>
          <w:sz w:val="22"/>
        </w:rPr>
      </w:pPr>
      <w:r w:rsidRPr="00D3287C">
        <w:rPr>
          <w:sz w:val="22"/>
        </w:rPr>
        <w:t>Previously considere</w:t>
      </w:r>
      <w:r w:rsidRPr="000D1A12">
        <w:rPr>
          <w:sz w:val="22"/>
        </w:rPr>
        <w:t>d by:</w:t>
      </w:r>
      <w:r w:rsidRPr="000D1A12">
        <w:rPr>
          <w:i/>
          <w:sz w:val="22"/>
        </w:rPr>
        <w:t xml:space="preserve"> </w:t>
      </w:r>
      <w:r w:rsidRPr="0002107D">
        <w:rPr>
          <w:sz w:val="22"/>
        </w:rPr>
        <w:t>People and Culture Committee (P&amp;CC) – 27 January 2026</w:t>
      </w:r>
    </w:p>
    <w:p w:rsidR="001F58E6" w:rsidRPr="0002107D" w:rsidRDefault="001F58E6" w:rsidP="001F58E6">
      <w:pPr>
        <w:spacing w:line="216" w:lineRule="auto"/>
        <w:ind w:left="3"/>
        <w:rPr>
          <w:color w:val="FF0000"/>
          <w:sz w:val="22"/>
        </w:rPr>
      </w:pPr>
    </w:p>
    <w:p w:rsidR="00C51D5B" w:rsidRPr="001F58E6" w:rsidRDefault="00C51D5B" w:rsidP="001F58E6">
      <w:pPr>
        <w:pStyle w:val="NoSpacing"/>
      </w:pPr>
    </w:p>
    <w:sectPr w:rsidR="00C51D5B" w:rsidRPr="001F58E6" w:rsidSect="007A317E">
      <w:headerReference w:type="even" r:id="rId34"/>
      <w:headerReference w:type="default" r:id="rId35"/>
      <w:footerReference w:type="even" r:id="rId36"/>
      <w:footerReference w:type="default" r:id="rId37"/>
      <w:headerReference w:type="first" r:id="rId38"/>
      <w:pgSz w:w="11906" w:h="16838" w:code="9"/>
      <w:pgMar w:top="2109" w:right="707" w:bottom="426" w:left="1140" w:header="426" w:footer="3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58E6" w:rsidRDefault="001F58E6" w:rsidP="004728C9">
      <w:r>
        <w:separator/>
      </w:r>
    </w:p>
  </w:endnote>
  <w:endnote w:type="continuationSeparator" w:id="0">
    <w:p w:rsidR="001F58E6" w:rsidRDefault="001F58E6" w:rsidP="00472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Bold">
    <w:altName w:val="Arial"/>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8E6" w:rsidRDefault="001F58E6" w:rsidP="004728C9">
    <w:pPr>
      <w:pStyle w:val="Footer"/>
    </w:pPr>
    <w:r>
      <w:ptab w:relativeTo="margin" w:alignment="center" w:leader="none"/>
    </w:r>
    <w:r w:rsidRPr="00444C16">
      <w:rPr>
        <w:sz w:val="20"/>
      </w:rPr>
      <w:fldChar w:fldCharType="begin"/>
    </w:r>
    <w:r w:rsidRPr="00444C16">
      <w:rPr>
        <w:sz w:val="20"/>
      </w:rPr>
      <w:instrText xml:space="preserve"> PAGE   \* MERGEFORMAT </w:instrText>
    </w:r>
    <w:r w:rsidRPr="00444C16">
      <w:rPr>
        <w:sz w:val="20"/>
      </w:rPr>
      <w:fldChar w:fldCharType="separate"/>
    </w:r>
    <w:r w:rsidRPr="00444C16">
      <w:rPr>
        <w:noProof/>
        <w:sz w:val="20"/>
      </w:rPr>
      <w:t>1</w:t>
    </w:r>
    <w:r w:rsidRPr="00444C16">
      <w:rPr>
        <w:noProof/>
        <w:sz w:val="20"/>
      </w:rPr>
      <w:fldChar w:fldCharType="end"/>
    </w:r>
    <w: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8E6" w:rsidRDefault="001F58E6" w:rsidP="001F58E6">
    <w:pPr>
      <w:pStyle w:val="Footer"/>
      <w:ind w:right="360"/>
      <w:jc w:val="right"/>
      <w:rPr>
        <w:sz w:val="16"/>
      </w:rPr>
    </w:pPr>
    <w:r>
      <w:ptab w:relativeTo="margin" w:alignment="center" w:leader="none"/>
    </w:r>
    <w:r>
      <w:ptab w:relativeTo="margin" w:alignment="right" w:leader="none"/>
    </w:r>
    <w:r w:rsidRPr="001F58E6">
      <w:t xml:space="preserve">Page </w:t>
    </w:r>
    <w:r w:rsidRPr="001F58E6">
      <w:rPr>
        <w:bCs/>
      </w:rPr>
      <w:fldChar w:fldCharType="begin"/>
    </w:r>
    <w:r w:rsidRPr="001F58E6">
      <w:rPr>
        <w:bCs/>
      </w:rPr>
      <w:instrText xml:space="preserve"> PAGE </w:instrText>
    </w:r>
    <w:r w:rsidRPr="001F58E6">
      <w:rPr>
        <w:bCs/>
      </w:rPr>
      <w:fldChar w:fldCharType="separate"/>
    </w:r>
    <w:r w:rsidRPr="001F58E6">
      <w:rPr>
        <w:bCs/>
      </w:rPr>
      <w:t>21</w:t>
    </w:r>
    <w:r w:rsidRPr="001F58E6">
      <w:fldChar w:fldCharType="end"/>
    </w:r>
    <w:r w:rsidRPr="001F58E6">
      <w:t xml:space="preserve"> of </w:t>
    </w:r>
    <w:r w:rsidRPr="001F58E6">
      <w:rPr>
        <w:bCs/>
      </w:rPr>
      <w:fldChar w:fldCharType="begin"/>
    </w:r>
    <w:r w:rsidRPr="001F58E6">
      <w:rPr>
        <w:bCs/>
      </w:rPr>
      <w:instrText xml:space="preserve"> NUMPAGES  </w:instrText>
    </w:r>
    <w:r w:rsidRPr="001F58E6">
      <w:rPr>
        <w:bCs/>
      </w:rPr>
      <w:fldChar w:fldCharType="separate"/>
    </w:r>
    <w:r w:rsidRPr="001F58E6">
      <w:rPr>
        <w:bCs/>
      </w:rPr>
      <w:t>21</w:t>
    </w:r>
    <w:r w:rsidRPr="001F58E6">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8E6" w:rsidRDefault="001F58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F58E6" w:rsidRDefault="001F58E6">
    <w:pPr>
      <w:pStyle w:val="Footer"/>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8E6" w:rsidRDefault="0093618F" w:rsidP="001F58E6">
    <w:pPr>
      <w:pStyle w:val="Footer"/>
      <w:ind w:right="360"/>
      <w:jc w:val="right"/>
      <w:rPr>
        <w:sz w:val="16"/>
      </w:rPr>
    </w:pPr>
    <w:r>
      <w:ptab w:relativeTo="margin" w:alignment="center" w:leader="none"/>
    </w:r>
    <w:r>
      <w:ptab w:relativeTo="margin" w:alignment="right" w:leader="none"/>
    </w:r>
    <w:r w:rsidRPr="0093618F">
      <w:t xml:space="preserve">Page </w:t>
    </w:r>
    <w:r w:rsidRPr="0093618F">
      <w:rPr>
        <w:bCs/>
      </w:rPr>
      <w:fldChar w:fldCharType="begin"/>
    </w:r>
    <w:r w:rsidRPr="0093618F">
      <w:rPr>
        <w:bCs/>
      </w:rPr>
      <w:instrText xml:space="preserve"> PAGE </w:instrText>
    </w:r>
    <w:r w:rsidRPr="0093618F">
      <w:rPr>
        <w:bCs/>
      </w:rPr>
      <w:fldChar w:fldCharType="separate"/>
    </w:r>
    <w:r w:rsidRPr="0093618F">
      <w:rPr>
        <w:bCs/>
      </w:rPr>
      <w:t>25</w:t>
    </w:r>
    <w:r w:rsidRPr="0093618F">
      <w:fldChar w:fldCharType="end"/>
    </w:r>
    <w:r w:rsidRPr="0093618F">
      <w:t xml:space="preserve"> of </w:t>
    </w:r>
    <w:r w:rsidRPr="0093618F">
      <w:rPr>
        <w:bCs/>
      </w:rPr>
      <w:fldChar w:fldCharType="begin"/>
    </w:r>
    <w:r w:rsidRPr="0093618F">
      <w:rPr>
        <w:bCs/>
      </w:rPr>
      <w:instrText xml:space="preserve"> NUMPAGES  </w:instrText>
    </w:r>
    <w:r w:rsidRPr="0093618F">
      <w:rPr>
        <w:bCs/>
      </w:rPr>
      <w:fldChar w:fldCharType="separate"/>
    </w:r>
    <w:r w:rsidRPr="0093618F">
      <w:rPr>
        <w:bCs/>
      </w:rPr>
      <w:t>25</w:t>
    </w:r>
    <w:r w:rsidRPr="0093618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8E6" w:rsidRDefault="001F58E6" w:rsidP="00CC7238">
    <w:pPr>
      <w:pStyle w:val="Footer"/>
      <w:jc w:val="right"/>
    </w:pPr>
    <w:r>
      <w:rPr>
        <w:noProof/>
      </w:rPr>
      <w:drawing>
        <wp:inline distT="0" distB="0" distL="0" distR="0" wp14:anchorId="0AD15E17" wp14:editId="1D133F9F">
          <wp:extent cx="966470" cy="659757"/>
          <wp:effectExtent l="0" t="0" r="5080" b="762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 Care master logo PNG-01"/>
                  <pic:cNvPicPr>
                    <a:picLocks noChangeAspect="1" noChangeArrowheads="1"/>
                  </pic:cNvPicPr>
                </pic:nvPicPr>
                <pic:blipFill rotWithShape="1">
                  <a:blip r:embed="rId1">
                    <a:extLst>
                      <a:ext uri="{28A0092B-C50C-407E-A947-70E740481C1C}">
                        <a14:useLocalDpi xmlns:a14="http://schemas.microsoft.com/office/drawing/2010/main" val="0"/>
                      </a:ext>
                    </a:extLst>
                  </a:blip>
                  <a:srcRect b="7316"/>
                  <a:stretch/>
                </pic:blipFill>
                <pic:spPr bwMode="auto">
                  <a:xfrm>
                    <a:off x="0" y="0"/>
                    <a:ext cx="966470" cy="659757"/>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8E6" w:rsidRDefault="001F58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F58E6" w:rsidRDefault="001F58E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8E6" w:rsidRPr="00C02A8F" w:rsidRDefault="001F58E6" w:rsidP="001F58E6">
    <w:pPr>
      <w:pStyle w:val="Footer"/>
      <w:jc w:val="right"/>
      <w:rPr>
        <w:sz w:val="22"/>
      </w:rPr>
    </w:pPr>
    <w:r w:rsidRPr="00C02A8F">
      <w:rPr>
        <w:sz w:val="22"/>
      </w:rPr>
      <w:t xml:space="preserve">Page </w:t>
    </w:r>
    <w:r w:rsidRPr="00C02A8F">
      <w:rPr>
        <w:bCs/>
        <w:sz w:val="22"/>
      </w:rPr>
      <w:fldChar w:fldCharType="begin"/>
    </w:r>
    <w:r w:rsidRPr="00C02A8F">
      <w:rPr>
        <w:bCs/>
        <w:sz w:val="22"/>
      </w:rPr>
      <w:instrText xml:space="preserve"> PAGE </w:instrText>
    </w:r>
    <w:r w:rsidRPr="00C02A8F">
      <w:rPr>
        <w:bCs/>
        <w:sz w:val="22"/>
      </w:rPr>
      <w:fldChar w:fldCharType="separate"/>
    </w:r>
    <w:r>
      <w:rPr>
        <w:bCs/>
        <w:noProof/>
        <w:sz w:val="22"/>
      </w:rPr>
      <w:t>1</w:t>
    </w:r>
    <w:r w:rsidRPr="00C02A8F">
      <w:rPr>
        <w:bCs/>
        <w:sz w:val="22"/>
      </w:rPr>
      <w:fldChar w:fldCharType="end"/>
    </w:r>
    <w:r w:rsidRPr="00C02A8F">
      <w:rPr>
        <w:sz w:val="22"/>
      </w:rPr>
      <w:t xml:space="preserve"> of </w:t>
    </w:r>
    <w:r w:rsidRPr="00C02A8F">
      <w:rPr>
        <w:bCs/>
        <w:sz w:val="22"/>
      </w:rPr>
      <w:fldChar w:fldCharType="begin"/>
    </w:r>
    <w:r w:rsidRPr="00C02A8F">
      <w:rPr>
        <w:bCs/>
        <w:sz w:val="22"/>
      </w:rPr>
      <w:instrText xml:space="preserve"> NUMPAGES  </w:instrText>
    </w:r>
    <w:r w:rsidRPr="00C02A8F">
      <w:rPr>
        <w:bCs/>
        <w:sz w:val="22"/>
      </w:rPr>
      <w:fldChar w:fldCharType="separate"/>
    </w:r>
    <w:r>
      <w:rPr>
        <w:bCs/>
        <w:noProof/>
        <w:sz w:val="22"/>
      </w:rPr>
      <w:t>1</w:t>
    </w:r>
    <w:r w:rsidRPr="00C02A8F">
      <w:rPr>
        <w:bCs/>
        <w:sz w:val="22"/>
      </w:rPr>
      <w:fldChar w:fldCharType="end"/>
    </w:r>
  </w:p>
  <w:p w:rsidR="001F58E6" w:rsidRDefault="001F58E6" w:rsidP="001F58E6">
    <w:pPr>
      <w:pStyle w:val="Footer"/>
      <w:ind w:right="360"/>
      <w:jc w:val="right"/>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8E6" w:rsidRDefault="001F58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F58E6" w:rsidRDefault="001F58E6">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8E6" w:rsidRPr="00E24A8E" w:rsidRDefault="001F58E6" w:rsidP="00E24A8E">
    <w:pPr>
      <w:pStyle w:val="Footer"/>
      <w:ind w:left="2880" w:right="360"/>
      <w:jc w:val="right"/>
      <w:rPr>
        <w:sz w:val="20"/>
      </w:rPr>
    </w:pPr>
    <w:r w:rsidRPr="005B07F7">
      <w:rPr>
        <w:sz w:val="20"/>
      </w:rPr>
      <w:ptab w:relativeTo="margin" w:alignment="right" w:leader="none"/>
    </w:r>
    <w:r w:rsidRPr="005B07F7">
      <w:rPr>
        <w:sz w:val="20"/>
      </w:rPr>
      <w:tab/>
      <w:t xml:space="preserve">Page </w:t>
    </w:r>
    <w:r w:rsidRPr="005B07F7">
      <w:rPr>
        <w:bCs/>
        <w:sz w:val="20"/>
      </w:rPr>
      <w:fldChar w:fldCharType="begin"/>
    </w:r>
    <w:r w:rsidRPr="005B07F7">
      <w:rPr>
        <w:bCs/>
        <w:sz w:val="20"/>
      </w:rPr>
      <w:instrText xml:space="preserve"> PAGE </w:instrText>
    </w:r>
    <w:r w:rsidRPr="005B07F7">
      <w:rPr>
        <w:bCs/>
        <w:sz w:val="20"/>
      </w:rPr>
      <w:fldChar w:fldCharType="separate"/>
    </w:r>
    <w:r w:rsidRPr="005B07F7">
      <w:rPr>
        <w:bCs/>
        <w:sz w:val="20"/>
      </w:rPr>
      <w:t>7</w:t>
    </w:r>
    <w:r w:rsidRPr="005B07F7">
      <w:rPr>
        <w:sz w:val="20"/>
      </w:rPr>
      <w:fldChar w:fldCharType="end"/>
    </w:r>
    <w:r w:rsidRPr="005B07F7">
      <w:rPr>
        <w:sz w:val="20"/>
      </w:rPr>
      <w:t xml:space="preserve"> of </w:t>
    </w:r>
    <w:r w:rsidRPr="005B07F7">
      <w:rPr>
        <w:bCs/>
        <w:sz w:val="20"/>
      </w:rPr>
      <w:fldChar w:fldCharType="begin"/>
    </w:r>
    <w:r w:rsidRPr="005B07F7">
      <w:rPr>
        <w:bCs/>
        <w:sz w:val="20"/>
      </w:rPr>
      <w:instrText xml:space="preserve"> NUMPAGES  </w:instrText>
    </w:r>
    <w:r w:rsidRPr="005B07F7">
      <w:rPr>
        <w:bCs/>
        <w:sz w:val="20"/>
      </w:rPr>
      <w:fldChar w:fldCharType="separate"/>
    </w:r>
    <w:r w:rsidRPr="005B07F7">
      <w:rPr>
        <w:bCs/>
        <w:sz w:val="20"/>
      </w:rPr>
      <w:t>13</w:t>
    </w:r>
    <w:r w:rsidRPr="005B07F7">
      <w:rPr>
        <w:sz w:val="20"/>
      </w:rPr>
      <w:fldChar w:fldCharType="end"/>
    </w:r>
    <w:r>
      <w:rPr>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8E6" w:rsidRDefault="001F58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F58E6" w:rsidRDefault="001F58E6">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8E6" w:rsidRDefault="001F58E6" w:rsidP="001F58E6">
    <w:pPr>
      <w:pStyle w:val="Footer"/>
      <w:ind w:right="360"/>
      <w:jc w:val="right"/>
      <w:rPr>
        <w:sz w:val="16"/>
      </w:rPr>
    </w:pPr>
    <w:r w:rsidRPr="001F58E6">
      <w:rPr>
        <w:sz w:val="22"/>
      </w:rPr>
      <w:ptab w:relativeTo="margin" w:alignment="center" w:leader="none"/>
    </w:r>
    <w:r w:rsidRPr="001F58E6">
      <w:rPr>
        <w:sz w:val="22"/>
      </w:rPr>
      <w:ptab w:relativeTo="margin" w:alignment="right" w:leader="none"/>
    </w:r>
    <w:r w:rsidRPr="001F58E6">
      <w:rPr>
        <w:sz w:val="22"/>
      </w:rPr>
      <w:t xml:space="preserve">Page </w:t>
    </w:r>
    <w:r w:rsidRPr="001F58E6">
      <w:rPr>
        <w:bCs/>
        <w:sz w:val="22"/>
      </w:rPr>
      <w:fldChar w:fldCharType="begin"/>
    </w:r>
    <w:r w:rsidRPr="001F58E6">
      <w:rPr>
        <w:bCs/>
        <w:sz w:val="22"/>
      </w:rPr>
      <w:instrText xml:space="preserve"> PAGE </w:instrText>
    </w:r>
    <w:r w:rsidRPr="001F58E6">
      <w:rPr>
        <w:bCs/>
        <w:sz w:val="22"/>
      </w:rPr>
      <w:fldChar w:fldCharType="separate"/>
    </w:r>
    <w:r w:rsidRPr="001F58E6">
      <w:rPr>
        <w:bCs/>
        <w:sz w:val="22"/>
      </w:rPr>
      <w:t>18</w:t>
    </w:r>
    <w:r w:rsidRPr="001F58E6">
      <w:rPr>
        <w:sz w:val="22"/>
      </w:rPr>
      <w:fldChar w:fldCharType="end"/>
    </w:r>
    <w:r w:rsidRPr="001F58E6">
      <w:rPr>
        <w:sz w:val="22"/>
      </w:rPr>
      <w:t xml:space="preserve"> of </w:t>
    </w:r>
    <w:r w:rsidRPr="001F58E6">
      <w:rPr>
        <w:bCs/>
        <w:sz w:val="22"/>
      </w:rPr>
      <w:fldChar w:fldCharType="begin"/>
    </w:r>
    <w:r w:rsidRPr="001F58E6">
      <w:rPr>
        <w:bCs/>
        <w:sz w:val="22"/>
      </w:rPr>
      <w:instrText xml:space="preserve"> NUMPAGES  </w:instrText>
    </w:r>
    <w:r w:rsidRPr="001F58E6">
      <w:rPr>
        <w:bCs/>
        <w:sz w:val="22"/>
      </w:rPr>
      <w:fldChar w:fldCharType="separate"/>
    </w:r>
    <w:r w:rsidRPr="001F58E6">
      <w:rPr>
        <w:bCs/>
        <w:sz w:val="22"/>
      </w:rPr>
      <w:t>18</w:t>
    </w:r>
    <w:r w:rsidRPr="001F58E6">
      <w:rPr>
        <w:sz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8E6" w:rsidRDefault="001F58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F58E6" w:rsidRDefault="001F58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58E6" w:rsidRDefault="001F58E6" w:rsidP="004728C9">
      <w:r>
        <w:separator/>
      </w:r>
    </w:p>
  </w:footnote>
  <w:footnote w:type="continuationSeparator" w:id="0">
    <w:p w:rsidR="001F58E6" w:rsidRDefault="001F58E6" w:rsidP="00472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8E6" w:rsidRDefault="001F58E6" w:rsidP="00E90FAD">
    <w:pPr>
      <w:pStyle w:val="Header"/>
      <w:tabs>
        <w:tab w:val="clear" w:pos="8306"/>
        <w:tab w:val="right" w:pos="9781"/>
      </w:tabs>
      <w:ind w:right="-85"/>
      <w:jc w:val="right"/>
    </w:pPr>
    <w:r>
      <w:ptab w:relativeTo="margin" w:alignment="center" w:leader="none"/>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8E6" w:rsidRDefault="001F58E6">
    <w:pPr>
      <w:pStyle w:val="Header"/>
      <w:rPr>
        <w:b/>
        <w:noProof/>
        <w:sz w:val="22"/>
      </w:rPr>
    </w:pPr>
    <w:r w:rsidRPr="003D6F2A">
      <w:rPr>
        <w:b/>
        <w:noProof/>
        <w:sz w:val="22"/>
      </w:rPr>
      <w:t>25/122.3</w:t>
    </w:r>
    <w:r>
      <w:rPr>
        <w:b/>
        <w:noProof/>
        <w:sz w:val="22"/>
      </w:rPr>
      <w:t xml:space="preserve"> </w:t>
    </w:r>
    <w:r w:rsidRPr="003D6F2A">
      <w:rPr>
        <w:b/>
        <w:noProof/>
        <w:sz w:val="22"/>
      </w:rPr>
      <w:ptab w:relativeTo="margin" w:alignment="center" w:leader="none"/>
    </w:r>
    <w:r w:rsidRPr="003D6F2A">
      <w:rPr>
        <w:b/>
        <w:noProof/>
        <w:sz w:val="22"/>
      </w:rPr>
      <w:ptab w:relativeTo="margin" w:alignment="right" w:leader="none"/>
    </w:r>
    <w:r w:rsidRPr="00233E68">
      <w:rPr>
        <w:b/>
        <w:noProof/>
        <w:sz w:val="22"/>
      </w:rPr>
      <w:drawing>
        <wp:inline distT="0" distB="0" distL="0" distR="0" wp14:anchorId="4428D1FC" wp14:editId="113AFBE2">
          <wp:extent cx="2281033" cy="940931"/>
          <wp:effectExtent l="0" t="0" r="508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
                    <a:extLst>
                      <a:ext uri="{28A0092B-C50C-407E-A947-70E740481C1C}">
                        <a14:useLocalDpi xmlns:a14="http://schemas.microsoft.com/office/drawing/2010/main" val="0"/>
                      </a:ext>
                    </a:extLst>
                  </a:blip>
                  <a:srcRect l="21597" t="18586" r="7383" b="16146"/>
                  <a:stretch/>
                </pic:blipFill>
                <pic:spPr bwMode="auto">
                  <a:xfrm>
                    <a:off x="0" y="0"/>
                    <a:ext cx="2282902" cy="941702"/>
                  </a:xfrm>
                  <a:prstGeom prst="rect">
                    <a:avLst/>
                  </a:prstGeom>
                  <a:solidFill>
                    <a:srgbClr val="FFFFFF">
                      <a:alpha val="0"/>
                    </a:srgbClr>
                  </a:solidFill>
                  <a:ln>
                    <a:noFill/>
                  </a:ln>
                  <a:extLst>
                    <a:ext uri="{53640926-AAD7-44D8-BBD7-CCE9431645EC}">
                      <a14:shadowObscured xmlns:a14="http://schemas.microsoft.com/office/drawing/2010/main"/>
                    </a:ext>
                  </a:extLst>
                </pic:spPr>
              </pic:pic>
            </a:graphicData>
          </a:graphic>
        </wp:inline>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8E6" w:rsidRDefault="00866C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9" type="#_x0000_t136" style="position:absolute;margin-left:0;margin-top:0;width:456.65pt;height:182.65pt;rotation:315;z-index:-251646976;mso-position-horizontal:center;mso-position-horizontal-relative:margin;mso-position-vertical:center;mso-position-vertical-relative:margin" wrapcoords="21352 1328 17769 1328 17734 2302 17308 1328 16705 885 16528 1328 11066 1328 10499 6285 8264 1948 7838 1239 7732 1416 6100 1328 5178 1328 5107 1948 5107 4780 4221 3452 3086 1770 2767 1505 2128 1239 461 1328 426 16731 532 16997 2767 16997 3299 16289 3689 15315 4008 14075 5143 16820 5639 17528 5817 16643 5817 10623 7803 15580 8902 17705 9186 16997 10002 16997 10534 12305 10889 13279 13123 17174 13194 16997 13584 17085 13726 16731 13584 15934 13833 16554 14684 17351 14826 17085 14861 11154 15216 10003 15996 9915 16705 11774 19507 17174 19614 16997 19933 16908 19968 11862 20607 3452 21423 3452 21494 2744 21494 1593 21352 1328" fillcolor="silver" stroked="f">
          <v:fill opacity=".5"/>
          <v:textpath style="font-family:&quot;Arial&quot;;font-size:1pt" string="DRAFT"/>
          <w10:wrap anchorx="margin" anchory="margin"/>
        </v:shape>
      </w:pict>
    </w:r>
    <w:r>
      <w:rPr>
        <w:noProof/>
      </w:rPr>
      <w:pict>
        <v:shape id="_x0000_s10257" type="#_x0000_t136" style="position:absolute;margin-left:0;margin-top:0;width:523.05pt;height:116.2pt;rotation:315;z-index:-251649024;mso-position-horizontal:center;mso-position-horizontal-relative:margin;mso-position-vertical:center;mso-position-vertical-relative:margin" wrapcoords="21414 1254 17230 1254 17199 7386 15526 557 15278 2090 15185 4738 15154 4877 15030 6550 13822 2369 13202 418 13016 1254 11900 1394 11838 5435 10939 2648 10289 836 10196 1254 9080 1394 6911 1951 6632 1533 6043 975 5237 1394 5175 3345 4525 975 4277 1394 4215 5853 3037 1951 2572 836 2417 1394 2386 3345 2417 4041 1519 1812 1147 975 837 1394 558 2090 434 2369 341 3066 310 4041 124 4459 248 5853 992 10312 930 10452 496 12542 186 14772 93 16583 124 16583 217 17001 2510 17001 2634 17559 2727 16862 2758 11845 3192 13796 4525 17559 4618 17141 6012 17141 6632 16723 7035 15747 7097 15468 7283 14214 7500 11148 8181 14214 9390 17837 9576 17280 10754 16305 11032 15050 11404 16165 12117 17280 12210 16583 12210 10312 13357 15468 14224 18116 14410 17001 14627 17141 14751 16583 14968 13099 15464 12263 16549 16862 16890 16862 16797 15050 17230 16862 17540 16862 17571 12263 17757 10034 18439 9894 20298 16862 20608 17001 20639 16583 20639 10312 21166 3205 21383 3623 21507 3066 21507 1672 21414 1254" fillcolor="silver" stroked="f">
          <v:fill opacity=".5"/>
          <v:textpath style="font-family:&quot;Arial&quot;;font-size:1pt" string="2ND 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8E6" w:rsidRDefault="00866C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6" type="#_x0000_t136" alt="" style="position:absolute;margin-left:0;margin-top:0;width:456.65pt;height:182.65pt;rotation:315;z-index:-251638784;mso-wrap-edited:f;mso-width-percent:0;mso-height-percent:0;mso-position-horizontal:center;mso-position-horizontal-relative:margin;mso-position-vertical:center;mso-position-vertical-relative:margin;mso-width-percent:0;mso-height-percent:0" wrapcoords="21352 1328 17769 1328 17734 2302 17308 1328 16705 885 16528 1328 11066 1328 10499 6285 8264 1948 7838 1239 7732 1416 6100 1328 5178 1328 5107 1948 5107 4780 4221 3452 3086 1770 2767 1505 2128 1239 461 1328 426 16731 532 16997 2767 16997 3299 16289 3689 15315 4008 14075 5143 16820 5639 17528 5817 16643 5817 10623 7803 15580 8902 17705 9186 16997 10002 16997 10534 12305 10889 13279 13123 17174 13194 16997 13584 17085 13726 16731 13584 15934 13833 16554 14684 17351 14826 17085 14861 11154 15216 10003 15996 9915 16705 11774 19507 17174 19614 16997 19933 16908 19968 11862 20607 3452 21423 3452 21494 2744 21494 1593 21352 1328" fillcolor="silver" stroked="f">
          <v:fill opacity=".5"/>
          <v:textpath style="font-family:&quot;Arial&quot;;font-size:1pt" string="DRAFT"/>
          <w10:wrap anchorx="margin" anchory="margin"/>
        </v:shape>
      </w:pict>
    </w:r>
    <w:r>
      <w:rPr>
        <w:noProof/>
      </w:rPr>
      <w:pict>
        <v:shape id="_x0000_s10264" type="#_x0000_t136" alt="" style="position:absolute;margin-left:0;margin-top:0;width:523.05pt;height:116.2pt;rotation:315;z-index:-251640832;mso-wrap-edited:f;mso-width-percent:0;mso-height-percent:0;mso-position-horizontal:center;mso-position-horizontal-relative:margin;mso-position-vertical:center;mso-position-vertical-relative:margin;mso-width-percent:0;mso-height-percent:0" wrapcoords="21414 1254 17230 1254 17199 7386 15526 557 15278 2090 15185 4738 15154 4877 15030 6550 13822 2369 13202 418 13016 1254 11900 1394 11838 5435 10939 2648 10289 836 10196 1254 9080 1394 6911 1951 6632 1533 6043 975 5237 1394 5175 3345 4525 975 4277 1394 4215 5853 3037 1951 2572 836 2417 1394 2386 3345 2417 4041 1519 1812 1147 975 837 1394 558 2090 434 2369 341 3066 310 4041 124 4459 248 5853 992 10312 930 10452 496 12542 186 14772 93 16583 124 16583 217 17001 2510 17001 2634 17559 2727 16862 2758 11845 3192 13796 4525 17559 4618 17141 6012 17141 6632 16723 7035 15747 7097 15468 7283 14214 7500 11148 8181 14214 9390 17837 9576 17280 10754 16305 11032 15050 11404 16165 12117 17280 12210 16583 12210 10312 13357 15468 14224 18116 14410 17001 14627 17141 14751 16583 14968 13099 15464 12263 16549 16862 16890 16862 16797 15050 17230 16862 17540 16862 17571 12263 17757 10034 18439 9894 20298 16862 20608 17001 20639 16583 20639 10312 21166 3205 21383 3623 21507 3066 21507 1672 21414 1254" fillcolor="silver" stroked="f">
          <v:fill opacity=".5"/>
          <v:textpath style="font-family:&quot;Arial&quot;;font-size:1pt" string="2ND DRAFT"/>
          <w10:wrap anchorx="margin" anchory="margin"/>
        </v:shape>
      </w:pict>
    </w:r>
    <w:r>
      <w:rPr>
        <w:noProof/>
      </w:rPr>
      <w:pict>
        <v:shape id="_x0000_s10262" type="#_x0000_t136" alt="" style="position:absolute;margin-left:0;margin-top:0;width:523.05pt;height:116.2pt;rotation:315;z-index:-251642880;mso-wrap-edited:f;mso-width-percent:0;mso-height-percent:0;mso-position-horizontal:center;mso-position-horizontal-relative:margin;mso-position-vertical:center;mso-position-vertical-relative:margin;mso-width-percent:0;mso-height-percent:0" wrapcoords="21414 1254 17230 1254 17199 7386 15526 557 15278 2090 15185 4738 15154 4877 15030 6550 13822 2369 13202 418 13016 1254 11900 1394 11838 5435 10939 2648 10289 836 10196 1254 9080 1394 6911 1951 6632 1533 6043 975 5237 1394 5175 3345 4525 975 4277 1394 4215 5853 3037 1951 2572 836 2417 1394 2386 3345 2417 4041 1519 1812 1147 975 837 1394 558 2090 434 2369 341 3066 310 4041 124 4459 248 5853 992 10312 930 10452 496 12542 186 14772 93 16583 124 16583 217 17001 2510 17001 2634 17559 2727 16862 2758 11845 3192 13796 4525 17559 4618 17141 6012 17141 6632 16723 7035 15747 7097 15468 7283 14214 7500 11148 8181 14214 9390 17837 9576 17280 10754 16305 11032 15050 11404 16165 12117 17280 12210 16583 12210 10312 13357 15468 14224 18116 14410 17001 14627 17141 14751 16583 14968 13099 15464 12263 16549 16862 16890 16862 16797 15050 17230 16862 17540 16862 17571 12263 17757 10034 18439 9894 20298 16862 20608 17001 20639 16583 20639 10312 21166 3205 21383 3623 21507 3066 21507 1672 21414 1254" fillcolor="silver" stroked="f">
          <v:fill opacity=".5"/>
          <v:textpath style="font-family:&quot;Arial&quot;;font-size:1pt" string="2ND 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8E6" w:rsidRDefault="001F58E6">
    <w:pPr>
      <w:pStyle w:val="Header"/>
      <w:rPr>
        <w:b/>
        <w:noProof/>
        <w:sz w:val="22"/>
      </w:rPr>
    </w:pPr>
    <w:r w:rsidRPr="009A5FE6">
      <w:rPr>
        <w:b/>
        <w:noProof/>
        <w:sz w:val="22"/>
      </w:rPr>
      <w:t>25/122.4</w:t>
    </w:r>
    <w:r>
      <w:rPr>
        <w:b/>
        <w:noProof/>
        <w:sz w:val="22"/>
      </w:rPr>
      <w:t xml:space="preserve"> </w:t>
    </w:r>
    <w:r w:rsidRPr="009A5FE6">
      <w:rPr>
        <w:b/>
        <w:noProof/>
        <w:sz w:val="22"/>
      </w:rPr>
      <w:ptab w:relativeTo="margin" w:alignment="center" w:leader="none"/>
    </w:r>
    <w:r w:rsidRPr="009A5FE6">
      <w:rPr>
        <w:b/>
        <w:noProof/>
        <w:sz w:val="22"/>
      </w:rPr>
      <w:ptab w:relativeTo="margin" w:alignment="right" w:leader="none"/>
    </w:r>
    <w:r w:rsidRPr="00233E68">
      <w:rPr>
        <w:b/>
        <w:noProof/>
        <w:sz w:val="22"/>
      </w:rPr>
      <w:drawing>
        <wp:inline distT="0" distB="0" distL="0" distR="0" wp14:anchorId="22FE2363" wp14:editId="2484AD96">
          <wp:extent cx="2163482" cy="977169"/>
          <wp:effectExtent l="0" t="0" r="8255"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
                    <a:extLst>
                      <a:ext uri="{28A0092B-C50C-407E-A947-70E740481C1C}">
                        <a14:useLocalDpi xmlns:a14="http://schemas.microsoft.com/office/drawing/2010/main" val="0"/>
                      </a:ext>
                    </a:extLst>
                  </a:blip>
                  <a:srcRect l="26107" t="16076" r="6537" b="16145"/>
                  <a:stretch/>
                </pic:blipFill>
                <pic:spPr bwMode="auto">
                  <a:xfrm>
                    <a:off x="0" y="0"/>
                    <a:ext cx="2165171" cy="977932"/>
                  </a:xfrm>
                  <a:prstGeom prst="rect">
                    <a:avLst/>
                  </a:prstGeom>
                  <a:solidFill>
                    <a:srgbClr val="FFFFFF">
                      <a:alpha val="0"/>
                    </a:srgbClr>
                  </a:solidFill>
                  <a:ln>
                    <a:noFill/>
                  </a:ln>
                  <a:extLst>
                    <a:ext uri="{53640926-AAD7-44D8-BBD7-CCE9431645EC}">
                      <a14:shadowObscured xmlns:a14="http://schemas.microsoft.com/office/drawing/2010/main"/>
                    </a:ext>
                  </a:extLst>
                </pic:spPr>
              </pic:pic>
            </a:graphicData>
          </a:graphic>
        </wp:inline>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8E6" w:rsidRDefault="00866C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5" type="#_x0000_t136" alt="" style="position:absolute;margin-left:0;margin-top:0;width:456.65pt;height:182.65pt;rotation:315;z-index:-251639808;mso-wrap-edited:f;mso-width-percent:0;mso-height-percent:0;mso-position-horizontal:center;mso-position-horizontal-relative:margin;mso-position-vertical:center;mso-position-vertical-relative:margin;mso-width-percent:0;mso-height-percent:0" wrapcoords="21352 1328 17769 1328 17734 2302 17308 1328 16705 885 16528 1328 11066 1328 10499 6285 8264 1948 7838 1239 7732 1416 6100 1328 5178 1328 5107 1948 5107 4780 4221 3452 3086 1770 2767 1505 2128 1239 461 1328 426 16731 532 16997 2767 16997 3299 16289 3689 15315 4008 14075 5143 16820 5639 17528 5817 16643 5817 10623 7803 15580 8902 17705 9186 16997 10002 16997 10534 12305 10889 13279 13123 17174 13194 16997 13584 17085 13726 16731 13584 15934 13833 16554 14684 17351 14826 17085 14861 11154 15216 10003 15996 9915 16705 11774 19507 17174 19614 16997 19933 16908 19968 11862 20607 3452 21423 3452 21494 2744 21494 1593 21352 1328" fillcolor="silver" stroked="f">
          <v:fill opacity=".5"/>
          <v:textpath style="font-family:&quot;Arial&quot;;font-size:1pt" string="DRAFT"/>
          <w10:wrap anchorx="margin" anchory="margin"/>
        </v:shape>
      </w:pict>
    </w:r>
    <w:r>
      <w:rPr>
        <w:noProof/>
      </w:rPr>
      <w:pict>
        <v:shape id="_x0000_s10263" type="#_x0000_t136" alt="" style="position:absolute;margin-left:0;margin-top:0;width:523.05pt;height:116.2pt;rotation:315;z-index:-251641856;mso-wrap-edited:f;mso-width-percent:0;mso-height-percent:0;mso-position-horizontal:center;mso-position-horizontal-relative:margin;mso-position-vertical:center;mso-position-vertical-relative:margin;mso-width-percent:0;mso-height-percent:0" wrapcoords="21414 1254 17230 1254 17199 7386 15526 557 15278 2090 15185 4738 15154 4877 15030 6550 13822 2369 13202 418 13016 1254 11900 1394 11838 5435 10939 2648 10289 836 10196 1254 9080 1394 6911 1951 6632 1533 6043 975 5237 1394 5175 3345 4525 975 4277 1394 4215 5853 3037 1951 2572 836 2417 1394 2386 3345 2417 4041 1519 1812 1147 975 837 1394 558 2090 434 2369 341 3066 310 4041 124 4459 248 5853 992 10312 930 10452 496 12542 186 14772 93 16583 124 16583 217 17001 2510 17001 2634 17559 2727 16862 2758 11845 3192 13796 4525 17559 4618 17141 6012 17141 6632 16723 7035 15747 7097 15468 7283 14214 7500 11148 8181 14214 9390 17837 9576 17280 10754 16305 11032 15050 11404 16165 12117 17280 12210 16583 12210 10312 13357 15468 14224 18116 14410 17001 14627 17141 14751 16583 14968 13099 15464 12263 16549 16862 16890 16862 16797 15050 17230 16862 17540 16862 17571 12263 17757 10034 18439 9894 20298 16862 20608 17001 20639 16583 20639 10312 21166 3205 21383 3623 21507 3066 21507 1672 21414 1254" fillcolor="silver" stroked="f">
          <v:fill opacity=".5"/>
          <v:textpath style="font-family:&quot;Arial&quot;;font-size:1pt" string="2ND DRAFT"/>
          <w10:wrap anchorx="margin" anchory="margin"/>
        </v:shape>
      </w:pict>
    </w:r>
    <w:r>
      <w:rPr>
        <w:noProof/>
      </w:rPr>
      <w:pict>
        <v:shape id="_x0000_s10261" type="#_x0000_t136" alt="" style="position:absolute;margin-left:0;margin-top:0;width:523.05pt;height:116.2pt;rotation:315;z-index:-251643904;mso-wrap-edited:f;mso-width-percent:0;mso-height-percent:0;mso-position-horizontal:center;mso-position-horizontal-relative:margin;mso-position-vertical:center;mso-position-vertical-relative:margin;mso-width-percent:0;mso-height-percent:0" wrapcoords="21414 1254 17230 1254 17199 7386 15526 557 15278 2090 15185 4738 15154 4877 15030 6550 13822 2369 13202 418 13016 1254 11900 1394 11838 5435 10939 2648 10289 836 10196 1254 9080 1394 6911 1951 6632 1533 6043 975 5237 1394 5175 3345 4525 975 4277 1394 4215 5853 3037 1951 2572 836 2417 1394 2386 3345 2417 4041 1519 1812 1147 975 837 1394 558 2090 434 2369 341 3066 310 4041 124 4459 248 5853 992 10312 930 10452 496 12542 186 14772 93 16583 124 16583 217 17001 2510 17001 2634 17559 2727 16862 2758 11845 3192 13796 4525 17559 4618 17141 6012 17141 6632 16723 7035 15747 7097 15468 7283 14214 7500 11148 8181 14214 9390 17837 9576 17280 10754 16305 11032 15050 11404 16165 12117 17280 12210 16583 12210 10312 13357 15468 14224 18116 14410 17001 14627 17141 14751 16583 14968 13099 15464 12263 16549 16862 16890 16862 16797 15050 17230 16862 17540 16862 17571 12263 17757 10034 18439 9894 20298 16862 20608 17001 20639 16583 20639 10312 21166 3205 21383 3623 21507 3066 21507 1672 21414 1254" fillcolor="silver" stroked="f">
          <v:fill opacity=".5"/>
          <v:textpath style="font-family:&quot;Arial&quot;;font-size:1pt" string="2ND DRAFT"/>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8E6" w:rsidRDefault="00866C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2" type="#_x0000_t136" style="position:absolute;margin-left:0;margin-top:0;width:456.65pt;height:182.65pt;rotation:315;z-index:-251631616;mso-position-horizontal:center;mso-position-horizontal-relative:margin;mso-position-vertical:center;mso-position-vertical-relative:margin" wrapcoords="21352 1328 17769 1328 17734 2302 17308 1328 16705 885 16528 1328 11066 1328 10499 6285 8264 1948 7838 1239 7732 1416 6100 1328 5178 1328 5107 1948 5107 4780 4221 3452 3086 1770 2767 1505 2128 1239 461 1328 426 16731 532 16997 2767 16997 3299 16289 3689 15315 4008 14075 5143 16820 5639 17528 5817 16643 5817 10623 7803 15580 8902 17705 9186 16997 10002 16997 10534 12305 10889 13279 13123 17174 13194 16997 13584 17085 13726 16731 13584 15934 13833 16554 14684 17351 14826 17085 14861 11154 15216 10003 15996 9915 16705 11774 19507 17174 19614 16997 19933 16908 19968 11862 20607 3452 21423 3452 21494 2744 21494 1593 21352 1328" fillcolor="silver" stroked="f">
          <v:fill opacity=".5"/>
          <v:textpath style="font-family:&quot;Arial&quot;;font-size:1pt" string="DRAFT"/>
          <w10:wrap anchorx="margin" anchory="margin"/>
        </v:shape>
      </w:pict>
    </w:r>
    <w:r>
      <w:rPr>
        <w:noProof/>
      </w:rPr>
      <w:pict>
        <v:shape id="_x0000_s10270" type="#_x0000_t136" style="position:absolute;margin-left:0;margin-top:0;width:523.05pt;height:116.2pt;rotation:315;z-index:-251633664;mso-position-horizontal:center;mso-position-horizontal-relative:margin;mso-position-vertical:center;mso-position-vertical-relative:margin" wrapcoords="21414 1254 17230 1254 17199 7386 15526 557 15278 2090 15185 4738 15154 4877 15030 6550 13822 2369 13202 418 13016 1254 11900 1394 11838 5435 10939 2648 10289 836 10196 1254 9080 1394 6911 1951 6632 1533 6043 975 5237 1394 5175 3345 4525 975 4277 1394 4215 5853 3037 1951 2572 836 2417 1394 2386 3345 2417 4041 1519 1812 1147 975 837 1394 558 2090 434 2369 341 3066 310 4041 124 4459 248 5853 992 10312 930 10452 496 12542 186 14772 93 16583 124 16583 217 17001 2510 17001 2634 17559 2727 16862 2758 11845 3192 13796 4525 17559 4618 17141 6012 17141 6632 16723 7035 15747 7097 15468 7283 14214 7500 11148 8181 14214 9390 17837 9576 17280 10754 16305 11032 15050 11404 16165 12117 17280 12210 16583 12210 10312 13357 15468 14224 18116 14410 17001 14627 17141 14751 16583 14968 13099 15464 12263 16549 16862 16890 16862 16797 15050 17230 16862 17540 16862 17571 12263 17757 10034 18439 9894 20298 16862 20608 17001 20639 16583 20639 10312 21166 3205 21383 3623 21507 3066 21507 1672 21414 1254" fillcolor="silver" stroked="f">
          <v:fill opacity=".5"/>
          <v:textpath style="font-family:&quot;Arial&quot;;font-size:1pt" string="2ND DRAFT"/>
          <w10:wrap anchorx="margin" anchory="margin"/>
        </v:shape>
      </w:pict>
    </w:r>
    <w:r>
      <w:rPr>
        <w:noProof/>
      </w:rPr>
      <w:pict>
        <v:shape id="_x0000_s10268" type="#_x0000_t136" style="position:absolute;margin-left:0;margin-top:0;width:523.05pt;height:116.2pt;rotation:315;z-index:-251635712;mso-position-horizontal:center;mso-position-horizontal-relative:margin;mso-position-vertical:center;mso-position-vertical-relative:margin" wrapcoords="21414 1254 17230 1254 17199 7386 15526 557 15278 2090 15185 4738 15154 4877 15030 6550 13822 2369 13202 418 13016 1254 11900 1394 11838 5435 10939 2648 10289 836 10196 1254 9080 1394 6911 1951 6632 1533 6043 975 5237 1394 5175 3345 4525 975 4277 1394 4215 5853 3037 1951 2572 836 2417 1394 2386 3345 2417 4041 1519 1812 1147 975 837 1394 558 2090 434 2369 341 3066 310 4041 124 4459 248 5853 992 10312 930 10452 496 12542 186 14772 93 16583 124 16583 217 17001 2510 17001 2634 17559 2727 16862 2758 11845 3192 13796 4525 17559 4618 17141 6012 17141 6632 16723 7035 15747 7097 15468 7283 14214 7500 11148 8181 14214 9390 17837 9576 17280 10754 16305 11032 15050 11404 16165 12117 17280 12210 16583 12210 10312 13357 15468 14224 18116 14410 17001 14627 17141 14751 16583 14968 13099 15464 12263 16549 16862 16890 16862 16797 15050 17230 16862 17540 16862 17571 12263 17757 10034 18439 9894 20298 16862 20608 17001 20639 16583 20639 10312 21166 3205 21383 3623 21507 3066 21507 1672 21414 1254" fillcolor="silver" stroked="f">
          <v:fill opacity=".5"/>
          <v:textpath style="font-family:&quot;Arial&quot;;font-size:1pt" string="2ND DRAF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8E6" w:rsidRDefault="001F58E6">
    <w:pPr>
      <w:pStyle w:val="Header"/>
      <w:rPr>
        <w:b/>
        <w:noProof/>
        <w:sz w:val="22"/>
      </w:rPr>
    </w:pPr>
    <w:r w:rsidRPr="002A24E7">
      <w:rPr>
        <w:b/>
        <w:noProof/>
        <w:sz w:val="22"/>
      </w:rPr>
      <w:t>25/122.4.1</w:t>
    </w:r>
    <w:r>
      <w:rPr>
        <w:b/>
        <w:noProof/>
        <w:sz w:val="22"/>
      </w:rPr>
      <w:t xml:space="preserve"> </w:t>
    </w:r>
    <w:r w:rsidRPr="002A24E7">
      <w:rPr>
        <w:b/>
        <w:noProof/>
        <w:sz w:val="22"/>
      </w:rPr>
      <w:ptab w:relativeTo="margin" w:alignment="center" w:leader="none"/>
    </w:r>
    <w:r w:rsidRPr="002A24E7">
      <w:rPr>
        <w:b/>
        <w:noProof/>
        <w:sz w:val="22"/>
      </w:rPr>
      <w:ptab w:relativeTo="margin" w:alignment="right" w:leader="none"/>
    </w:r>
    <w:r w:rsidRPr="000D1A12">
      <w:rPr>
        <w:b/>
        <w:noProof/>
        <w:sz w:val="22"/>
      </w:rPr>
      <w:drawing>
        <wp:inline distT="0" distB="0" distL="0" distR="0" wp14:anchorId="74CC77B4" wp14:editId="467AB40D">
          <wp:extent cx="2371712" cy="1013360"/>
          <wp:effectExtent l="0" t="0" r="0" b="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
                    <a:extLst>
                      <a:ext uri="{28A0092B-C50C-407E-A947-70E740481C1C}">
                        <a14:useLocalDpi xmlns:a14="http://schemas.microsoft.com/office/drawing/2010/main" val="0"/>
                      </a:ext>
                    </a:extLst>
                  </a:blip>
                  <a:srcRect l="19624" t="13567" r="6535" b="16144"/>
                  <a:stretch/>
                </pic:blipFill>
                <pic:spPr bwMode="auto">
                  <a:xfrm>
                    <a:off x="0" y="0"/>
                    <a:ext cx="2373591" cy="1014163"/>
                  </a:xfrm>
                  <a:prstGeom prst="rect">
                    <a:avLst/>
                  </a:prstGeom>
                  <a:solidFill>
                    <a:srgbClr val="FFFFFF">
                      <a:alpha val="0"/>
                    </a:srgbClr>
                  </a:solidFill>
                  <a:ln>
                    <a:noFill/>
                  </a:ln>
                  <a:extLst>
                    <a:ext uri="{53640926-AAD7-44D8-BBD7-CCE9431645EC}">
                      <a14:shadowObscured xmlns:a14="http://schemas.microsoft.com/office/drawing/2010/main"/>
                    </a:ext>
                  </a:extLst>
                </pic:spPr>
              </pic:pic>
            </a:graphicData>
          </a:graphic>
        </wp:inline>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8E6" w:rsidRDefault="00866C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1" type="#_x0000_t136" style="position:absolute;margin-left:0;margin-top:0;width:456.65pt;height:182.65pt;rotation:315;z-index:-251632640;mso-position-horizontal:center;mso-position-horizontal-relative:margin;mso-position-vertical:center;mso-position-vertical-relative:margin" wrapcoords="21352 1328 17769 1328 17734 2302 17308 1328 16705 885 16528 1328 11066 1328 10499 6285 8264 1948 7838 1239 7732 1416 6100 1328 5178 1328 5107 1948 5107 4780 4221 3452 3086 1770 2767 1505 2128 1239 461 1328 426 16731 532 16997 2767 16997 3299 16289 3689 15315 4008 14075 5143 16820 5639 17528 5817 16643 5817 10623 7803 15580 8902 17705 9186 16997 10002 16997 10534 12305 10889 13279 13123 17174 13194 16997 13584 17085 13726 16731 13584 15934 13833 16554 14684 17351 14826 17085 14861 11154 15216 10003 15996 9915 16705 11774 19507 17174 19614 16997 19933 16908 19968 11862 20607 3452 21423 3452 21494 2744 21494 1593 21352 1328" fillcolor="silver" stroked="f">
          <v:fill opacity=".5"/>
          <v:textpath style="font-family:&quot;Arial&quot;;font-size:1pt" string="DRAFT"/>
          <w10:wrap anchorx="margin" anchory="margin"/>
        </v:shape>
      </w:pict>
    </w:r>
    <w:r>
      <w:rPr>
        <w:noProof/>
      </w:rPr>
      <w:pict>
        <v:shape id="_x0000_s10269" type="#_x0000_t136" style="position:absolute;margin-left:0;margin-top:0;width:523.05pt;height:116.2pt;rotation:315;z-index:-251634688;mso-position-horizontal:center;mso-position-horizontal-relative:margin;mso-position-vertical:center;mso-position-vertical-relative:margin" wrapcoords="21414 1254 17230 1254 17199 7386 15526 557 15278 2090 15185 4738 15154 4877 15030 6550 13822 2369 13202 418 13016 1254 11900 1394 11838 5435 10939 2648 10289 836 10196 1254 9080 1394 6911 1951 6632 1533 6043 975 5237 1394 5175 3345 4525 975 4277 1394 4215 5853 3037 1951 2572 836 2417 1394 2386 3345 2417 4041 1519 1812 1147 975 837 1394 558 2090 434 2369 341 3066 310 4041 124 4459 248 5853 992 10312 930 10452 496 12542 186 14772 93 16583 124 16583 217 17001 2510 17001 2634 17559 2727 16862 2758 11845 3192 13796 4525 17559 4618 17141 6012 17141 6632 16723 7035 15747 7097 15468 7283 14214 7500 11148 8181 14214 9390 17837 9576 17280 10754 16305 11032 15050 11404 16165 12117 17280 12210 16583 12210 10312 13357 15468 14224 18116 14410 17001 14627 17141 14751 16583 14968 13099 15464 12263 16549 16862 16890 16862 16797 15050 17230 16862 17540 16862 17571 12263 17757 10034 18439 9894 20298 16862 20608 17001 20639 16583 20639 10312 21166 3205 21383 3623 21507 3066 21507 1672 21414 1254" fillcolor="silver" stroked="f">
          <v:fill opacity=".5"/>
          <v:textpath style="font-family:&quot;Arial&quot;;font-size:1pt" string="2ND DRAFT"/>
          <w10:wrap anchorx="margin" anchory="margin"/>
        </v:shape>
      </w:pict>
    </w:r>
    <w:r>
      <w:rPr>
        <w:noProof/>
      </w:rPr>
      <w:pict>
        <v:shape id="_x0000_s10267" type="#_x0000_t136" style="position:absolute;margin-left:0;margin-top:0;width:523.05pt;height:116.2pt;rotation:315;z-index:-251636736;mso-position-horizontal:center;mso-position-horizontal-relative:margin;mso-position-vertical:center;mso-position-vertical-relative:margin" wrapcoords="21414 1254 17230 1254 17199 7386 15526 557 15278 2090 15185 4738 15154 4877 15030 6550 13822 2369 13202 418 13016 1254 11900 1394 11838 5435 10939 2648 10289 836 10196 1254 9080 1394 6911 1951 6632 1533 6043 975 5237 1394 5175 3345 4525 975 4277 1394 4215 5853 3037 1951 2572 836 2417 1394 2386 3345 2417 4041 1519 1812 1147 975 837 1394 558 2090 434 2369 341 3066 310 4041 124 4459 248 5853 992 10312 930 10452 496 12542 186 14772 93 16583 124 16583 217 17001 2510 17001 2634 17559 2727 16862 2758 11845 3192 13796 4525 17559 4618 17141 6012 17141 6632 16723 7035 15747 7097 15468 7283 14214 7500 11148 8181 14214 9390 17837 9576 17280 10754 16305 11032 15050 11404 16165 12117 17280 12210 16583 12210 10312 13357 15468 14224 18116 14410 17001 14627 17141 14751 16583 14968 13099 15464 12263 16549 16862 16890 16862 16797 15050 17230 16862 17540 16862 17571 12263 17757 10034 18439 9894 20298 16862 20608 17001 20639 16583 20639 10312 21166 3205 21383 3623 21507 3066 21507 1672 21414 1254" fillcolor="silver" stroked="f">
          <v:fill opacity=".5"/>
          <v:textpath style="font-family:&quot;Arial&quot;;font-size:1pt" string="2N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8E6" w:rsidRDefault="001F58E6" w:rsidP="00CC7238">
    <w:pPr>
      <w:pStyle w:val="Header"/>
      <w:jc w:val="right"/>
    </w:pPr>
    <w:r>
      <w:rPr>
        <w:noProof/>
      </w:rPr>
      <w:drawing>
        <wp:inline distT="0" distB="0" distL="0" distR="0" wp14:anchorId="5A14488D" wp14:editId="573035F1">
          <wp:extent cx="2797250" cy="1038709"/>
          <wp:effectExtent l="0" t="0" r="3175" b="9525"/>
          <wp:docPr id="2" name="Picture 2" descr="East Kent Hospitals University NHS Foundation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179" t="16293" r="7759" b="14074"/>
                  <a:stretch/>
                </pic:blipFill>
                <pic:spPr bwMode="auto">
                  <a:xfrm>
                    <a:off x="0" y="0"/>
                    <a:ext cx="2844952" cy="105642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8E6" w:rsidRDefault="00866C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48" type="#_x0000_t136" style="position:absolute;margin-left:0;margin-top:0;width:523.05pt;height:116.2pt;rotation:315;z-index:-251656192;mso-position-horizontal:center;mso-position-horizontal-relative:margin;mso-position-vertical:center;mso-position-vertical-relative:margin" wrapcoords="21414 1254 17230 1254 17199 7386 15526 557 15278 2090 15185 4738 15154 4877 15030 6550 13822 2369 13202 418 13016 1254 11900 1394 11838 5435 10939 2648 10289 836 10196 1254 9080 1394 6911 1951 6632 1533 6043 975 5237 1394 5175 3345 4525 975 4277 1394 4215 5853 3037 1951 2572 836 2417 1394 2386 3345 2417 4041 1519 1812 1147 975 837 1394 558 2090 434 2369 341 3066 310 4041 124 4459 248 5853 992 10312 930 10452 496 12542 186 14772 93 16583 124 16583 217 17001 2510 17001 2634 17559 2727 16862 2758 11845 3192 13796 4525 17559 4618 17141 6012 17141 6632 16723 7035 15747 7097 15468 7283 14214 7500 11148 8181 14214 9390 17837 9576 17280 10754 16305 11032 15050 11404 16165 12117 17280 12210 16583 12210 10312 13357 15468 14224 18116 14410 17001 14627 17141 14751 16583 14968 13099 15464 12263 16549 16862 16890 16862 16797 15050 17230 16862 17540 16862 17571 12263 17757 10034 18439 9894 20298 16862 20608 17001 20639 16583 20639 10312 21166 3205 21383 3623 21507 3066 21507 1672 21414 1254" fillcolor="silver" stroked="f">
          <v:fill opacity=".5"/>
          <v:textpath style="font-family:&quot;Arial&quot;;font-size:1pt" string="2ND 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8E6" w:rsidRDefault="001F58E6">
    <w:pPr>
      <w:pStyle w:val="Header"/>
      <w:rPr>
        <w:b/>
        <w:noProof/>
        <w:sz w:val="22"/>
      </w:rPr>
    </w:pPr>
    <w:r w:rsidRPr="00220596">
      <w:rPr>
        <w:b/>
        <w:noProof/>
        <w:sz w:val="22"/>
      </w:rPr>
      <w:t>25/122.1</w:t>
    </w:r>
    <w:r>
      <w:rPr>
        <w:b/>
        <w:noProof/>
        <w:sz w:val="22"/>
      </w:rPr>
      <w:t xml:space="preserve"> </w:t>
    </w:r>
    <w:r w:rsidRPr="00220596">
      <w:rPr>
        <w:b/>
        <w:noProof/>
        <w:sz w:val="22"/>
      </w:rPr>
      <w:ptab w:relativeTo="margin" w:alignment="center" w:leader="none"/>
    </w:r>
    <w:r w:rsidRPr="00220596">
      <w:rPr>
        <w:b/>
        <w:noProof/>
        <w:sz w:val="22"/>
      </w:rPr>
      <w:ptab w:relativeTo="margin" w:alignment="right" w:leader="none"/>
    </w:r>
    <w:r w:rsidRPr="00233E68">
      <w:rPr>
        <w:b/>
        <w:noProof/>
        <w:sz w:val="22"/>
      </w:rPr>
      <w:drawing>
        <wp:inline distT="0" distB="0" distL="0" distR="0" wp14:anchorId="228FF737" wp14:editId="080BB3BA">
          <wp:extent cx="2034871" cy="977265"/>
          <wp:effectExtent l="0" t="0" r="3810" b="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
                    <a:extLst>
                      <a:ext uri="{28A0092B-C50C-407E-A947-70E740481C1C}">
                        <a14:useLocalDpi xmlns:a14="http://schemas.microsoft.com/office/drawing/2010/main" val="0"/>
                      </a:ext>
                    </a:extLst>
                  </a:blip>
                  <a:srcRect l="29604" t="15192" r="7027" b="17005"/>
                  <a:stretch/>
                </pic:blipFill>
                <pic:spPr bwMode="auto">
                  <a:xfrm>
                    <a:off x="0" y="0"/>
                    <a:ext cx="2036939" cy="978258"/>
                  </a:xfrm>
                  <a:prstGeom prst="rect">
                    <a:avLst/>
                  </a:prstGeom>
                  <a:solidFill>
                    <a:srgbClr val="FFFFFF">
                      <a:alpha val="0"/>
                    </a:srgbClr>
                  </a:solidFill>
                  <a:ln>
                    <a:noFill/>
                  </a:ln>
                  <a:extLst>
                    <a:ext uri="{53640926-AAD7-44D8-BBD7-CCE9431645EC}">
                      <a14:shadowObscured xmlns:a14="http://schemas.microsoft.com/office/drawing/2010/main"/>
                    </a:ext>
                  </a:extLst>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8E6" w:rsidRDefault="00866C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47" type="#_x0000_t136" style="position:absolute;margin-left:0;margin-top:0;width:523.05pt;height:116.2pt;rotation:315;z-index:-251657216;mso-position-horizontal:center;mso-position-horizontal-relative:margin;mso-position-vertical:center;mso-position-vertical-relative:margin" wrapcoords="21414 1254 17230 1254 17199 7386 15526 557 15278 2090 15185 4738 15154 4877 15030 6550 13822 2369 13202 418 13016 1254 11900 1394 11838 5435 10939 2648 10289 836 10196 1254 9080 1394 6911 1951 6632 1533 6043 975 5237 1394 5175 3345 4525 975 4277 1394 4215 5853 3037 1951 2572 836 2417 1394 2386 3345 2417 4041 1519 1812 1147 975 837 1394 558 2090 434 2369 341 3066 310 4041 124 4459 248 5853 992 10312 930 10452 496 12542 186 14772 93 16583 124 16583 217 17001 2510 17001 2634 17559 2727 16862 2758 11845 3192 13796 4525 17559 4618 17141 6012 17141 6632 16723 7035 15747 7097 15468 7283 14214 7500 11148 8181 14214 9390 17837 9576 17280 10754 16305 11032 15050 11404 16165 12117 17280 12210 16583 12210 10312 13357 15468 14224 18116 14410 17001 14627 17141 14751 16583 14968 13099 15464 12263 16549 16862 16890 16862 16797 15050 17230 16862 17540 16862 17571 12263 17757 10034 18439 9894 20298 16862 20608 17001 20639 16583 20639 10312 21166 3205 21383 3623 21507 3066 21507 1672 21414 1254" fillcolor="silver" stroked="f">
          <v:fill opacity=".5"/>
          <v:textpath style="font-family:&quot;Arial&quot;;font-size:1pt" string="2ND 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8E6" w:rsidRDefault="00866C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6" type="#_x0000_t136" style="position:absolute;margin-left:0;margin-top:0;width:456.65pt;height:182.65pt;rotation:315;z-index:-251651072;mso-position-horizontal:center;mso-position-horizontal-relative:margin;mso-position-vertical:center;mso-position-vertical-relative:margin" wrapcoords="21352 1328 17769 1328 17734 2302 17308 1328 16705 885 16528 1328 11066 1328 10499 6285 8264 1948 7838 1239 7732 1416 6100 1328 5178 1328 5107 1948 5107 4780 4221 3452 3086 1770 2767 1505 2128 1239 461 1328 426 16731 532 16997 2767 16997 3299 16289 3689 15315 4008 14075 5143 16820 5639 17528 5817 16643 5817 10623 7803 15580 8902 17705 9186 16997 10002 16997 10534 12305 10889 13279 13123 17174 13194 16997 13584 17085 13726 16731 13584 15934 13833 16554 14684 17351 14826 17085 14861 11154 15216 10003 15996 9915 16705 11774 19507 17174 19614 16997 19933 16908 19968 11862 20607 3452 21423 3452 21494 2744 21494 1593 21352 1328" fillcolor="silver" stroked="f">
          <v:fill opacity=".5"/>
          <v:textpath style="font-family:&quot;Arial&quot;;font-size:1pt" string="DRAFT"/>
          <w10:wrap anchorx="margin" anchory="margin"/>
        </v:shape>
      </w:pict>
    </w:r>
    <w:r>
      <w:rPr>
        <w:noProof/>
      </w:rPr>
      <w:pict>
        <v:shape id="_x0000_s10254" type="#_x0000_t136" style="position:absolute;margin-left:0;margin-top:0;width:523.05pt;height:116.2pt;rotation:315;z-index:-251653120;mso-position-horizontal:center;mso-position-horizontal-relative:margin;mso-position-vertical:center;mso-position-vertical-relative:margin" wrapcoords="21414 1254 17230 1254 17199 7386 15526 557 15278 2090 15185 4738 15154 4877 15030 6550 13822 2369 13202 418 13016 1254 11900 1394 11838 5435 10939 2648 10289 836 10196 1254 9080 1394 6911 1951 6632 1533 6043 975 5237 1394 5175 3345 4525 975 4277 1394 4215 5853 3037 1951 2572 836 2417 1394 2386 3345 2417 4041 1519 1812 1147 975 837 1394 558 2090 434 2369 341 3066 310 4041 124 4459 248 5853 992 10312 930 10452 496 12542 186 14772 93 16583 124 16583 217 17001 2510 17001 2634 17559 2727 16862 2758 11845 3192 13796 4525 17559 4618 17141 6012 17141 6632 16723 7035 15747 7097 15468 7283 14214 7500 11148 8181 14214 9390 17837 9576 17280 10754 16305 11032 15050 11404 16165 12117 17280 12210 16583 12210 10312 13357 15468 14224 18116 14410 17001 14627 17141 14751 16583 14968 13099 15464 12263 16549 16862 16890 16862 16797 15050 17230 16862 17540 16862 17571 12263 17757 10034 18439 9894 20298 16862 20608 17001 20639 16583 20639 10312 21166 3205 21383 3623 21507 3066 21507 1672 21414 1254" fillcolor="silver" stroked="f">
          <v:fill opacity=".5"/>
          <v:textpath style="font-family:&quot;Arial&quot;;font-size:1pt" string="2ND 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8E6" w:rsidRDefault="001F58E6">
    <w:pPr>
      <w:pStyle w:val="Header"/>
      <w:rPr>
        <w:b/>
        <w:noProof/>
        <w:sz w:val="22"/>
      </w:rPr>
    </w:pPr>
    <w:r w:rsidRPr="00887065">
      <w:rPr>
        <w:b/>
        <w:noProof/>
        <w:sz w:val="22"/>
      </w:rPr>
      <w:t>25/122.2</w:t>
    </w:r>
    <w:r>
      <w:rPr>
        <w:b/>
        <w:noProof/>
        <w:sz w:val="22"/>
      </w:rPr>
      <w:t xml:space="preserve"> </w:t>
    </w:r>
    <w:r w:rsidRPr="00887065">
      <w:rPr>
        <w:b/>
        <w:noProof/>
        <w:sz w:val="22"/>
      </w:rPr>
      <w:ptab w:relativeTo="margin" w:alignment="center" w:leader="none"/>
    </w:r>
    <w:r w:rsidRPr="00887065">
      <w:rPr>
        <w:b/>
        <w:noProof/>
        <w:sz w:val="22"/>
      </w:rPr>
      <w:ptab w:relativeTo="margin" w:alignment="right" w:leader="none"/>
    </w:r>
    <w:r w:rsidRPr="00233E68">
      <w:rPr>
        <w:b/>
        <w:noProof/>
        <w:sz w:val="22"/>
      </w:rPr>
      <w:drawing>
        <wp:inline distT="0" distB="0" distL="0" distR="0" wp14:anchorId="14FED1CB" wp14:editId="06BAB28A">
          <wp:extent cx="2035475" cy="986155"/>
          <wp:effectExtent l="0" t="0" r="3175" b="4445"/>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
                    <a:extLst>
                      <a:ext uri="{28A0092B-C50C-407E-A947-70E740481C1C}">
                        <a14:useLocalDpi xmlns:a14="http://schemas.microsoft.com/office/drawing/2010/main" val="0"/>
                      </a:ext>
                    </a:extLst>
                  </a:blip>
                  <a:srcRect l="30627" t="14821" r="5981" b="16755"/>
                  <a:stretch/>
                </pic:blipFill>
                <pic:spPr bwMode="auto">
                  <a:xfrm>
                    <a:off x="0" y="0"/>
                    <a:ext cx="2037727" cy="987246"/>
                  </a:xfrm>
                  <a:prstGeom prst="rect">
                    <a:avLst/>
                  </a:prstGeom>
                  <a:solidFill>
                    <a:srgbClr val="FFFFFF">
                      <a:alpha val="0"/>
                    </a:srgbClr>
                  </a:solidFill>
                  <a:ln>
                    <a:noFill/>
                  </a:ln>
                  <a:extLst>
                    <a:ext uri="{53640926-AAD7-44D8-BBD7-CCE9431645EC}">
                      <a14:shadowObscured xmlns:a14="http://schemas.microsoft.com/office/drawing/2010/main"/>
                    </a:ext>
                  </a:extLst>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8E6" w:rsidRDefault="00866C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5" type="#_x0000_t136" style="position:absolute;margin-left:0;margin-top:0;width:456.65pt;height:182.65pt;rotation:315;z-index:-251652096;mso-position-horizontal:center;mso-position-horizontal-relative:margin;mso-position-vertical:center;mso-position-vertical-relative:margin" wrapcoords="21352 1328 17769 1328 17734 2302 17308 1328 16705 885 16528 1328 11066 1328 10499 6285 8264 1948 7838 1239 7732 1416 6100 1328 5178 1328 5107 1948 5107 4780 4221 3452 3086 1770 2767 1505 2128 1239 461 1328 426 16731 532 16997 2767 16997 3299 16289 3689 15315 4008 14075 5143 16820 5639 17528 5817 16643 5817 10623 7803 15580 8902 17705 9186 16997 10002 16997 10534 12305 10889 13279 13123 17174 13194 16997 13584 17085 13726 16731 13584 15934 13833 16554 14684 17351 14826 17085 14861 11154 15216 10003 15996 9915 16705 11774 19507 17174 19614 16997 19933 16908 19968 11862 20607 3452 21423 3452 21494 2744 21494 1593 21352 1328" fillcolor="silver" stroked="f">
          <v:fill opacity=".5"/>
          <v:textpath style="font-family:&quot;Arial&quot;;font-size:1pt" string="DRAFT"/>
          <w10:wrap anchorx="margin" anchory="margin"/>
        </v:shape>
      </w:pict>
    </w:r>
    <w:r>
      <w:rPr>
        <w:noProof/>
      </w:rPr>
      <w:pict>
        <v:shape id="_x0000_s10253" type="#_x0000_t136" style="position:absolute;margin-left:0;margin-top:0;width:523.05pt;height:116.2pt;rotation:315;z-index:-251654144;mso-position-horizontal:center;mso-position-horizontal-relative:margin;mso-position-vertical:center;mso-position-vertical-relative:margin" wrapcoords="21414 1254 17230 1254 17199 7386 15526 557 15278 2090 15185 4738 15154 4877 15030 6550 13822 2369 13202 418 13016 1254 11900 1394 11838 5435 10939 2648 10289 836 10196 1254 9080 1394 6911 1951 6632 1533 6043 975 5237 1394 5175 3345 4525 975 4277 1394 4215 5853 3037 1951 2572 836 2417 1394 2386 3345 2417 4041 1519 1812 1147 975 837 1394 558 2090 434 2369 341 3066 310 4041 124 4459 248 5853 992 10312 930 10452 496 12542 186 14772 93 16583 124 16583 217 17001 2510 17001 2634 17559 2727 16862 2758 11845 3192 13796 4525 17559 4618 17141 6012 17141 6632 16723 7035 15747 7097 15468 7283 14214 7500 11148 8181 14214 9390 17837 9576 17280 10754 16305 11032 15050 11404 16165 12117 17280 12210 16583 12210 10312 13357 15468 14224 18116 14410 17001 14627 17141 14751 16583 14968 13099 15464 12263 16549 16862 16890 16862 16797 15050 17230 16862 17540 16862 17571 12263 17757 10034 18439 9894 20298 16862 20608 17001 20639 16583 20639 10312 21166 3205 21383 3623 21507 3066 21507 1672 21414 1254" fillcolor="silver" stroked="f">
          <v:fill opacity=".5"/>
          <v:textpath style="font-family:&quot;Arial&quot;;font-size:1pt" string="2ND 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8E6" w:rsidRDefault="00866C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0" type="#_x0000_t136" style="position:absolute;margin-left:0;margin-top:0;width:456.65pt;height:182.65pt;rotation:315;z-index:-251645952;mso-position-horizontal:center;mso-position-horizontal-relative:margin;mso-position-vertical:center;mso-position-vertical-relative:margin" wrapcoords="21352 1328 17769 1328 17734 2302 17308 1328 16705 885 16528 1328 11066 1328 10499 6285 8264 1948 7838 1239 7732 1416 6100 1328 5178 1328 5107 1948 5107 4780 4221 3452 3086 1770 2767 1505 2128 1239 461 1328 426 16731 532 16997 2767 16997 3299 16289 3689 15315 4008 14075 5143 16820 5639 17528 5817 16643 5817 10623 7803 15580 8902 17705 9186 16997 10002 16997 10534 12305 10889 13279 13123 17174 13194 16997 13584 17085 13726 16731 13584 15934 13833 16554 14684 17351 14826 17085 14861 11154 15216 10003 15996 9915 16705 11774 19507 17174 19614 16997 19933 16908 19968 11862 20607 3452 21423 3452 21494 2744 21494 1593 21352 1328" fillcolor="silver" stroked="f">
          <v:fill opacity=".5"/>
          <v:textpath style="font-family:&quot;Arial&quot;;font-size:1pt" string="DRAFT"/>
          <w10:wrap anchorx="margin" anchory="margin"/>
        </v:shape>
      </w:pict>
    </w:r>
    <w:r>
      <w:rPr>
        <w:noProof/>
      </w:rPr>
      <w:pict>
        <v:shape id="_x0000_s10258" type="#_x0000_t136" style="position:absolute;margin-left:0;margin-top:0;width:523.05pt;height:116.2pt;rotation:315;z-index:-251648000;mso-position-horizontal:center;mso-position-horizontal-relative:margin;mso-position-vertical:center;mso-position-vertical-relative:margin" wrapcoords="21414 1254 17230 1254 17199 7386 15526 557 15278 2090 15185 4738 15154 4877 15030 6550 13822 2369 13202 418 13016 1254 11900 1394 11838 5435 10939 2648 10289 836 10196 1254 9080 1394 6911 1951 6632 1533 6043 975 5237 1394 5175 3345 4525 975 4277 1394 4215 5853 3037 1951 2572 836 2417 1394 2386 3345 2417 4041 1519 1812 1147 975 837 1394 558 2090 434 2369 341 3066 310 4041 124 4459 248 5853 992 10312 930 10452 496 12542 186 14772 93 16583 124 16583 217 17001 2510 17001 2634 17559 2727 16862 2758 11845 3192 13796 4525 17559 4618 17141 6012 17141 6632 16723 7035 15747 7097 15468 7283 14214 7500 11148 8181 14214 9390 17837 9576 17280 10754 16305 11032 15050 11404 16165 12117 17280 12210 16583 12210 10312 13357 15468 14224 18116 14410 17001 14627 17141 14751 16583 14968 13099 15464 12263 16549 16862 16890 16862 16797 15050 17230 16862 17540 16862 17571 12263 17757 10034 18439 9894 20298 16862 20608 17001 20639 16583 20639 10312 21166 3205 21383 3623 21507 3066 21507 1672 21414 1254" fillcolor="silver" stroked="f">
          <v:fill opacity=".5"/>
          <v:textpath style="font-family:&quot;Arial&quot;;font-size:1pt" string="2N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E04DA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B6027"/>
    <w:multiLevelType w:val="hybridMultilevel"/>
    <w:tmpl w:val="F88CD4FE"/>
    <w:lvl w:ilvl="0" w:tplc="BAE69CFA">
      <w:start w:val="1"/>
      <w:numFmt w:val="bullet"/>
      <w:lvlText w:val="•"/>
      <w:lvlJc w:val="left"/>
      <w:pPr>
        <w:tabs>
          <w:tab w:val="num" w:pos="720"/>
        </w:tabs>
        <w:ind w:left="720" w:hanging="360"/>
      </w:pPr>
      <w:rPr>
        <w:rFonts w:ascii="Arial" w:hAnsi="Arial" w:hint="default"/>
      </w:rPr>
    </w:lvl>
    <w:lvl w:ilvl="1" w:tplc="A5DC918E" w:tentative="1">
      <w:start w:val="1"/>
      <w:numFmt w:val="bullet"/>
      <w:lvlText w:val="•"/>
      <w:lvlJc w:val="left"/>
      <w:pPr>
        <w:tabs>
          <w:tab w:val="num" w:pos="1440"/>
        </w:tabs>
        <w:ind w:left="1440" w:hanging="360"/>
      </w:pPr>
      <w:rPr>
        <w:rFonts w:ascii="Arial" w:hAnsi="Arial" w:hint="default"/>
      </w:rPr>
    </w:lvl>
    <w:lvl w:ilvl="2" w:tplc="858E1014" w:tentative="1">
      <w:start w:val="1"/>
      <w:numFmt w:val="bullet"/>
      <w:lvlText w:val="•"/>
      <w:lvlJc w:val="left"/>
      <w:pPr>
        <w:tabs>
          <w:tab w:val="num" w:pos="2160"/>
        </w:tabs>
        <w:ind w:left="2160" w:hanging="360"/>
      </w:pPr>
      <w:rPr>
        <w:rFonts w:ascii="Arial" w:hAnsi="Arial" w:hint="default"/>
      </w:rPr>
    </w:lvl>
    <w:lvl w:ilvl="3" w:tplc="32A697BC" w:tentative="1">
      <w:start w:val="1"/>
      <w:numFmt w:val="bullet"/>
      <w:lvlText w:val="•"/>
      <w:lvlJc w:val="left"/>
      <w:pPr>
        <w:tabs>
          <w:tab w:val="num" w:pos="2880"/>
        </w:tabs>
        <w:ind w:left="2880" w:hanging="360"/>
      </w:pPr>
      <w:rPr>
        <w:rFonts w:ascii="Arial" w:hAnsi="Arial" w:hint="default"/>
      </w:rPr>
    </w:lvl>
    <w:lvl w:ilvl="4" w:tplc="8C5E9E0E" w:tentative="1">
      <w:start w:val="1"/>
      <w:numFmt w:val="bullet"/>
      <w:lvlText w:val="•"/>
      <w:lvlJc w:val="left"/>
      <w:pPr>
        <w:tabs>
          <w:tab w:val="num" w:pos="3600"/>
        </w:tabs>
        <w:ind w:left="3600" w:hanging="360"/>
      </w:pPr>
      <w:rPr>
        <w:rFonts w:ascii="Arial" w:hAnsi="Arial" w:hint="default"/>
      </w:rPr>
    </w:lvl>
    <w:lvl w:ilvl="5" w:tplc="30184D5E" w:tentative="1">
      <w:start w:val="1"/>
      <w:numFmt w:val="bullet"/>
      <w:lvlText w:val="•"/>
      <w:lvlJc w:val="left"/>
      <w:pPr>
        <w:tabs>
          <w:tab w:val="num" w:pos="4320"/>
        </w:tabs>
        <w:ind w:left="4320" w:hanging="360"/>
      </w:pPr>
      <w:rPr>
        <w:rFonts w:ascii="Arial" w:hAnsi="Arial" w:hint="default"/>
      </w:rPr>
    </w:lvl>
    <w:lvl w:ilvl="6" w:tplc="793443EC" w:tentative="1">
      <w:start w:val="1"/>
      <w:numFmt w:val="bullet"/>
      <w:lvlText w:val="•"/>
      <w:lvlJc w:val="left"/>
      <w:pPr>
        <w:tabs>
          <w:tab w:val="num" w:pos="5040"/>
        </w:tabs>
        <w:ind w:left="5040" w:hanging="360"/>
      </w:pPr>
      <w:rPr>
        <w:rFonts w:ascii="Arial" w:hAnsi="Arial" w:hint="default"/>
      </w:rPr>
    </w:lvl>
    <w:lvl w:ilvl="7" w:tplc="10803B4C" w:tentative="1">
      <w:start w:val="1"/>
      <w:numFmt w:val="bullet"/>
      <w:lvlText w:val="•"/>
      <w:lvlJc w:val="left"/>
      <w:pPr>
        <w:tabs>
          <w:tab w:val="num" w:pos="5760"/>
        </w:tabs>
        <w:ind w:left="5760" w:hanging="360"/>
      </w:pPr>
      <w:rPr>
        <w:rFonts w:ascii="Arial" w:hAnsi="Arial" w:hint="default"/>
      </w:rPr>
    </w:lvl>
    <w:lvl w:ilvl="8" w:tplc="3D8CAFF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AA31BB"/>
    <w:multiLevelType w:val="hybridMultilevel"/>
    <w:tmpl w:val="26B40F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375A32"/>
    <w:multiLevelType w:val="hybridMultilevel"/>
    <w:tmpl w:val="F1CE2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6F4CCC"/>
    <w:multiLevelType w:val="hybridMultilevel"/>
    <w:tmpl w:val="EEF85F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4CD6E41"/>
    <w:multiLevelType w:val="multilevel"/>
    <w:tmpl w:val="1512AA4A"/>
    <w:lvl w:ilvl="0">
      <w:start w:val="2"/>
      <w:numFmt w:val="decimal"/>
      <w:lvlText w:val="%1."/>
      <w:lvlJc w:val="left"/>
      <w:pPr>
        <w:ind w:left="360" w:hanging="360"/>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440" w:hanging="144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800" w:hanging="180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6" w15:restartNumberingAfterBreak="0">
    <w:nsid w:val="0EAA45F8"/>
    <w:multiLevelType w:val="hybridMultilevel"/>
    <w:tmpl w:val="20DE55D0"/>
    <w:lvl w:ilvl="0" w:tplc="68B69966">
      <w:numFmt w:val="bullet"/>
      <w:lvlText w:val="•"/>
      <w:lvlJc w:val="left"/>
      <w:pPr>
        <w:ind w:left="720" w:hanging="360"/>
      </w:pPr>
      <w:rPr>
        <w:rFonts w:ascii="Helvetica" w:eastAsia="Times New Roman" w:hAnsi="Helvetic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207100"/>
    <w:multiLevelType w:val="hybridMultilevel"/>
    <w:tmpl w:val="40E616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8568DE"/>
    <w:multiLevelType w:val="multilevel"/>
    <w:tmpl w:val="D26AD448"/>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35646E"/>
    <w:multiLevelType w:val="multilevel"/>
    <w:tmpl w:val="92A8B368"/>
    <w:lvl w:ilvl="0">
      <w:start w:val="1"/>
      <w:numFmt w:val="decimal"/>
      <w:lvlText w:val="%1."/>
      <w:lvlJc w:val="left"/>
      <w:pPr>
        <w:tabs>
          <w:tab w:val="num" w:pos="720"/>
        </w:tabs>
        <w:ind w:left="720" w:hanging="720"/>
      </w:pPr>
      <w:rPr>
        <w:rFonts w:hint="default"/>
        <w:b/>
        <w:sz w:val="24"/>
        <w:szCs w:val="24"/>
      </w:rPr>
    </w:lvl>
    <w:lvl w:ilvl="1">
      <w:start w:val="1"/>
      <w:numFmt w:val="decimal"/>
      <w:isLgl/>
      <w:lvlText w:val="%1.%2"/>
      <w:lvlJc w:val="left"/>
      <w:pPr>
        <w:tabs>
          <w:tab w:val="num" w:pos="2040"/>
        </w:tabs>
        <w:ind w:left="2040" w:hanging="720"/>
      </w:pPr>
      <w:rPr>
        <w:rFonts w:ascii="Arial" w:hAnsi="Arial" w:cs="Arial" w:hint="default"/>
        <w:b/>
        <w:i w:val="0"/>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297A735B"/>
    <w:multiLevelType w:val="hybridMultilevel"/>
    <w:tmpl w:val="43E87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9D5E67"/>
    <w:multiLevelType w:val="multilevel"/>
    <w:tmpl w:val="CD049BEA"/>
    <w:lvl w:ilvl="0">
      <w:start w:val="1"/>
      <w:numFmt w:val="decimal"/>
      <w:lvlText w:val="%1."/>
      <w:lvlJc w:val="left"/>
      <w:pPr>
        <w:ind w:left="360" w:hanging="360"/>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440" w:hanging="144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800" w:hanging="180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12" w15:restartNumberingAfterBreak="0">
    <w:nsid w:val="2E0A671B"/>
    <w:multiLevelType w:val="hybridMultilevel"/>
    <w:tmpl w:val="7C80AC3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440" w:hanging="72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F44F46"/>
    <w:multiLevelType w:val="hybridMultilevel"/>
    <w:tmpl w:val="12C6B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C40B83"/>
    <w:multiLevelType w:val="multilevel"/>
    <w:tmpl w:val="8A10FE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02506B"/>
    <w:multiLevelType w:val="hybridMultilevel"/>
    <w:tmpl w:val="A1F6F3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D84B4C"/>
    <w:multiLevelType w:val="hybridMultilevel"/>
    <w:tmpl w:val="7F488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4174DD1"/>
    <w:multiLevelType w:val="hybridMultilevel"/>
    <w:tmpl w:val="B9DA965A"/>
    <w:lvl w:ilvl="0" w:tplc="68B69966">
      <w:numFmt w:val="bullet"/>
      <w:lvlText w:val="•"/>
      <w:lvlJc w:val="left"/>
      <w:pPr>
        <w:ind w:left="720" w:hanging="360"/>
      </w:pPr>
      <w:rPr>
        <w:rFonts w:ascii="Helvetica" w:eastAsia="Times New Roman" w:hAnsi="Helvetic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9767BB"/>
    <w:multiLevelType w:val="hybridMultilevel"/>
    <w:tmpl w:val="04302224"/>
    <w:lvl w:ilvl="0" w:tplc="E6BEC320">
      <w:numFmt w:val="bullet"/>
      <w:lvlText w:val=""/>
      <w:lvlJc w:val="left"/>
      <w:pPr>
        <w:ind w:left="840" w:hanging="360"/>
      </w:pPr>
      <w:rPr>
        <w:rFonts w:ascii="Symbol" w:eastAsiaTheme="minorHAnsi" w:hAnsi="Symbol" w:cstheme="minorBidi"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9" w15:restartNumberingAfterBreak="0">
    <w:nsid w:val="57701994"/>
    <w:multiLevelType w:val="hybridMultilevel"/>
    <w:tmpl w:val="7E68C740"/>
    <w:lvl w:ilvl="0" w:tplc="B7F26CA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64316C"/>
    <w:multiLevelType w:val="hybridMultilevel"/>
    <w:tmpl w:val="72302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106015"/>
    <w:multiLevelType w:val="hybridMultilevel"/>
    <w:tmpl w:val="BBF4F0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AAA40D7"/>
    <w:multiLevelType w:val="hybridMultilevel"/>
    <w:tmpl w:val="71600328"/>
    <w:lvl w:ilvl="0" w:tplc="B7F26CAA">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6E39587B"/>
    <w:multiLevelType w:val="hybridMultilevel"/>
    <w:tmpl w:val="6C2AF22A"/>
    <w:lvl w:ilvl="0" w:tplc="B7F26CAA">
      <w:start w:val="1"/>
      <w:numFmt w:val="bullet"/>
      <w:lvlText w:val=""/>
      <w:lvlJc w:val="left"/>
      <w:pPr>
        <w:tabs>
          <w:tab w:val="num" w:pos="720"/>
        </w:tabs>
        <w:ind w:left="72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62E0BF7"/>
    <w:multiLevelType w:val="hybridMultilevel"/>
    <w:tmpl w:val="4CB05AB2"/>
    <w:lvl w:ilvl="0" w:tplc="B7F26CA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945E7A"/>
    <w:multiLevelType w:val="hybridMultilevel"/>
    <w:tmpl w:val="3EE0A24E"/>
    <w:lvl w:ilvl="0" w:tplc="B7F26CAA">
      <w:start w:val="1"/>
      <w:numFmt w:val="bullet"/>
      <w:lvlText w:val=""/>
      <w:lvlJc w:val="left"/>
      <w:pPr>
        <w:ind w:left="6" w:hanging="360"/>
      </w:pPr>
      <w:rPr>
        <w:rFonts w:ascii="Symbol" w:hAnsi="Symbol" w:hint="default"/>
        <w:color w:val="auto"/>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26" w15:restartNumberingAfterBreak="0">
    <w:nsid w:val="76C251F8"/>
    <w:multiLevelType w:val="hybridMultilevel"/>
    <w:tmpl w:val="A3A8CF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DF7B6F"/>
    <w:multiLevelType w:val="hybridMultilevel"/>
    <w:tmpl w:val="575E14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F1B1361"/>
    <w:multiLevelType w:val="hybridMultilevel"/>
    <w:tmpl w:val="5F42BB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11"/>
  </w:num>
  <w:num w:numId="4">
    <w:abstractNumId w:val="5"/>
  </w:num>
  <w:num w:numId="5">
    <w:abstractNumId w:val="3"/>
  </w:num>
  <w:num w:numId="6">
    <w:abstractNumId w:val="13"/>
  </w:num>
  <w:num w:numId="7">
    <w:abstractNumId w:val="18"/>
  </w:num>
  <w:num w:numId="8">
    <w:abstractNumId w:val="14"/>
  </w:num>
  <w:num w:numId="9">
    <w:abstractNumId w:val="8"/>
  </w:num>
  <w:num w:numId="10">
    <w:abstractNumId w:val="25"/>
  </w:num>
  <w:num w:numId="11">
    <w:abstractNumId w:val="23"/>
  </w:num>
  <w:num w:numId="12">
    <w:abstractNumId w:val="22"/>
  </w:num>
  <w:num w:numId="13">
    <w:abstractNumId w:val="24"/>
  </w:num>
  <w:num w:numId="14">
    <w:abstractNumId w:val="19"/>
  </w:num>
  <w:num w:numId="15">
    <w:abstractNumId w:val="15"/>
  </w:num>
  <w:num w:numId="16">
    <w:abstractNumId w:val="20"/>
  </w:num>
  <w:num w:numId="17">
    <w:abstractNumId w:val="26"/>
  </w:num>
  <w:num w:numId="18">
    <w:abstractNumId w:val="28"/>
  </w:num>
  <w:num w:numId="19">
    <w:abstractNumId w:val="4"/>
  </w:num>
  <w:num w:numId="20">
    <w:abstractNumId w:val="16"/>
  </w:num>
  <w:num w:numId="21">
    <w:abstractNumId w:val="21"/>
  </w:num>
  <w:num w:numId="22">
    <w:abstractNumId w:val="27"/>
  </w:num>
  <w:num w:numId="23">
    <w:abstractNumId w:val="12"/>
  </w:num>
  <w:num w:numId="24">
    <w:abstractNumId w:val="7"/>
  </w:num>
  <w:num w:numId="25">
    <w:abstractNumId w:val="10"/>
  </w:num>
  <w:num w:numId="26">
    <w:abstractNumId w:val="17"/>
  </w:num>
  <w:num w:numId="27">
    <w:abstractNumId w:val="6"/>
  </w:num>
  <w:num w:numId="28">
    <w:abstractNumId w:val="2"/>
  </w:num>
  <w:num w:numId="2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73"/>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FAD"/>
    <w:rsid w:val="00013775"/>
    <w:rsid w:val="00082613"/>
    <w:rsid w:val="000A7B02"/>
    <w:rsid w:val="000B6C6F"/>
    <w:rsid w:val="000E7A6A"/>
    <w:rsid w:val="00120C42"/>
    <w:rsid w:val="00135C26"/>
    <w:rsid w:val="00143F09"/>
    <w:rsid w:val="00160898"/>
    <w:rsid w:val="00171BED"/>
    <w:rsid w:val="001B1B4E"/>
    <w:rsid w:val="001F58E6"/>
    <w:rsid w:val="002617B9"/>
    <w:rsid w:val="002721B0"/>
    <w:rsid w:val="002C3053"/>
    <w:rsid w:val="00301F99"/>
    <w:rsid w:val="00362115"/>
    <w:rsid w:val="00395F9B"/>
    <w:rsid w:val="00396A4E"/>
    <w:rsid w:val="003A4EAA"/>
    <w:rsid w:val="003B012A"/>
    <w:rsid w:val="004064C0"/>
    <w:rsid w:val="00420A31"/>
    <w:rsid w:val="00424131"/>
    <w:rsid w:val="00435B6E"/>
    <w:rsid w:val="00444C16"/>
    <w:rsid w:val="00462E18"/>
    <w:rsid w:val="004728C9"/>
    <w:rsid w:val="004A416D"/>
    <w:rsid w:val="004B37FA"/>
    <w:rsid w:val="004D47C2"/>
    <w:rsid w:val="004F5C3A"/>
    <w:rsid w:val="005A26B8"/>
    <w:rsid w:val="005B07F7"/>
    <w:rsid w:val="00625DA4"/>
    <w:rsid w:val="00631939"/>
    <w:rsid w:val="0065168A"/>
    <w:rsid w:val="00666CCE"/>
    <w:rsid w:val="006F024C"/>
    <w:rsid w:val="00715AC8"/>
    <w:rsid w:val="00741984"/>
    <w:rsid w:val="007438E5"/>
    <w:rsid w:val="00763D3D"/>
    <w:rsid w:val="0077476B"/>
    <w:rsid w:val="007A317E"/>
    <w:rsid w:val="007F646B"/>
    <w:rsid w:val="00810371"/>
    <w:rsid w:val="00863B4A"/>
    <w:rsid w:val="00866C29"/>
    <w:rsid w:val="008C5386"/>
    <w:rsid w:val="0090417E"/>
    <w:rsid w:val="009139D0"/>
    <w:rsid w:val="0093618F"/>
    <w:rsid w:val="0094620A"/>
    <w:rsid w:val="00960EE0"/>
    <w:rsid w:val="009D6051"/>
    <w:rsid w:val="00A07864"/>
    <w:rsid w:val="00A22B70"/>
    <w:rsid w:val="00A22E41"/>
    <w:rsid w:val="00A373DF"/>
    <w:rsid w:val="00A43235"/>
    <w:rsid w:val="00A433D0"/>
    <w:rsid w:val="00A868F1"/>
    <w:rsid w:val="00AA3FF7"/>
    <w:rsid w:val="00AB09B4"/>
    <w:rsid w:val="00B11FC5"/>
    <w:rsid w:val="00B164B6"/>
    <w:rsid w:val="00BA168E"/>
    <w:rsid w:val="00BD4E89"/>
    <w:rsid w:val="00BD6DB9"/>
    <w:rsid w:val="00C010C4"/>
    <w:rsid w:val="00C34415"/>
    <w:rsid w:val="00C42C9E"/>
    <w:rsid w:val="00C51D5B"/>
    <w:rsid w:val="00CC7238"/>
    <w:rsid w:val="00D92EFA"/>
    <w:rsid w:val="00DB6766"/>
    <w:rsid w:val="00E01642"/>
    <w:rsid w:val="00E13E35"/>
    <w:rsid w:val="00E24A8E"/>
    <w:rsid w:val="00E4495B"/>
    <w:rsid w:val="00E90FAD"/>
    <w:rsid w:val="00EB426F"/>
    <w:rsid w:val="00F06EEC"/>
    <w:rsid w:val="00FA550F"/>
    <w:rsid w:val="00FD3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3"/>
    <o:shapelayout v:ext="edit">
      <o:idmap v:ext="edit" data="1"/>
    </o:shapelayout>
  </w:shapeDefaults>
  <w:decimalSymbol w:val="."/>
  <w:listSeparator w:val=","/>
  <w14:docId w14:val="2DE692AC"/>
  <w15:chartTrackingRefBased/>
  <w15:docId w15:val="{2A94A2FE-4B51-485E-AE9C-BDAA77383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Body Text" w:uiPriority="99"/>
    <w:lsdException w:name="Subtitle" w:qFormat="1"/>
    <w:lsdException w:name="Hyperlink" w:uiPriority="99"/>
    <w:lsdException w:name="Emphasis" w:uiPriority="20"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1D5B"/>
    <w:pPr>
      <w:spacing w:after="240" w:line="360" w:lineRule="auto"/>
    </w:pPr>
    <w:rPr>
      <w:rFonts w:ascii="Arial" w:hAnsi="Arial"/>
      <w:sz w:val="24"/>
      <w:szCs w:val="22"/>
    </w:rPr>
  </w:style>
  <w:style w:type="paragraph" w:styleId="Heading1">
    <w:name w:val="heading 1"/>
    <w:basedOn w:val="Normal"/>
    <w:next w:val="Normal"/>
    <w:link w:val="Heading1Char"/>
    <w:qFormat/>
    <w:rsid w:val="007438E5"/>
    <w:pPr>
      <w:keepNext/>
      <w:spacing w:before="360" w:after="360" w:line="240" w:lineRule="auto"/>
      <w:outlineLvl w:val="0"/>
    </w:pPr>
    <w:rPr>
      <w:rFonts w:eastAsiaTheme="majorEastAsia" w:cs="Arial"/>
      <w:b/>
      <w:bCs/>
      <w:kern w:val="32"/>
      <w:sz w:val="36"/>
      <w:szCs w:val="36"/>
    </w:rPr>
  </w:style>
  <w:style w:type="paragraph" w:styleId="Heading2">
    <w:name w:val="heading 2"/>
    <w:basedOn w:val="Normal"/>
    <w:next w:val="Normal"/>
    <w:link w:val="Heading2Char"/>
    <w:qFormat/>
    <w:rsid w:val="00C51D5B"/>
    <w:pPr>
      <w:keepNext/>
      <w:spacing w:before="240" w:line="240" w:lineRule="auto"/>
      <w:outlineLvl w:val="1"/>
    </w:pPr>
    <w:rPr>
      <w:rFonts w:eastAsiaTheme="majorEastAsia" w:cstheme="majorBidi"/>
      <w:b/>
      <w:bCs/>
      <w:iCs/>
      <w:sz w:val="32"/>
      <w:szCs w:val="28"/>
    </w:rPr>
  </w:style>
  <w:style w:type="paragraph" w:styleId="Heading3">
    <w:name w:val="heading 3"/>
    <w:basedOn w:val="Normal"/>
    <w:next w:val="Normal"/>
    <w:link w:val="Heading3Char"/>
    <w:qFormat/>
    <w:rsid w:val="00C51D5B"/>
    <w:pPr>
      <w:keepNext/>
      <w:spacing w:before="240" w:line="240" w:lineRule="auto"/>
      <w:outlineLvl w:val="2"/>
    </w:pPr>
    <w:rPr>
      <w:rFonts w:eastAsiaTheme="majorEastAsia" w:cstheme="majorBidi"/>
      <w:b/>
      <w:bCs/>
      <w:sz w:val="28"/>
      <w:szCs w:val="26"/>
    </w:rPr>
  </w:style>
  <w:style w:type="paragraph" w:styleId="Heading4">
    <w:name w:val="heading 4"/>
    <w:basedOn w:val="Normal"/>
    <w:next w:val="Normal"/>
    <w:link w:val="Heading4Char"/>
    <w:qFormat/>
    <w:rsid w:val="00C51D5B"/>
    <w:pPr>
      <w:keepNext/>
      <w:spacing w:before="240" w:line="240" w:lineRule="auto"/>
      <w:outlineLvl w:val="3"/>
    </w:pPr>
    <w:rPr>
      <w:rFonts w:eastAsiaTheme="minorEastAsia" w:cstheme="minorBidi"/>
      <w:b/>
      <w:bCs/>
      <w:szCs w:val="28"/>
    </w:rPr>
  </w:style>
  <w:style w:type="paragraph" w:styleId="Heading5">
    <w:name w:val="heading 5"/>
    <w:basedOn w:val="Normal"/>
    <w:next w:val="Normal"/>
    <w:link w:val="Heading5Char"/>
    <w:unhideWhenUsed/>
    <w:qFormat/>
    <w:rsid w:val="00C51D5B"/>
    <w:pPr>
      <w:spacing w:before="240" w:line="240" w:lineRule="auto"/>
      <w:outlineLvl w:val="4"/>
    </w:pPr>
    <w:rPr>
      <w:rFonts w:eastAsiaTheme="minorEastAsia" w:cstheme="minorBidi"/>
      <w:b/>
      <w:bCs/>
      <w:iCs/>
      <w:szCs w:val="26"/>
    </w:rPr>
  </w:style>
  <w:style w:type="paragraph" w:styleId="Heading6">
    <w:name w:val="heading 6"/>
    <w:basedOn w:val="Normal"/>
    <w:next w:val="Normal"/>
    <w:link w:val="Heading6Char"/>
    <w:qFormat/>
    <w:rsid w:val="0094620A"/>
    <w:pPr>
      <w:spacing w:before="240" w:after="60" w:line="240" w:lineRule="auto"/>
      <w:outlineLvl w:val="5"/>
    </w:pPr>
    <w:rPr>
      <w:rFonts w:ascii="Calibri" w:hAnsi="Calibri"/>
      <w:b/>
      <w:bCs/>
      <w:sz w:val="22"/>
      <w:lang w:eastAsia="en-US"/>
    </w:rPr>
  </w:style>
  <w:style w:type="paragraph" w:styleId="Heading7">
    <w:name w:val="heading 7"/>
    <w:basedOn w:val="Normal"/>
    <w:next w:val="Normal"/>
    <w:link w:val="Heading7Char"/>
    <w:qFormat/>
    <w:rsid w:val="0094620A"/>
    <w:pPr>
      <w:spacing w:before="240" w:after="60" w:line="240" w:lineRule="auto"/>
      <w:outlineLvl w:val="6"/>
    </w:pPr>
    <w:rPr>
      <w:rFonts w:ascii="Calibri" w:hAnsi="Calibri"/>
      <w:szCs w:val="24"/>
      <w:lang w:eastAsia="en-US"/>
    </w:rPr>
  </w:style>
  <w:style w:type="paragraph" w:styleId="Heading8">
    <w:name w:val="heading 8"/>
    <w:basedOn w:val="Normal"/>
    <w:next w:val="Normal"/>
    <w:link w:val="Heading8Char"/>
    <w:qFormat/>
    <w:rsid w:val="0094620A"/>
    <w:pPr>
      <w:spacing w:before="240" w:after="60" w:line="240" w:lineRule="auto"/>
      <w:outlineLvl w:val="7"/>
    </w:pPr>
    <w:rPr>
      <w:rFonts w:ascii="Calibri" w:hAnsi="Calibri"/>
      <w:i/>
      <w:iCs/>
      <w:szCs w:val="24"/>
      <w:lang w:eastAsia="en-US"/>
    </w:rPr>
  </w:style>
  <w:style w:type="paragraph" w:styleId="Heading9">
    <w:name w:val="heading 9"/>
    <w:basedOn w:val="Normal"/>
    <w:next w:val="Normal"/>
    <w:link w:val="Heading9Char"/>
    <w:qFormat/>
    <w:rsid w:val="0094620A"/>
    <w:pPr>
      <w:spacing w:before="240" w:after="60" w:line="240" w:lineRule="auto"/>
      <w:outlineLvl w:val="8"/>
    </w:pPr>
    <w:rPr>
      <w:rFonts w:ascii="Cambria" w:hAnsi="Cambria"/>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51D5B"/>
    <w:rPr>
      <w:color w:val="005EB8"/>
      <w:u w:val="single"/>
    </w:rPr>
  </w:style>
  <w:style w:type="paragraph" w:styleId="Header">
    <w:name w:val="header"/>
    <w:basedOn w:val="Normal"/>
    <w:link w:val="HeaderChar"/>
    <w:uiPriority w:val="99"/>
    <w:rsid w:val="009139D0"/>
    <w:pPr>
      <w:tabs>
        <w:tab w:val="center" w:pos="4153"/>
        <w:tab w:val="right" w:pos="8306"/>
      </w:tabs>
    </w:pPr>
  </w:style>
  <w:style w:type="paragraph" w:styleId="Footer">
    <w:name w:val="footer"/>
    <w:basedOn w:val="Normal"/>
    <w:link w:val="FooterChar"/>
    <w:uiPriority w:val="99"/>
    <w:rsid w:val="009139D0"/>
    <w:pPr>
      <w:tabs>
        <w:tab w:val="center" w:pos="4153"/>
        <w:tab w:val="right" w:pos="8306"/>
      </w:tabs>
    </w:pPr>
  </w:style>
  <w:style w:type="paragraph" w:styleId="BalloonText">
    <w:name w:val="Balloon Text"/>
    <w:basedOn w:val="Normal"/>
    <w:link w:val="BalloonTextChar"/>
    <w:uiPriority w:val="99"/>
    <w:semiHidden/>
    <w:rsid w:val="009139D0"/>
    <w:rPr>
      <w:rFonts w:ascii="Tahoma" w:hAnsi="Tahoma" w:cs="Tahoma"/>
      <w:sz w:val="16"/>
      <w:szCs w:val="16"/>
    </w:rPr>
  </w:style>
  <w:style w:type="paragraph" w:styleId="Title">
    <w:name w:val="Title"/>
    <w:basedOn w:val="Normal"/>
    <w:next w:val="Normal"/>
    <w:link w:val="TitleChar"/>
    <w:uiPriority w:val="10"/>
    <w:qFormat/>
    <w:rsid w:val="00E01642"/>
    <w:pPr>
      <w:spacing w:before="240" w:after="120" w:line="240" w:lineRule="auto"/>
      <w:outlineLvl w:val="0"/>
    </w:pPr>
    <w:rPr>
      <w:rFonts w:eastAsiaTheme="majorEastAsia" w:cs="Arial"/>
      <w:b/>
      <w:bCs/>
      <w:kern w:val="28"/>
      <w:sz w:val="60"/>
      <w:szCs w:val="32"/>
    </w:rPr>
  </w:style>
  <w:style w:type="character" w:customStyle="1" w:styleId="TitleChar">
    <w:name w:val="Title Char"/>
    <w:basedOn w:val="DefaultParagraphFont"/>
    <w:link w:val="Title"/>
    <w:uiPriority w:val="10"/>
    <w:rsid w:val="00E01642"/>
    <w:rPr>
      <w:rFonts w:ascii="Arial" w:eastAsiaTheme="majorEastAsia" w:hAnsi="Arial" w:cs="Arial"/>
      <w:b/>
      <w:bCs/>
      <w:kern w:val="28"/>
      <w:sz w:val="60"/>
      <w:szCs w:val="32"/>
    </w:rPr>
  </w:style>
  <w:style w:type="paragraph" w:styleId="Subtitle">
    <w:name w:val="Subtitle"/>
    <w:next w:val="Normal"/>
    <w:link w:val="SubtitleChar"/>
    <w:qFormat/>
    <w:rsid w:val="00143F09"/>
    <w:pPr>
      <w:spacing w:before="60" w:after="360"/>
      <w:outlineLvl w:val="1"/>
    </w:pPr>
    <w:rPr>
      <w:rFonts w:ascii="Arial" w:eastAsiaTheme="majorEastAsia" w:hAnsi="Arial" w:cstheme="majorBidi"/>
      <w:i/>
      <w:color w:val="648187" w:themeColor="background2" w:themeShade="80"/>
      <w:sz w:val="26"/>
      <w:szCs w:val="24"/>
    </w:rPr>
  </w:style>
  <w:style w:type="character" w:customStyle="1" w:styleId="SubtitleChar">
    <w:name w:val="Subtitle Char"/>
    <w:basedOn w:val="DefaultParagraphFont"/>
    <w:link w:val="Subtitle"/>
    <w:rsid w:val="00143F09"/>
    <w:rPr>
      <w:rFonts w:ascii="Arial" w:eastAsiaTheme="majorEastAsia" w:hAnsi="Arial" w:cstheme="majorBidi"/>
      <w:i/>
      <w:color w:val="648187" w:themeColor="background2" w:themeShade="80"/>
      <w:sz w:val="26"/>
      <w:szCs w:val="24"/>
    </w:rPr>
  </w:style>
  <w:style w:type="character" w:customStyle="1" w:styleId="Heading1Char">
    <w:name w:val="Heading 1 Char"/>
    <w:basedOn w:val="DefaultParagraphFont"/>
    <w:link w:val="Heading1"/>
    <w:uiPriority w:val="9"/>
    <w:rsid w:val="007438E5"/>
    <w:rPr>
      <w:rFonts w:ascii="Arial" w:eastAsiaTheme="majorEastAsia" w:hAnsi="Arial" w:cs="Arial"/>
      <w:b/>
      <w:bCs/>
      <w:kern w:val="32"/>
      <w:sz w:val="36"/>
      <w:szCs w:val="36"/>
    </w:rPr>
  </w:style>
  <w:style w:type="character" w:customStyle="1" w:styleId="Heading3Char">
    <w:name w:val="Heading 3 Char"/>
    <w:basedOn w:val="DefaultParagraphFont"/>
    <w:link w:val="Heading3"/>
    <w:rsid w:val="00C51D5B"/>
    <w:rPr>
      <w:rFonts w:ascii="Arial" w:eastAsiaTheme="majorEastAsia" w:hAnsi="Arial" w:cstheme="majorBidi"/>
      <w:b/>
      <w:bCs/>
      <w:sz w:val="28"/>
      <w:szCs w:val="26"/>
    </w:rPr>
  </w:style>
  <w:style w:type="character" w:customStyle="1" w:styleId="Heading2Char">
    <w:name w:val="Heading 2 Char"/>
    <w:basedOn w:val="DefaultParagraphFont"/>
    <w:link w:val="Heading2"/>
    <w:rsid w:val="00C51D5B"/>
    <w:rPr>
      <w:rFonts w:ascii="Arial" w:eastAsiaTheme="majorEastAsia" w:hAnsi="Arial" w:cstheme="majorBidi"/>
      <w:b/>
      <w:bCs/>
      <w:iCs/>
      <w:sz w:val="32"/>
      <w:szCs w:val="28"/>
    </w:rPr>
  </w:style>
  <w:style w:type="paragraph" w:styleId="ListParagraph">
    <w:name w:val="List Paragraph"/>
    <w:aliases w:val="F5 List Paragraph,List Paragraph1,Dot pt,No Spacing1,List Paragraph Char Char Char,Indicator Text,Numbered Para 1,Bullet 1,Bullet Points,MAIN CONTENT,List Paragraph2,Normal numbered,List Paragraph11,OBC Bullet,List Paragraph12,Body Text1"/>
    <w:basedOn w:val="Normal"/>
    <w:link w:val="ListParagraphChar"/>
    <w:uiPriority w:val="34"/>
    <w:qFormat/>
    <w:rsid w:val="003A4EAA"/>
    <w:pPr>
      <w:ind w:left="720"/>
      <w:contextualSpacing/>
    </w:pPr>
  </w:style>
  <w:style w:type="character" w:customStyle="1" w:styleId="Heading4Char">
    <w:name w:val="Heading 4 Char"/>
    <w:basedOn w:val="DefaultParagraphFont"/>
    <w:link w:val="Heading4"/>
    <w:rsid w:val="00C51D5B"/>
    <w:rPr>
      <w:rFonts w:ascii="Arial" w:eastAsiaTheme="minorEastAsia" w:hAnsi="Arial" w:cstheme="minorBidi"/>
      <w:b/>
      <w:bCs/>
      <w:sz w:val="24"/>
      <w:szCs w:val="28"/>
    </w:rPr>
  </w:style>
  <w:style w:type="character" w:customStyle="1" w:styleId="Heading5Char">
    <w:name w:val="Heading 5 Char"/>
    <w:basedOn w:val="DefaultParagraphFont"/>
    <w:link w:val="Heading5"/>
    <w:rsid w:val="00C51D5B"/>
    <w:rPr>
      <w:rFonts w:ascii="Arial" w:eastAsiaTheme="minorEastAsia" w:hAnsi="Arial" w:cstheme="minorBidi"/>
      <w:b/>
      <w:bCs/>
      <w:iCs/>
      <w:sz w:val="24"/>
      <w:szCs w:val="26"/>
    </w:rPr>
  </w:style>
  <w:style w:type="paragraph" w:styleId="BodyText">
    <w:name w:val="Body Text"/>
    <w:basedOn w:val="Normal"/>
    <w:link w:val="BodyTextChar"/>
    <w:uiPriority w:val="99"/>
    <w:rsid w:val="00BA168E"/>
    <w:pPr>
      <w:spacing w:after="120"/>
    </w:pPr>
  </w:style>
  <w:style w:type="character" w:customStyle="1" w:styleId="BodyTextChar">
    <w:name w:val="Body Text Char"/>
    <w:basedOn w:val="DefaultParagraphFont"/>
    <w:link w:val="BodyText"/>
    <w:uiPriority w:val="99"/>
    <w:rsid w:val="00BA168E"/>
    <w:rPr>
      <w:rFonts w:ascii="Arial" w:hAnsi="Arial"/>
      <w:sz w:val="24"/>
      <w:szCs w:val="22"/>
    </w:rPr>
  </w:style>
  <w:style w:type="character" w:customStyle="1" w:styleId="FooterChar">
    <w:name w:val="Footer Char"/>
    <w:basedOn w:val="DefaultParagraphFont"/>
    <w:link w:val="Footer"/>
    <w:uiPriority w:val="99"/>
    <w:qFormat/>
    <w:rsid w:val="00444C16"/>
    <w:rPr>
      <w:rFonts w:ascii="Arial" w:hAnsi="Arial"/>
      <w:sz w:val="24"/>
      <w:szCs w:val="22"/>
    </w:rPr>
  </w:style>
  <w:style w:type="character" w:customStyle="1" w:styleId="HeaderChar">
    <w:name w:val="Header Char"/>
    <w:basedOn w:val="DefaultParagraphFont"/>
    <w:link w:val="Header"/>
    <w:uiPriority w:val="99"/>
    <w:rsid w:val="00444C16"/>
    <w:rPr>
      <w:rFonts w:ascii="Arial" w:hAnsi="Arial"/>
      <w:sz w:val="24"/>
      <w:szCs w:val="22"/>
    </w:rPr>
  </w:style>
  <w:style w:type="table" w:styleId="TableGrid">
    <w:name w:val="Table Grid"/>
    <w:basedOn w:val="TableNormal"/>
    <w:rsid w:val="00444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22E41"/>
    <w:rPr>
      <w:rFonts w:ascii="Arial" w:hAnsi="Arial"/>
      <w:sz w:val="24"/>
      <w:szCs w:val="22"/>
    </w:rPr>
  </w:style>
  <w:style w:type="paragraph" w:customStyle="1" w:styleId="Tableheader">
    <w:name w:val="Table header"/>
    <w:basedOn w:val="Normal"/>
    <w:rsid w:val="00A22E41"/>
    <w:pPr>
      <w:spacing w:line="240" w:lineRule="auto"/>
    </w:pPr>
    <w:rPr>
      <w:b/>
      <w:color w:val="FFFFFF" w:themeColor="background1"/>
    </w:rPr>
  </w:style>
  <w:style w:type="table" w:styleId="GridTable5Dark-Accent1">
    <w:name w:val="Grid Table 5 Dark Accent 1"/>
    <w:basedOn w:val="TableNormal"/>
    <w:uiPriority w:val="50"/>
    <w:rsid w:val="003B012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DE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EB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EB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EB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EB8" w:themeFill="accent1"/>
      </w:tcPr>
    </w:tblStylePr>
    <w:tblStylePr w:type="band1Vert">
      <w:tblPr/>
      <w:tcPr>
        <w:shd w:val="clear" w:color="auto" w:fill="7CBEFF" w:themeFill="accent1" w:themeFillTint="66"/>
      </w:tcPr>
    </w:tblStylePr>
    <w:tblStylePr w:type="band1Horz">
      <w:tblPr/>
      <w:tcPr>
        <w:shd w:val="clear" w:color="auto" w:fill="7CBEFF" w:themeFill="accent1" w:themeFillTint="66"/>
      </w:tcPr>
    </w:tblStylePr>
  </w:style>
  <w:style w:type="table" w:styleId="GridTable4-Accent1">
    <w:name w:val="Grid Table 4 Accent 1"/>
    <w:basedOn w:val="TableNormal"/>
    <w:uiPriority w:val="49"/>
    <w:rsid w:val="0090417E"/>
    <w:tblPr>
      <w:tblStyleRowBandSize w:val="1"/>
      <w:tblStyleColBandSize w:val="1"/>
      <w:tblBorders>
        <w:top w:val="single" w:sz="4" w:space="0" w:color="3B9FFF" w:themeColor="accent1" w:themeTint="99"/>
        <w:left w:val="single" w:sz="4" w:space="0" w:color="3B9FFF" w:themeColor="accent1" w:themeTint="99"/>
        <w:bottom w:val="single" w:sz="4" w:space="0" w:color="3B9FFF" w:themeColor="accent1" w:themeTint="99"/>
        <w:right w:val="single" w:sz="4" w:space="0" w:color="3B9FFF" w:themeColor="accent1" w:themeTint="99"/>
        <w:insideH w:val="single" w:sz="4" w:space="0" w:color="3B9FFF" w:themeColor="accent1" w:themeTint="99"/>
        <w:insideV w:val="single" w:sz="4" w:space="0" w:color="3B9FFF" w:themeColor="accent1" w:themeTint="99"/>
      </w:tblBorders>
    </w:tblPr>
    <w:tcPr>
      <w:vAlign w:val="center"/>
    </w:tcPr>
    <w:tblStylePr w:type="firstRow">
      <w:rPr>
        <w:b/>
        <w:bCs/>
        <w:color w:val="FFFFFF" w:themeColor="background1"/>
      </w:rPr>
      <w:tblPr/>
      <w:trPr>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EB8" w:themeFill="accent1"/>
      </w:tcPr>
    </w:tblStylePr>
    <w:tblStylePr w:type="lastRow">
      <w:rPr>
        <w:b/>
        <w:bCs/>
      </w:rPr>
      <w:tblPr/>
      <w:tcPr>
        <w:tcBorders>
          <w:top w:val="double" w:sz="4" w:space="0" w:color="005EB8" w:themeColor="accent1"/>
        </w:tcBorders>
      </w:tcPr>
    </w:tblStylePr>
    <w:tblStylePr w:type="firstCol">
      <w:rPr>
        <w:b/>
        <w:bCs/>
        <w:color w:val="FFFFFF" w:themeColor="background1"/>
      </w:rPr>
      <w:tblPr/>
      <w:tcPr>
        <w:shd w:val="clear" w:color="auto" w:fill="005EB8" w:themeFill="accent1"/>
      </w:tcPr>
    </w:tblStylePr>
    <w:tblStylePr w:type="lastCol">
      <w:rPr>
        <w:b/>
        <w:bCs/>
      </w:rPr>
    </w:tblStylePr>
    <w:tblStylePr w:type="band1Vert">
      <w:tblPr/>
      <w:tcPr>
        <w:shd w:val="clear" w:color="auto" w:fill="BDDEFF" w:themeFill="accent1" w:themeFillTint="33"/>
      </w:tcPr>
    </w:tblStylePr>
    <w:tblStylePr w:type="band1Horz">
      <w:tblPr/>
      <w:tcPr>
        <w:shd w:val="clear" w:color="auto" w:fill="BDDEFF" w:themeFill="accent1" w:themeFillTint="33"/>
      </w:tcPr>
    </w:tblStylePr>
  </w:style>
  <w:style w:type="table" w:styleId="TableGridLight">
    <w:name w:val="Grid Table Light"/>
    <w:basedOn w:val="TableNormal"/>
    <w:uiPriority w:val="40"/>
    <w:rsid w:val="009462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vAlign w:val="center"/>
    </w:tcPr>
    <w:tblStylePr w:type="firstRow">
      <w:rPr>
        <w:b/>
        <w:color w:val="auto"/>
      </w:rPr>
      <w:tblPr/>
      <w:tcPr>
        <w:shd w:val="clear" w:color="auto" w:fill="E8EDEE" w:themeFill="background2"/>
      </w:tcPr>
    </w:tblStylePr>
    <w:tblStylePr w:type="firstCol">
      <w:rPr>
        <w:b/>
        <w:color w:val="auto"/>
      </w:rPr>
      <w:tblPr/>
      <w:tcPr>
        <w:shd w:val="clear" w:color="auto" w:fill="E8EDEE" w:themeFill="background2"/>
      </w:tcPr>
    </w:tblStylePr>
  </w:style>
  <w:style w:type="table" w:styleId="PlainTable1">
    <w:name w:val="Plain Table 1"/>
    <w:basedOn w:val="TableNormal"/>
    <w:uiPriority w:val="41"/>
    <w:rsid w:val="0090417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A868F1"/>
    <w:rPr>
      <w:color w:val="605E5C"/>
      <w:shd w:val="clear" w:color="auto" w:fill="E1DFDD"/>
    </w:rPr>
  </w:style>
  <w:style w:type="character" w:styleId="PlaceholderText">
    <w:name w:val="Placeholder Text"/>
    <w:basedOn w:val="DefaultParagraphFont"/>
    <w:uiPriority w:val="99"/>
    <w:semiHidden/>
    <w:rsid w:val="00143F09"/>
    <w:rPr>
      <w:color w:val="808080"/>
    </w:rPr>
  </w:style>
  <w:style w:type="paragraph" w:styleId="TOC1">
    <w:name w:val="toc 1"/>
    <w:basedOn w:val="Normal"/>
    <w:next w:val="Normal"/>
    <w:autoRedefine/>
    <w:uiPriority w:val="39"/>
    <w:rsid w:val="00E90FAD"/>
    <w:pPr>
      <w:spacing w:after="100"/>
    </w:pPr>
  </w:style>
  <w:style w:type="paragraph" w:styleId="TOC2">
    <w:name w:val="toc 2"/>
    <w:basedOn w:val="Normal"/>
    <w:next w:val="Normal"/>
    <w:autoRedefine/>
    <w:uiPriority w:val="39"/>
    <w:rsid w:val="00E90FAD"/>
    <w:pPr>
      <w:tabs>
        <w:tab w:val="right" w:leader="dot" w:pos="9742"/>
      </w:tabs>
      <w:spacing w:after="100"/>
      <w:ind w:left="240"/>
    </w:pPr>
  </w:style>
  <w:style w:type="paragraph" w:styleId="TOC3">
    <w:name w:val="toc 3"/>
    <w:basedOn w:val="Normal"/>
    <w:next w:val="Normal"/>
    <w:autoRedefine/>
    <w:uiPriority w:val="39"/>
    <w:rsid w:val="00E90FAD"/>
    <w:pPr>
      <w:spacing w:after="100"/>
      <w:ind w:left="480"/>
    </w:pPr>
  </w:style>
  <w:style w:type="paragraph" w:styleId="TOCHeading">
    <w:name w:val="TOC Heading"/>
    <w:basedOn w:val="Heading1"/>
    <w:next w:val="Normal"/>
    <w:uiPriority w:val="39"/>
    <w:unhideWhenUsed/>
    <w:qFormat/>
    <w:rsid w:val="00E90FAD"/>
    <w:pPr>
      <w:keepLines/>
      <w:spacing w:before="240" w:after="0" w:line="259" w:lineRule="auto"/>
      <w:outlineLvl w:val="9"/>
    </w:pPr>
    <w:rPr>
      <w:bCs w:val="0"/>
      <w:kern w:val="0"/>
      <w:sz w:val="32"/>
      <w:szCs w:val="32"/>
      <w:lang w:val="en-US" w:eastAsia="en-US"/>
    </w:rPr>
  </w:style>
  <w:style w:type="paragraph" w:customStyle="1" w:styleId="Calloutbox">
    <w:name w:val="Call out box"/>
    <w:basedOn w:val="NoSpacing"/>
    <w:qFormat/>
    <w:rsid w:val="00CC7238"/>
    <w:pPr>
      <w:framePr w:wrap="notBeside" w:vAnchor="text" w:hAnchor="text" w:y="1"/>
    </w:pPr>
  </w:style>
  <w:style w:type="paragraph" w:styleId="BodyTextIndent">
    <w:name w:val="Body Text Indent"/>
    <w:basedOn w:val="Normal"/>
    <w:link w:val="BodyTextIndentChar"/>
    <w:rsid w:val="0094620A"/>
    <w:pPr>
      <w:suppressAutoHyphens/>
      <w:spacing w:after="0" w:line="240" w:lineRule="auto"/>
      <w:ind w:left="720"/>
    </w:pPr>
    <w:rPr>
      <w:rFonts w:cs="Arial"/>
      <w:szCs w:val="20"/>
      <w:lang w:eastAsia="zh-CN"/>
    </w:rPr>
  </w:style>
  <w:style w:type="character" w:customStyle="1" w:styleId="BodyTextIndentChar">
    <w:name w:val="Body Text Indent Char"/>
    <w:basedOn w:val="DefaultParagraphFont"/>
    <w:link w:val="BodyTextIndent"/>
    <w:rsid w:val="0094620A"/>
    <w:rPr>
      <w:rFonts w:ascii="Arial" w:hAnsi="Arial" w:cs="Arial"/>
      <w:sz w:val="24"/>
      <w:lang w:eastAsia="zh-CN"/>
    </w:rPr>
  </w:style>
  <w:style w:type="character" w:customStyle="1" w:styleId="Heading6Char">
    <w:name w:val="Heading 6 Char"/>
    <w:basedOn w:val="DefaultParagraphFont"/>
    <w:link w:val="Heading6"/>
    <w:rsid w:val="0094620A"/>
    <w:rPr>
      <w:rFonts w:ascii="Calibri" w:hAnsi="Calibri"/>
      <w:b/>
      <w:bCs/>
      <w:sz w:val="22"/>
      <w:szCs w:val="22"/>
      <w:lang w:eastAsia="en-US"/>
    </w:rPr>
  </w:style>
  <w:style w:type="character" w:customStyle="1" w:styleId="Heading7Char">
    <w:name w:val="Heading 7 Char"/>
    <w:basedOn w:val="DefaultParagraphFont"/>
    <w:link w:val="Heading7"/>
    <w:rsid w:val="0094620A"/>
    <w:rPr>
      <w:rFonts w:ascii="Calibri" w:hAnsi="Calibri"/>
      <w:sz w:val="24"/>
      <w:szCs w:val="24"/>
      <w:lang w:eastAsia="en-US"/>
    </w:rPr>
  </w:style>
  <w:style w:type="character" w:customStyle="1" w:styleId="Heading8Char">
    <w:name w:val="Heading 8 Char"/>
    <w:basedOn w:val="DefaultParagraphFont"/>
    <w:link w:val="Heading8"/>
    <w:rsid w:val="0094620A"/>
    <w:rPr>
      <w:rFonts w:ascii="Calibri" w:hAnsi="Calibri"/>
      <w:i/>
      <w:iCs/>
      <w:sz w:val="24"/>
      <w:szCs w:val="24"/>
      <w:lang w:eastAsia="en-US"/>
    </w:rPr>
  </w:style>
  <w:style w:type="character" w:customStyle="1" w:styleId="Heading9Char">
    <w:name w:val="Heading 9 Char"/>
    <w:basedOn w:val="DefaultParagraphFont"/>
    <w:link w:val="Heading9"/>
    <w:rsid w:val="0094620A"/>
    <w:rPr>
      <w:rFonts w:ascii="Cambria" w:hAnsi="Cambria"/>
      <w:sz w:val="22"/>
      <w:szCs w:val="22"/>
      <w:lang w:eastAsia="en-US"/>
    </w:rPr>
  </w:style>
  <w:style w:type="character" w:styleId="CommentReference">
    <w:name w:val="annotation reference"/>
    <w:uiPriority w:val="99"/>
    <w:rsid w:val="0094620A"/>
    <w:rPr>
      <w:sz w:val="16"/>
      <w:szCs w:val="16"/>
    </w:rPr>
  </w:style>
  <w:style w:type="paragraph" w:styleId="CommentText">
    <w:name w:val="annotation text"/>
    <w:basedOn w:val="Normal"/>
    <w:link w:val="CommentTextChar"/>
    <w:uiPriority w:val="99"/>
    <w:rsid w:val="0094620A"/>
    <w:pPr>
      <w:spacing w:after="0" w:line="240" w:lineRule="auto"/>
    </w:pPr>
    <w:rPr>
      <w:rFonts w:eastAsia="Calibri"/>
      <w:sz w:val="20"/>
      <w:szCs w:val="20"/>
      <w:lang w:val="x-none" w:eastAsia="x-none"/>
    </w:rPr>
  </w:style>
  <w:style w:type="character" w:customStyle="1" w:styleId="CommentTextChar">
    <w:name w:val="Comment Text Char"/>
    <w:basedOn w:val="DefaultParagraphFont"/>
    <w:link w:val="CommentText"/>
    <w:uiPriority w:val="99"/>
    <w:rsid w:val="0094620A"/>
    <w:rPr>
      <w:rFonts w:ascii="Arial" w:eastAsia="Calibri" w:hAnsi="Arial"/>
      <w:lang w:val="x-none" w:eastAsia="x-none"/>
    </w:rPr>
  </w:style>
  <w:style w:type="paragraph" w:styleId="CommentSubject">
    <w:name w:val="annotation subject"/>
    <w:basedOn w:val="CommentText"/>
    <w:next w:val="CommentText"/>
    <w:link w:val="CommentSubjectChar"/>
    <w:uiPriority w:val="99"/>
    <w:rsid w:val="0094620A"/>
    <w:rPr>
      <w:b/>
      <w:bCs/>
    </w:rPr>
  </w:style>
  <w:style w:type="character" w:customStyle="1" w:styleId="CommentSubjectChar">
    <w:name w:val="Comment Subject Char"/>
    <w:basedOn w:val="CommentTextChar"/>
    <w:link w:val="CommentSubject"/>
    <w:uiPriority w:val="99"/>
    <w:rsid w:val="0094620A"/>
    <w:rPr>
      <w:rFonts w:ascii="Arial" w:eastAsia="Calibri" w:hAnsi="Arial"/>
      <w:b/>
      <w:bCs/>
      <w:lang w:val="x-none" w:eastAsia="x-none"/>
    </w:rPr>
  </w:style>
  <w:style w:type="character" w:customStyle="1" w:styleId="BalloonTextChar">
    <w:name w:val="Balloon Text Char"/>
    <w:link w:val="BalloonText"/>
    <w:uiPriority w:val="99"/>
    <w:semiHidden/>
    <w:locked/>
    <w:rsid w:val="0094620A"/>
    <w:rPr>
      <w:rFonts w:ascii="Tahoma" w:hAnsi="Tahoma" w:cs="Tahoma"/>
      <w:sz w:val="16"/>
      <w:szCs w:val="16"/>
    </w:rPr>
  </w:style>
  <w:style w:type="paragraph" w:customStyle="1" w:styleId="ColorfulList-Accent11">
    <w:name w:val="Colorful List - Accent 11"/>
    <w:basedOn w:val="Normal"/>
    <w:uiPriority w:val="34"/>
    <w:qFormat/>
    <w:rsid w:val="0094620A"/>
    <w:pPr>
      <w:spacing w:after="0" w:line="240" w:lineRule="auto"/>
      <w:ind w:left="720"/>
    </w:pPr>
    <w:rPr>
      <w:rFonts w:cs="Arial"/>
      <w:sz w:val="22"/>
      <w:lang w:eastAsia="en-US"/>
    </w:rPr>
  </w:style>
  <w:style w:type="paragraph" w:customStyle="1" w:styleId="CharCharCharCharCharChar">
    <w:name w:val="Char Char Char Char Char Char"/>
    <w:basedOn w:val="Normal"/>
    <w:rsid w:val="0094620A"/>
    <w:pPr>
      <w:spacing w:after="120" w:line="240" w:lineRule="exact"/>
    </w:pPr>
    <w:rPr>
      <w:rFonts w:ascii="Verdana" w:hAnsi="Verdana" w:cs="Verdana"/>
      <w:sz w:val="20"/>
      <w:szCs w:val="20"/>
      <w:lang w:eastAsia="en-US"/>
    </w:rPr>
  </w:style>
  <w:style w:type="paragraph" w:customStyle="1" w:styleId="Char">
    <w:name w:val="Char"/>
    <w:basedOn w:val="Normal"/>
    <w:rsid w:val="0094620A"/>
    <w:pPr>
      <w:spacing w:after="120" w:line="240" w:lineRule="exact"/>
    </w:pPr>
    <w:rPr>
      <w:rFonts w:ascii="Verdana" w:hAnsi="Verdana" w:cs="Verdana"/>
      <w:sz w:val="20"/>
      <w:szCs w:val="20"/>
      <w:lang w:eastAsia="en-US"/>
    </w:rPr>
  </w:style>
  <w:style w:type="character" w:customStyle="1" w:styleId="resulttextb">
    <w:name w:val="resulttextb"/>
    <w:basedOn w:val="DefaultParagraphFont"/>
    <w:rsid w:val="0094620A"/>
  </w:style>
  <w:style w:type="character" w:customStyle="1" w:styleId="resulttext">
    <w:name w:val="resulttext"/>
    <w:basedOn w:val="DefaultParagraphFont"/>
    <w:rsid w:val="0094620A"/>
  </w:style>
  <w:style w:type="paragraph" w:styleId="ListBullet">
    <w:name w:val="List Bullet"/>
    <w:basedOn w:val="Normal"/>
    <w:rsid w:val="0094620A"/>
    <w:pPr>
      <w:numPr>
        <w:numId w:val="1"/>
      </w:numPr>
      <w:spacing w:after="0" w:line="240" w:lineRule="auto"/>
    </w:pPr>
    <w:rPr>
      <w:rFonts w:cs="Arial"/>
      <w:sz w:val="22"/>
      <w:lang w:eastAsia="en-US"/>
    </w:rPr>
  </w:style>
  <w:style w:type="paragraph" w:customStyle="1" w:styleId="Char1">
    <w:name w:val="Char1"/>
    <w:basedOn w:val="Normal"/>
    <w:rsid w:val="0094620A"/>
    <w:pPr>
      <w:spacing w:after="160" w:line="240" w:lineRule="exact"/>
    </w:pPr>
    <w:rPr>
      <w:rFonts w:ascii="Verdana" w:hAnsi="Verdana" w:cs="Verdana"/>
      <w:sz w:val="20"/>
      <w:szCs w:val="20"/>
      <w:lang w:eastAsia="en-US"/>
    </w:rPr>
  </w:style>
  <w:style w:type="paragraph" w:customStyle="1" w:styleId="Default">
    <w:name w:val="Default"/>
    <w:rsid w:val="0094620A"/>
    <w:pPr>
      <w:autoSpaceDE w:val="0"/>
      <w:autoSpaceDN w:val="0"/>
      <w:adjustRightInd w:val="0"/>
    </w:pPr>
    <w:rPr>
      <w:rFonts w:ascii="Arial" w:hAnsi="Arial" w:cs="Arial"/>
      <w:color w:val="000000"/>
      <w:sz w:val="24"/>
      <w:szCs w:val="24"/>
    </w:rPr>
  </w:style>
  <w:style w:type="paragraph" w:customStyle="1" w:styleId="msolistparagraph0">
    <w:name w:val="msolistparagraph"/>
    <w:basedOn w:val="Normal"/>
    <w:rsid w:val="0094620A"/>
    <w:pPr>
      <w:spacing w:after="0" w:line="240" w:lineRule="auto"/>
      <w:ind w:left="720"/>
    </w:pPr>
    <w:rPr>
      <w:rFonts w:ascii="Calibri" w:eastAsia="Calibri" w:hAnsi="Calibri"/>
      <w:sz w:val="22"/>
      <w:lang w:eastAsia="en-US"/>
    </w:rPr>
  </w:style>
  <w:style w:type="character" w:customStyle="1" w:styleId="PlainTextChar">
    <w:name w:val="Plain Text Char"/>
    <w:link w:val="PlainText"/>
    <w:uiPriority w:val="99"/>
    <w:locked/>
    <w:rsid w:val="0094620A"/>
    <w:rPr>
      <w:rFonts w:ascii="Calibri" w:hAnsi="Calibri"/>
      <w:szCs w:val="21"/>
    </w:rPr>
  </w:style>
  <w:style w:type="paragraph" w:styleId="PlainText">
    <w:name w:val="Plain Text"/>
    <w:basedOn w:val="Normal"/>
    <w:link w:val="PlainTextChar"/>
    <w:uiPriority w:val="99"/>
    <w:rsid w:val="0094620A"/>
    <w:pPr>
      <w:spacing w:after="0" w:line="240" w:lineRule="auto"/>
    </w:pPr>
    <w:rPr>
      <w:rFonts w:ascii="Calibri" w:hAnsi="Calibri"/>
      <w:sz w:val="20"/>
      <w:szCs w:val="21"/>
    </w:rPr>
  </w:style>
  <w:style w:type="character" w:customStyle="1" w:styleId="PlainTextChar1">
    <w:name w:val="Plain Text Char1"/>
    <w:basedOn w:val="DefaultParagraphFont"/>
    <w:rsid w:val="0094620A"/>
    <w:rPr>
      <w:rFonts w:ascii="Consolas" w:hAnsi="Consolas"/>
      <w:sz w:val="21"/>
      <w:szCs w:val="21"/>
    </w:rPr>
  </w:style>
  <w:style w:type="paragraph" w:customStyle="1" w:styleId="ColorfulShading-Accent11">
    <w:name w:val="Colorful Shading - Accent 11"/>
    <w:hidden/>
    <w:uiPriority w:val="99"/>
    <w:semiHidden/>
    <w:rsid w:val="0094620A"/>
    <w:rPr>
      <w:rFonts w:ascii="Arial" w:hAnsi="Arial" w:cs="Arial"/>
      <w:sz w:val="22"/>
      <w:szCs w:val="22"/>
      <w:lang w:eastAsia="en-US"/>
    </w:rPr>
  </w:style>
  <w:style w:type="character" w:customStyle="1" w:styleId="s10">
    <w:name w:val="s10"/>
    <w:basedOn w:val="DefaultParagraphFont"/>
    <w:rsid w:val="0094620A"/>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List Paragraph2 Char"/>
    <w:basedOn w:val="DefaultParagraphFont"/>
    <w:link w:val="ListParagraph"/>
    <w:uiPriority w:val="34"/>
    <w:qFormat/>
    <w:locked/>
    <w:rsid w:val="0094620A"/>
    <w:rPr>
      <w:rFonts w:ascii="Arial" w:hAnsi="Arial"/>
      <w:sz w:val="24"/>
      <w:szCs w:val="22"/>
    </w:rPr>
  </w:style>
  <w:style w:type="paragraph" w:customStyle="1" w:styleId="Heading">
    <w:name w:val="Heading"/>
    <w:basedOn w:val="Normal"/>
    <w:next w:val="BodyText"/>
    <w:qFormat/>
    <w:rsid w:val="0094620A"/>
    <w:pPr>
      <w:keepNext/>
      <w:spacing w:before="240" w:after="120" w:line="276" w:lineRule="auto"/>
    </w:pPr>
    <w:rPr>
      <w:rFonts w:ascii="Liberation Sans" w:eastAsia="Microsoft YaHei" w:hAnsi="Liberation Sans" w:cs="Arial"/>
      <w:sz w:val="28"/>
      <w:szCs w:val="28"/>
      <w:lang w:eastAsia="en-US"/>
    </w:rPr>
  </w:style>
  <w:style w:type="character" w:styleId="Emphasis">
    <w:name w:val="Emphasis"/>
    <w:basedOn w:val="DefaultParagraphFont"/>
    <w:uiPriority w:val="20"/>
    <w:qFormat/>
    <w:rsid w:val="0094620A"/>
    <w:rPr>
      <w:i/>
      <w:iCs/>
    </w:rPr>
  </w:style>
  <w:style w:type="numbering" w:customStyle="1" w:styleId="NoList1">
    <w:name w:val="No List1"/>
    <w:next w:val="NoList"/>
    <w:uiPriority w:val="99"/>
    <w:semiHidden/>
    <w:unhideWhenUsed/>
    <w:rsid w:val="0094620A"/>
  </w:style>
  <w:style w:type="paragraph" w:customStyle="1" w:styleId="BodyA">
    <w:name w:val="Body A"/>
    <w:rsid w:val="0094620A"/>
    <w:pPr>
      <w:suppressAutoHyphens/>
    </w:pPr>
    <w:rPr>
      <w:rFonts w:ascii="Arial" w:eastAsia="Arial" w:hAnsi="Arial" w:cs="Arial"/>
      <w:color w:val="000000"/>
      <w:sz w:val="22"/>
      <w:szCs w:val="22"/>
      <w:u w:color="000000"/>
      <w:lang w:val="en-US"/>
      <w14:textOutline w14:w="12700" w14:cap="flat" w14:cmpd="sng" w14:algn="ctr">
        <w14:noFill/>
        <w14:prstDash w14:val="solid"/>
        <w14:miter w14:lim="100000"/>
      </w14:textOutline>
    </w:rPr>
  </w:style>
  <w:style w:type="paragraph" w:customStyle="1" w:styleId="TableParagraph">
    <w:name w:val="Table Paragraph"/>
    <w:basedOn w:val="Normal"/>
    <w:uiPriority w:val="1"/>
    <w:qFormat/>
    <w:rsid w:val="0094620A"/>
    <w:pPr>
      <w:widowControl w:val="0"/>
      <w:autoSpaceDE w:val="0"/>
      <w:autoSpaceDN w:val="0"/>
      <w:spacing w:after="0" w:line="240" w:lineRule="auto"/>
      <w:ind w:left="107"/>
    </w:pPr>
    <w:rPr>
      <w:rFonts w:eastAsia="Arial" w:cs="Arial"/>
      <w:sz w:val="22"/>
      <w:lang w:val="en-US" w:eastAsia="en-US"/>
    </w:rPr>
  </w:style>
  <w:style w:type="character" w:customStyle="1" w:styleId="apple-converted-space">
    <w:name w:val="apple-converted-space"/>
    <w:basedOn w:val="DefaultParagraphFont"/>
    <w:rsid w:val="00A07864"/>
  </w:style>
  <w:style w:type="character" w:styleId="PageNumber">
    <w:name w:val="page number"/>
    <w:basedOn w:val="DefaultParagraphFont"/>
    <w:rsid w:val="00631939"/>
  </w:style>
  <w:style w:type="paragraph" w:styleId="NormalWeb">
    <w:name w:val="Normal (Web)"/>
    <w:basedOn w:val="Normal"/>
    <w:uiPriority w:val="99"/>
    <w:unhideWhenUsed/>
    <w:rsid w:val="00631939"/>
    <w:pPr>
      <w:spacing w:before="100" w:beforeAutospacing="1" w:after="100" w:afterAutospacing="1" w:line="240" w:lineRule="auto"/>
    </w:pPr>
    <w:rPr>
      <w:rFonts w:ascii="Times New Roman" w:eastAsiaTheme="minorEastAsia" w:hAnsi="Times New Roman"/>
      <w:szCs w:val="24"/>
    </w:rPr>
  </w:style>
  <w:style w:type="paragraph" w:customStyle="1" w:styleId="p1">
    <w:name w:val="p1"/>
    <w:basedOn w:val="Normal"/>
    <w:rsid w:val="001F58E6"/>
    <w:pPr>
      <w:spacing w:after="0" w:line="240" w:lineRule="auto"/>
    </w:pPr>
    <w:rPr>
      <w:rFonts w:cs="Arial"/>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kh-tr.communications@nhs.net" TargetMode="Externa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7.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footer" Target="footer11.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mailto:ekh-tr.communications@nhs.net" TargetMode="Externa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eader" Target="header13.xml"/><Relationship Id="rId35" Type="http://schemas.openxmlformats.org/officeDocument/2006/relationships/header" Target="header16.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5.jpeg"/></Relationships>
</file>

<file path=word/_rels/header13.xml.rels><?xml version="1.0" encoding="UTF-8" standalone="yes"?>
<Relationships xmlns="http://schemas.openxmlformats.org/package/2006/relationships"><Relationship Id="rId1" Type="http://schemas.openxmlformats.org/officeDocument/2006/relationships/image" Target="media/image5.jpeg"/></Relationships>
</file>

<file path=word/_rels/header16.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F2872F561045818250E1F309D792AA"/>
        <w:category>
          <w:name w:val="General"/>
          <w:gallery w:val="placeholder"/>
        </w:category>
        <w:types>
          <w:type w:val="bbPlcHdr"/>
        </w:types>
        <w:behaviors>
          <w:behavior w:val="content"/>
        </w:behaviors>
        <w:guid w:val="{56124F1D-C6A4-485A-83BD-2C3BF548E408}"/>
      </w:docPartPr>
      <w:docPartBody>
        <w:p w:rsidR="00DF2C56" w:rsidRDefault="00DF2C56">
          <w:pPr>
            <w:pStyle w:val="CBF2872F561045818250E1F309D792AA"/>
          </w:pPr>
          <w:r>
            <w:rPr>
              <w:rStyle w:val="PlaceholderText"/>
            </w:rPr>
            <w:t>[Title]</w:t>
          </w:r>
        </w:p>
      </w:docPartBody>
    </w:docPart>
    <w:docPart>
      <w:docPartPr>
        <w:name w:val="9BDF8AF1A94C424E8A8449383E7367BC"/>
        <w:category>
          <w:name w:val="General"/>
          <w:gallery w:val="placeholder"/>
        </w:category>
        <w:types>
          <w:type w:val="bbPlcHdr"/>
        </w:types>
        <w:behaviors>
          <w:behavior w:val="content"/>
        </w:behaviors>
        <w:guid w:val="{55E07E93-8B4F-43F8-BAC6-FFB740BD0F87}"/>
      </w:docPartPr>
      <w:docPartBody>
        <w:p w:rsidR="00DF2C56" w:rsidRDefault="00DF2C56">
          <w:pPr>
            <w:pStyle w:val="9BDF8AF1A94C424E8A8449383E7367B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Bold">
    <w:altName w:val="Arial"/>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C56"/>
    <w:rsid w:val="00DF2C56"/>
    <w:rsid w:val="00E15BC1"/>
    <w:rsid w:val="00EB7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CBF2872F561045818250E1F309D792AA">
    <w:name w:val="CBF2872F561045818250E1F309D792AA"/>
  </w:style>
  <w:style w:type="paragraph" w:customStyle="1" w:styleId="A28AD344961E464BB480855090EBD92E">
    <w:name w:val="A28AD344961E464BB480855090EBD92E"/>
  </w:style>
  <w:style w:type="paragraph" w:customStyle="1" w:styleId="9BDF8AF1A94C424E8A8449383E7367BC">
    <w:name w:val="9BDF8AF1A94C424E8A8449383E7367BC"/>
  </w:style>
  <w:style w:type="paragraph" w:customStyle="1" w:styleId="F9A0DE8866824A6BA56AB41CD549B9E7">
    <w:name w:val="F9A0DE8866824A6BA56AB41CD549B9E7"/>
    <w:rsid w:val="00E15BC1"/>
  </w:style>
  <w:style w:type="paragraph" w:customStyle="1" w:styleId="418A3D9CE2A14627828602F775E3DFF9">
    <w:name w:val="418A3D9CE2A14627828602F775E3DFF9"/>
    <w:rsid w:val="00E15BC1"/>
  </w:style>
  <w:style w:type="paragraph" w:customStyle="1" w:styleId="D7D4C80189154D8E8FB9D954F7AC575E">
    <w:name w:val="D7D4C80189154D8E8FB9D954F7AC575E"/>
    <w:rsid w:val="00E15BC1"/>
  </w:style>
  <w:style w:type="paragraph" w:customStyle="1" w:styleId="6DCC336CFF1345719B8741554063D8C9">
    <w:name w:val="6DCC336CFF1345719B8741554063D8C9"/>
    <w:rsid w:val="00E15B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EKHUFT colours">
      <a:dk1>
        <a:srgbClr val="231F20"/>
      </a:dk1>
      <a:lt1>
        <a:sysClr val="window" lastClr="FFFFFF"/>
      </a:lt1>
      <a:dk2>
        <a:srgbClr val="425563"/>
      </a:dk2>
      <a:lt2>
        <a:srgbClr val="E8EDEE"/>
      </a:lt2>
      <a:accent1>
        <a:srgbClr val="005EB8"/>
      </a:accent1>
      <a:accent2>
        <a:srgbClr val="003087"/>
      </a:accent2>
      <a:accent3>
        <a:srgbClr val="00A499"/>
      </a:accent3>
      <a:accent4>
        <a:srgbClr val="AE2573"/>
      </a:accent4>
      <a:accent5>
        <a:srgbClr val="78BE20"/>
      </a:accent5>
      <a:accent6>
        <a:srgbClr val="ED8B00"/>
      </a:accent6>
      <a:hlink>
        <a:srgbClr val="005EB8"/>
      </a:hlink>
      <a:folHlink>
        <a:srgbClr val="00308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6CFBC-A4D3-4659-8C78-F6416A4A4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25</Pages>
  <Words>5284</Words>
  <Characters>32259</Characters>
  <Application>Microsoft Office Word</Application>
  <DocSecurity>0</DocSecurity>
  <Lines>268</Lines>
  <Paragraphs>74</Paragraphs>
  <ScaleCrop>false</ScaleCrop>
  <HeadingPairs>
    <vt:vector size="2" baseType="variant">
      <vt:variant>
        <vt:lpstr>Title</vt:lpstr>
      </vt:variant>
      <vt:variant>
        <vt:i4>1</vt:i4>
      </vt:variant>
    </vt:vector>
  </HeadingPairs>
  <TitlesOfParts>
    <vt:vector size="1" baseType="lpstr">
      <vt:lpstr>Board paper pack - part 3 - Closing items</vt:lpstr>
    </vt:vector>
  </TitlesOfParts>
  <Company>East Kent Hospital University Foundation Trust</Company>
  <LinksUpToDate>false</LinksUpToDate>
  <CharactersWithSpaces>37469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paper pack - part 3</dc:title>
  <dc:subject>A pre-designed template for staff to correctly apply headings and logo styles in a Trust document.</dc:subject>
  <dc:creator>East Kent Hospitals University NHS Foundation Trust</dc:creator>
  <cp:keywords>Accessibility</cp:keywords>
  <cp:lastModifiedBy>Hollie Godwin</cp:lastModifiedBy>
  <cp:revision>12</cp:revision>
  <cp:lastPrinted>2009-06-12T14:38:00Z</cp:lastPrinted>
  <dcterms:created xsi:type="dcterms:W3CDTF">2026-02-03T11:53:00Z</dcterms:created>
  <dcterms:modified xsi:type="dcterms:W3CDTF">2026-02-04T11:37:00Z</dcterms:modified>
</cp:coreProperties>
</file>