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3B9" w:rsidRDefault="008773B9" w:rsidP="008773B9">
      <w:r>
        <w:rPr>
          <w:noProof/>
        </w:rPr>
        <mc:AlternateContent>
          <mc:Choice Requires="wps">
            <w:drawing>
              <wp:inline distT="0" distB="0" distL="0" distR="0" wp14:anchorId="5165E3F5" wp14:editId="4CE711F6">
                <wp:extent cx="5597719" cy="4072270"/>
                <wp:effectExtent l="0" t="0" r="3175" b="4445"/>
                <wp:docPr id="24" name="Text Box 24"/>
                <wp:cNvGraphicFramePr/>
                <a:graphic xmlns:a="http://schemas.openxmlformats.org/drawingml/2006/main">
                  <a:graphicData uri="http://schemas.microsoft.com/office/word/2010/wordprocessingShape">
                    <wps:wsp>
                      <wps:cNvSpPr txBox="1"/>
                      <wps:spPr>
                        <a:xfrm>
                          <a:off x="0" y="0"/>
                          <a:ext cx="5597719" cy="4072270"/>
                        </a:xfrm>
                        <a:prstGeom prst="rect">
                          <a:avLst/>
                        </a:prstGeom>
                        <a:solidFill>
                          <a:schemeClr val="lt1"/>
                        </a:solidFill>
                        <a:ln w="6350">
                          <a:noFill/>
                        </a:ln>
                      </wps:spPr>
                      <wps:txbx>
                        <w:txbxContent>
                          <w:sdt>
                            <w:sdtPr>
                              <w:rPr>
                                <w:rStyle w:val="TitleChar"/>
                                <w:rFonts w:eastAsiaTheme="minorHAnsi"/>
                              </w:rPr>
                              <w:alias w:val="Title"/>
                              <w:tag w:val=""/>
                              <w:id w:val="1317071641"/>
                              <w:placeholder>
                                <w:docPart w:val="D5B804176A924FD18DF190E1CEE0F85E"/>
                              </w:placeholder>
                              <w:dataBinding w:prefixMappings="xmlns:ns0='http://purl.org/dc/elements/1.1/' xmlns:ns1='http://schemas.openxmlformats.org/package/2006/metadata/core-properties' " w:xpath="/ns1:coreProperties[1]/ns0:title[1]" w:storeItemID="{6C3C8BC8-F283-45AE-878A-BAB7291924A1}"/>
                              <w:text/>
                            </w:sdtPr>
                            <w:sdtContent>
                              <w:p w:rsidR="008773B9" w:rsidRDefault="008773B9" w:rsidP="008773B9">
                                <w:pPr>
                                  <w:rPr>
                                    <w:rStyle w:val="TitleChar"/>
                                    <w:rFonts w:eastAsiaTheme="minorHAnsi"/>
                                  </w:rPr>
                                </w:pPr>
                                <w:r>
                                  <w:rPr>
                                    <w:rStyle w:val="TitleChar"/>
                                    <w:rFonts w:eastAsiaTheme="minorHAnsi"/>
                                  </w:rPr>
                                  <w:t>Workforce Disability Equality Standard Report 2020</w:t>
                                </w:r>
                              </w:p>
                            </w:sdtContent>
                          </w:sdt>
                          <w:p w:rsidR="008773B9" w:rsidRDefault="008773B9" w:rsidP="008773B9"/>
                          <w:sdt>
                            <w:sdtPr>
                              <w:alias w:val="Subject"/>
                              <w:tag w:val=""/>
                              <w:id w:val="-716899419"/>
                              <w:placeholder>
                                <w:docPart w:val="1D11C5AF214A41FE9B580DFA421705FF"/>
                              </w:placeholder>
                              <w:dataBinding w:prefixMappings="xmlns:ns0='http://purl.org/dc/elements/1.1/' xmlns:ns1='http://schemas.openxmlformats.org/package/2006/metadata/core-properties' " w:xpath="/ns1:coreProperties[1]/ns0:subject[1]" w:storeItemID="{6C3C8BC8-F283-45AE-878A-BAB7291924A1}"/>
                              <w:text/>
                            </w:sdtPr>
                            <w:sdtContent>
                              <w:p w:rsidR="008773B9" w:rsidRDefault="008773B9" w:rsidP="008773B9">
                                <w:r>
                                  <w:t>Data for East Kent Hospitals Workforce Disability Equality Standard In 2020</w:t>
                                </w:r>
                              </w:p>
                            </w:sdtContent>
                          </w:sdt>
                          <w:p w:rsidR="008773B9" w:rsidRDefault="008773B9" w:rsidP="008773B9"/>
                          <w:sdt>
                            <w:sdtPr>
                              <w:alias w:val="Author"/>
                              <w:tag w:val=""/>
                              <w:id w:val="1142005934"/>
                              <w:placeholder>
                                <w:docPart w:val="2C55085B2DA242139A5E466E1B371B86"/>
                              </w:placeholder>
                              <w:dataBinding w:prefixMappings="xmlns:ns0='http://purl.org/dc/elements/1.1/' xmlns:ns1='http://schemas.openxmlformats.org/package/2006/metadata/core-properties' " w:xpath="/ns1:coreProperties[1]/ns0:creator[1]" w:storeItemID="{6C3C8BC8-F283-45AE-878A-BAB7291924A1}"/>
                              <w:text/>
                            </w:sdtPr>
                            <w:sdtContent>
                              <w:p w:rsidR="008773B9" w:rsidRDefault="008773B9" w:rsidP="008773B9">
                                <w:r>
                                  <w:t>Bruce Campion-Smith</w:t>
                                </w:r>
                              </w:p>
                            </w:sdtContent>
                          </w:sdt>
                          <w:p w:rsidR="008773B9" w:rsidRDefault="008773B9" w:rsidP="008773B9">
                            <w:r w:rsidRPr="00090AC9">
                              <w:t>Head of Equality Diversity and Inclusion</w:t>
                            </w:r>
                          </w:p>
                          <w:p w:rsidR="008773B9" w:rsidRPr="00090AC9" w:rsidRDefault="008773B9" w:rsidP="008773B9">
                            <w:r>
                              <w:t>July 2020</w:t>
                            </w:r>
                          </w:p>
                          <w:p w:rsidR="008773B9" w:rsidRPr="00090AC9" w:rsidRDefault="008773B9" w:rsidP="008773B9"/>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5165E3F5" id="_x0000_t202" coordsize="21600,21600" o:spt="202" path="m,l,21600r21600,l21600,xe">
                <v:stroke joinstyle="miter"/>
                <v:path gradientshapeok="t" o:connecttype="rect"/>
              </v:shapetype>
              <v:shape id="Text Box 24" o:spid="_x0000_s1026" type="#_x0000_t202" style="width:440.75pt;height:320.6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" fillcolor="white [3201]" stroked="f" strokeweight=".5pt">
                <v:textbox>
                  <w:txbxContent>
                    <w:sdt>
                      <w:sdtPr>
                        <w:rPr>
                          <w:rStyle w:val="TitleChar"/>
                          <w:rFonts w:eastAsiaTheme="minorHAnsi"/>
                        </w:rPr>
                        <w:alias w:val="Title"/>
                        <w:tag w:val=""/>
                        <w:id w:val="1317071641"/>
                        <w:placeholder>
                          <w:docPart w:val="D5B804176A924FD18DF190E1CEE0F85E"/>
                        </w:placeholder>
                        <w:dataBinding w:prefixMappings="xmlns:ns0='http://purl.org/dc/elements/1.1/' xmlns:ns1='http://schemas.openxmlformats.org/package/2006/metadata/core-properties' " w:xpath="/ns1:coreProperties[1]/ns0:title[1]" w:storeItemID="{6C3C8BC8-F283-45AE-878A-BAB7291924A1}"/>
                        <w:text/>
                      </w:sdtPr>
                      <w:sdtContent>
                        <w:p w:rsidR="008773B9" w:rsidRDefault="008773B9" w:rsidP="008773B9">
                          <w:pPr>
                            <w:rPr>
                              <w:rStyle w:val="TitleChar"/>
                              <w:rFonts w:eastAsiaTheme="minorHAnsi"/>
                            </w:rPr>
                          </w:pPr>
                          <w:r>
                            <w:rPr>
                              <w:rStyle w:val="TitleChar"/>
                              <w:rFonts w:eastAsiaTheme="minorHAnsi"/>
                            </w:rPr>
                            <w:t>Workforce Disability Equality Standard Report 2020</w:t>
                          </w:r>
                        </w:p>
                      </w:sdtContent>
                    </w:sdt>
                    <w:p w:rsidR="008773B9" w:rsidRDefault="008773B9" w:rsidP="008773B9"/>
                    <w:sdt>
                      <w:sdtPr>
                        <w:alias w:val="Subject"/>
                        <w:tag w:val=""/>
                        <w:id w:val="-716899419"/>
                        <w:placeholder>
                          <w:docPart w:val="1D11C5AF214A41FE9B580DFA421705FF"/>
                        </w:placeholder>
                        <w:dataBinding w:prefixMappings="xmlns:ns0='http://purl.org/dc/elements/1.1/' xmlns:ns1='http://schemas.openxmlformats.org/package/2006/metadata/core-properties' " w:xpath="/ns1:coreProperties[1]/ns0:subject[1]" w:storeItemID="{6C3C8BC8-F283-45AE-878A-BAB7291924A1}"/>
                        <w:text/>
                      </w:sdtPr>
                      <w:sdtContent>
                        <w:p w:rsidR="008773B9" w:rsidRDefault="008773B9" w:rsidP="008773B9">
                          <w:r>
                            <w:t>Data for East Kent Hospitals Workforce Disability Equality Standard In 2020</w:t>
                          </w:r>
                        </w:p>
                      </w:sdtContent>
                    </w:sdt>
                    <w:p w:rsidR="008773B9" w:rsidRDefault="008773B9" w:rsidP="008773B9"/>
                    <w:sdt>
                      <w:sdtPr>
                        <w:alias w:val="Author"/>
                        <w:tag w:val=""/>
                        <w:id w:val="1142005934"/>
                        <w:placeholder>
                          <w:docPart w:val="2C55085B2DA242139A5E466E1B371B86"/>
                        </w:placeholder>
                        <w:dataBinding w:prefixMappings="xmlns:ns0='http://purl.org/dc/elements/1.1/' xmlns:ns1='http://schemas.openxmlformats.org/package/2006/metadata/core-properties' " w:xpath="/ns1:coreProperties[1]/ns0:creator[1]" w:storeItemID="{6C3C8BC8-F283-45AE-878A-BAB7291924A1}"/>
                        <w:text/>
                      </w:sdtPr>
                      <w:sdtContent>
                        <w:p w:rsidR="008773B9" w:rsidRDefault="008773B9" w:rsidP="008773B9">
                          <w:r>
                            <w:t>Bruce Campion-Smith</w:t>
                          </w:r>
                        </w:p>
                      </w:sdtContent>
                    </w:sdt>
                    <w:p w:rsidR="008773B9" w:rsidRDefault="008773B9" w:rsidP="008773B9">
                      <w:r w:rsidRPr="00090AC9">
                        <w:t>Head of Equality Diversity and Inclusion</w:t>
                      </w:r>
                    </w:p>
                    <w:p w:rsidR="008773B9" w:rsidRPr="00090AC9" w:rsidRDefault="008773B9" w:rsidP="008773B9">
                      <w:r>
                        <w:t>July 2020</w:t>
                      </w:r>
                    </w:p>
                    <w:p w:rsidR="008773B9" w:rsidRPr="00090AC9" w:rsidRDefault="008773B9" w:rsidP="008773B9"/>
                  </w:txbxContent>
                </v:textbox>
                <w10:anchorlock/>
              </v:shape>
            </w:pict>
          </mc:Fallback>
        </mc:AlternateContent>
      </w:r>
    </w:p>
    <w:p w:rsidR="008773B9" w:rsidRDefault="008773B9" w:rsidP="002B5F36"/>
    <w:p w:rsidR="00CF6DCA" w:rsidRPr="008773B9" w:rsidRDefault="00CF6DCA" w:rsidP="008773B9">
      <w:pPr>
        <w:pStyle w:val="Heading1"/>
      </w:pPr>
      <w:bookmarkStart w:id="0" w:name="_Toc14081410"/>
      <w:r w:rsidRPr="008773B9">
        <w:t>Contents</w:t>
      </w:r>
    </w:p>
    <w:p w:rsidR="00F41FD4" w:rsidRDefault="00627785" w:rsidP="008773B9">
      <w:pPr>
        <w:pStyle w:val="TOC1"/>
        <w:rPr>
          <w:rFonts w:eastAsiaTheme="minorEastAsia"/>
          <w:noProof/>
          <w:sz w:val="22"/>
          <w:szCs w:val="22"/>
          <w:lang w:eastAsia="en-GB"/>
        </w:rPr>
      </w:pPr>
      <w:r w:rsidRPr="00E42D5B">
        <w:rPr>
          <w:rFonts w:ascii="Arial" w:eastAsiaTheme="majorEastAsia" w:hAnsi="Arial" w:cs="Arial"/>
          <w:b/>
          <w:bCs/>
        </w:rPr>
        <w:fldChar w:fldCharType="begin"/>
      </w:r>
      <w:r w:rsidRPr="00E42D5B">
        <w:rPr>
          <w:rFonts w:ascii="Arial" w:eastAsiaTheme="majorEastAsia" w:hAnsi="Arial" w:cs="Arial"/>
          <w:b/>
          <w:bCs/>
        </w:rPr>
        <w:instrText xml:space="preserve"> TOC \o "1-1" \h \z \u </w:instrText>
      </w:r>
      <w:r w:rsidRPr="00E42D5B">
        <w:rPr>
          <w:rFonts w:ascii="Arial" w:eastAsiaTheme="majorEastAsia" w:hAnsi="Arial" w:cs="Arial"/>
          <w:b/>
          <w:bCs/>
        </w:rPr>
        <w:fldChar w:fldCharType="separate"/>
      </w:r>
      <w:hyperlink w:anchor="_Toc47416512" w:history="1">
        <w:r w:rsidR="00F41FD4" w:rsidRPr="004443A4">
          <w:rPr>
            <w:rStyle w:val="Hyperlink"/>
            <w:noProof/>
          </w:rPr>
          <w:t>1</w:t>
        </w:r>
        <w:r w:rsidR="00F41FD4">
          <w:rPr>
            <w:rFonts w:eastAsiaTheme="minorEastAsia"/>
            <w:noProof/>
            <w:sz w:val="22"/>
            <w:szCs w:val="22"/>
            <w:lang w:eastAsia="en-GB"/>
          </w:rPr>
          <w:tab/>
        </w:r>
        <w:r w:rsidR="00F41FD4" w:rsidRPr="004443A4">
          <w:rPr>
            <w:rStyle w:val="Hyperlink"/>
            <w:noProof/>
          </w:rPr>
          <w:t>Introduction</w:t>
        </w:r>
        <w:r w:rsidR="00F41FD4">
          <w:rPr>
            <w:noProof/>
            <w:webHidden/>
          </w:rPr>
          <w:tab/>
        </w:r>
        <w:r w:rsidR="00F41FD4">
          <w:rPr>
            <w:noProof/>
            <w:webHidden/>
          </w:rPr>
          <w:fldChar w:fldCharType="begin"/>
        </w:r>
        <w:r w:rsidR="00F41FD4">
          <w:rPr>
            <w:noProof/>
            <w:webHidden/>
          </w:rPr>
          <w:instrText xml:space="preserve"> PAGEREF _Toc47416512 \h </w:instrText>
        </w:r>
        <w:r w:rsidR="00F41FD4">
          <w:rPr>
            <w:noProof/>
            <w:webHidden/>
          </w:rPr>
        </w:r>
        <w:r w:rsidR="00F41FD4">
          <w:rPr>
            <w:noProof/>
            <w:webHidden/>
          </w:rPr>
          <w:fldChar w:fldCharType="separate"/>
        </w:r>
        <w:r w:rsidR="00F41FD4">
          <w:rPr>
            <w:noProof/>
            <w:webHidden/>
          </w:rPr>
          <w:t>3</w:t>
        </w:r>
        <w:r w:rsidR="00F41FD4">
          <w:rPr>
            <w:noProof/>
            <w:webHidden/>
          </w:rPr>
          <w:fldChar w:fldCharType="end"/>
        </w:r>
      </w:hyperlink>
    </w:p>
    <w:p w:rsidR="00F41FD4" w:rsidRDefault="008773B9" w:rsidP="008773B9">
      <w:pPr>
        <w:pStyle w:val="TOC1"/>
        <w:rPr>
          <w:rFonts w:eastAsiaTheme="minorEastAsia"/>
          <w:noProof/>
          <w:sz w:val="22"/>
          <w:szCs w:val="22"/>
          <w:lang w:eastAsia="en-GB"/>
        </w:rPr>
      </w:pPr>
      <w:hyperlink w:anchor="_Toc47416513" w:history="1">
        <w:r w:rsidR="00F41FD4" w:rsidRPr="004443A4">
          <w:rPr>
            <w:rStyle w:val="Hyperlink"/>
            <w:noProof/>
          </w:rPr>
          <w:t>2</w:t>
        </w:r>
        <w:r w:rsidR="00F41FD4">
          <w:rPr>
            <w:rFonts w:eastAsiaTheme="minorEastAsia"/>
            <w:noProof/>
            <w:sz w:val="22"/>
            <w:szCs w:val="22"/>
            <w:lang w:eastAsia="en-GB"/>
          </w:rPr>
          <w:tab/>
        </w:r>
        <w:r w:rsidR="00F41FD4" w:rsidRPr="004443A4">
          <w:rPr>
            <w:rStyle w:val="Hyperlink"/>
            <w:noProof/>
          </w:rPr>
          <w:t>WDES Metrics</w:t>
        </w:r>
        <w:r w:rsidR="00F41FD4">
          <w:rPr>
            <w:noProof/>
            <w:webHidden/>
          </w:rPr>
          <w:tab/>
        </w:r>
        <w:r w:rsidR="00F41FD4">
          <w:rPr>
            <w:noProof/>
            <w:webHidden/>
          </w:rPr>
          <w:fldChar w:fldCharType="begin"/>
        </w:r>
        <w:r w:rsidR="00F41FD4">
          <w:rPr>
            <w:noProof/>
            <w:webHidden/>
          </w:rPr>
          <w:instrText xml:space="preserve"> PAGEREF _Toc47416513 \h </w:instrText>
        </w:r>
        <w:r w:rsidR="00F41FD4">
          <w:rPr>
            <w:noProof/>
            <w:webHidden/>
          </w:rPr>
        </w:r>
        <w:r w:rsidR="00F41FD4">
          <w:rPr>
            <w:noProof/>
            <w:webHidden/>
          </w:rPr>
          <w:fldChar w:fldCharType="separate"/>
        </w:r>
        <w:r w:rsidR="00F41FD4">
          <w:rPr>
            <w:noProof/>
            <w:webHidden/>
          </w:rPr>
          <w:t>3</w:t>
        </w:r>
        <w:r w:rsidR="00F41FD4">
          <w:rPr>
            <w:noProof/>
            <w:webHidden/>
          </w:rPr>
          <w:fldChar w:fldCharType="end"/>
        </w:r>
      </w:hyperlink>
    </w:p>
    <w:p w:rsidR="00F41FD4" w:rsidRDefault="008773B9" w:rsidP="008773B9">
      <w:pPr>
        <w:pStyle w:val="TOC1"/>
        <w:rPr>
          <w:rFonts w:eastAsiaTheme="minorEastAsia"/>
          <w:noProof/>
          <w:sz w:val="22"/>
          <w:szCs w:val="22"/>
          <w:lang w:eastAsia="en-GB"/>
        </w:rPr>
      </w:pPr>
      <w:hyperlink w:anchor="_Toc47416514" w:history="1">
        <w:r w:rsidR="00F41FD4" w:rsidRPr="004443A4">
          <w:rPr>
            <w:rStyle w:val="Hyperlink"/>
            <w:noProof/>
          </w:rPr>
          <w:t>3</w:t>
        </w:r>
        <w:r w:rsidR="00F41FD4">
          <w:rPr>
            <w:rFonts w:eastAsiaTheme="minorEastAsia"/>
            <w:noProof/>
            <w:sz w:val="22"/>
            <w:szCs w:val="22"/>
            <w:lang w:eastAsia="en-GB"/>
          </w:rPr>
          <w:tab/>
        </w:r>
        <w:r w:rsidR="00F41FD4" w:rsidRPr="004443A4">
          <w:rPr>
            <w:rStyle w:val="Hyperlink"/>
            <w:noProof/>
          </w:rPr>
          <w:t>East Kent Hospitals WDES Results 2020</w:t>
        </w:r>
        <w:r w:rsidR="00F41FD4">
          <w:rPr>
            <w:noProof/>
            <w:webHidden/>
          </w:rPr>
          <w:tab/>
        </w:r>
        <w:r w:rsidR="00F41FD4">
          <w:rPr>
            <w:noProof/>
            <w:webHidden/>
          </w:rPr>
          <w:fldChar w:fldCharType="begin"/>
        </w:r>
        <w:r w:rsidR="00F41FD4">
          <w:rPr>
            <w:noProof/>
            <w:webHidden/>
          </w:rPr>
          <w:instrText xml:space="preserve"> PAGEREF _Toc47416514 \h </w:instrText>
        </w:r>
        <w:r w:rsidR="00F41FD4">
          <w:rPr>
            <w:noProof/>
            <w:webHidden/>
          </w:rPr>
        </w:r>
        <w:r w:rsidR="00F41FD4">
          <w:rPr>
            <w:noProof/>
            <w:webHidden/>
          </w:rPr>
          <w:fldChar w:fldCharType="separate"/>
        </w:r>
        <w:r w:rsidR="00F41FD4">
          <w:rPr>
            <w:noProof/>
            <w:webHidden/>
          </w:rPr>
          <w:t>5</w:t>
        </w:r>
        <w:r w:rsidR="00F41FD4">
          <w:rPr>
            <w:noProof/>
            <w:webHidden/>
          </w:rPr>
          <w:fldChar w:fldCharType="end"/>
        </w:r>
      </w:hyperlink>
    </w:p>
    <w:p w:rsidR="00F41FD4" w:rsidRDefault="008773B9" w:rsidP="008773B9">
      <w:pPr>
        <w:pStyle w:val="TOC1"/>
        <w:rPr>
          <w:rFonts w:eastAsiaTheme="minorEastAsia"/>
          <w:noProof/>
          <w:sz w:val="22"/>
          <w:szCs w:val="22"/>
          <w:lang w:eastAsia="en-GB"/>
        </w:rPr>
      </w:pPr>
      <w:hyperlink w:anchor="_Toc47416515" w:history="1">
        <w:r w:rsidR="00F41FD4" w:rsidRPr="004443A4">
          <w:rPr>
            <w:rStyle w:val="Hyperlink"/>
            <w:noProof/>
          </w:rPr>
          <w:t>4</w:t>
        </w:r>
        <w:r w:rsidR="00F41FD4">
          <w:rPr>
            <w:rFonts w:eastAsiaTheme="minorEastAsia"/>
            <w:noProof/>
            <w:sz w:val="22"/>
            <w:szCs w:val="22"/>
            <w:lang w:eastAsia="en-GB"/>
          </w:rPr>
          <w:tab/>
        </w:r>
        <w:r w:rsidR="00F41FD4" w:rsidRPr="004443A4">
          <w:rPr>
            <w:rStyle w:val="Hyperlink"/>
            <w:noProof/>
          </w:rPr>
          <w:t>Recommended Actions</w:t>
        </w:r>
        <w:r w:rsidR="00F41FD4">
          <w:rPr>
            <w:noProof/>
            <w:webHidden/>
          </w:rPr>
          <w:tab/>
        </w:r>
        <w:r w:rsidR="00F41FD4">
          <w:rPr>
            <w:noProof/>
            <w:webHidden/>
          </w:rPr>
          <w:fldChar w:fldCharType="begin"/>
        </w:r>
        <w:r w:rsidR="00F41FD4">
          <w:rPr>
            <w:noProof/>
            <w:webHidden/>
          </w:rPr>
          <w:instrText xml:space="preserve"> PAGEREF _Toc47416515 \h </w:instrText>
        </w:r>
        <w:r w:rsidR="00F41FD4">
          <w:rPr>
            <w:noProof/>
            <w:webHidden/>
          </w:rPr>
        </w:r>
        <w:r w:rsidR="00F41FD4">
          <w:rPr>
            <w:noProof/>
            <w:webHidden/>
          </w:rPr>
          <w:fldChar w:fldCharType="separate"/>
        </w:r>
        <w:r w:rsidR="00F41FD4">
          <w:rPr>
            <w:noProof/>
            <w:webHidden/>
          </w:rPr>
          <w:t>21</w:t>
        </w:r>
        <w:r w:rsidR="00F41FD4">
          <w:rPr>
            <w:noProof/>
            <w:webHidden/>
          </w:rPr>
          <w:fldChar w:fldCharType="end"/>
        </w:r>
      </w:hyperlink>
    </w:p>
    <w:p w:rsidR="00F41FD4" w:rsidRDefault="008773B9" w:rsidP="008773B9">
      <w:pPr>
        <w:pStyle w:val="TOC1"/>
        <w:rPr>
          <w:rFonts w:eastAsiaTheme="minorEastAsia"/>
          <w:noProof/>
          <w:sz w:val="22"/>
          <w:szCs w:val="22"/>
          <w:lang w:eastAsia="en-GB"/>
        </w:rPr>
      </w:pPr>
      <w:hyperlink w:anchor="_Toc47416516" w:history="1">
        <w:r w:rsidR="00F41FD4" w:rsidRPr="004443A4">
          <w:rPr>
            <w:rStyle w:val="Hyperlink"/>
            <w:noProof/>
          </w:rPr>
          <w:t>5</w:t>
        </w:r>
        <w:r w:rsidR="00F41FD4">
          <w:rPr>
            <w:rFonts w:eastAsiaTheme="minorEastAsia"/>
            <w:noProof/>
            <w:sz w:val="22"/>
            <w:szCs w:val="22"/>
            <w:lang w:eastAsia="en-GB"/>
          </w:rPr>
          <w:tab/>
        </w:r>
        <w:r w:rsidR="00F41FD4" w:rsidRPr="004443A4">
          <w:rPr>
            <w:rStyle w:val="Hyperlink"/>
            <w:noProof/>
          </w:rPr>
          <w:t>Next Steps</w:t>
        </w:r>
        <w:r w:rsidR="00F41FD4">
          <w:rPr>
            <w:noProof/>
            <w:webHidden/>
          </w:rPr>
          <w:tab/>
        </w:r>
        <w:r w:rsidR="00F41FD4">
          <w:rPr>
            <w:noProof/>
            <w:webHidden/>
          </w:rPr>
          <w:fldChar w:fldCharType="begin"/>
        </w:r>
        <w:r w:rsidR="00F41FD4">
          <w:rPr>
            <w:noProof/>
            <w:webHidden/>
          </w:rPr>
          <w:instrText xml:space="preserve"> PAGEREF _Toc47416516 \h </w:instrText>
        </w:r>
        <w:r w:rsidR="00F41FD4">
          <w:rPr>
            <w:noProof/>
            <w:webHidden/>
          </w:rPr>
        </w:r>
        <w:r w:rsidR="00F41FD4">
          <w:rPr>
            <w:noProof/>
            <w:webHidden/>
          </w:rPr>
          <w:fldChar w:fldCharType="separate"/>
        </w:r>
        <w:r w:rsidR="00F41FD4">
          <w:rPr>
            <w:noProof/>
            <w:webHidden/>
          </w:rPr>
          <w:t>22</w:t>
        </w:r>
        <w:r w:rsidR="00F41FD4">
          <w:rPr>
            <w:noProof/>
            <w:webHidden/>
          </w:rPr>
          <w:fldChar w:fldCharType="end"/>
        </w:r>
      </w:hyperlink>
    </w:p>
    <w:p w:rsidR="008773B9" w:rsidRDefault="00627785">
      <w:pPr>
        <w:spacing w:after="200" w:line="276" w:lineRule="auto"/>
        <w:rPr>
          <w:rFonts w:eastAsiaTheme="majorEastAsia"/>
          <w:b/>
          <w:bCs/>
        </w:rPr>
      </w:pPr>
      <w:r w:rsidRPr="00E42D5B">
        <w:rPr>
          <w:rFonts w:eastAsiaTheme="majorEastAsia"/>
          <w:b/>
          <w:bCs/>
        </w:rPr>
        <w:fldChar w:fldCharType="end"/>
      </w:r>
      <w:r w:rsidR="008773B9">
        <w:rPr>
          <w:rFonts w:eastAsiaTheme="majorEastAsia"/>
          <w:b/>
          <w:bCs/>
        </w:rPr>
        <w:br w:type="page"/>
      </w:r>
    </w:p>
    <w:p w:rsidR="00290FF6" w:rsidRDefault="00162EBB" w:rsidP="008773B9">
      <w:pPr>
        <w:pStyle w:val="Heading1"/>
      </w:pPr>
      <w:bookmarkStart w:id="1" w:name="_Toc14081434"/>
      <w:bookmarkStart w:id="2" w:name="_Toc47416512"/>
      <w:r w:rsidRPr="00162EBB">
        <w:lastRenderedPageBreak/>
        <w:t>Introduction</w:t>
      </w:r>
      <w:bookmarkEnd w:id="0"/>
      <w:bookmarkEnd w:id="1"/>
      <w:bookmarkEnd w:id="2"/>
    </w:p>
    <w:p w:rsidR="00162EBB" w:rsidRPr="008773B9" w:rsidRDefault="00162EBB" w:rsidP="008773B9">
      <w:pPr>
        <w:pStyle w:val="Heading2"/>
      </w:pPr>
      <w:bookmarkStart w:id="3" w:name="_Toc14081435"/>
      <w:r w:rsidRPr="008773B9">
        <w:t>The NHS Workforce Disability Equality Standard (WDES) is designed to improve workplace experience and career opportunities for Disabled people working, or seeking employment, in the National Health Service (NHS). The WDES follows the NHS Workforce Race Equality Standard (WRES) as a tool and an enabler of change.</w:t>
      </w:r>
      <w:bookmarkEnd w:id="3"/>
    </w:p>
    <w:p w:rsidR="00162EBB" w:rsidRPr="008773B9" w:rsidRDefault="00162EBB" w:rsidP="008773B9">
      <w:pPr>
        <w:pStyle w:val="Heading2"/>
      </w:pPr>
      <w:bookmarkStart w:id="4" w:name="_Toc14081436"/>
      <w:r w:rsidRPr="008773B9">
        <w:t>The WDES is a series of evidence-based Metrics that will provide NHS organisations with a snapshot of the experiences of their Disabled staff in key areas. By providing comparative data between Disabled and non-disabled staff, this information can be used to understand where key differences lie; and will provide the basis for the development of action plans, enabling organisations to track progress on a year by year basis. The WDES provides a mirror for the organisation to hold up to itself, to see whether or not it sees a reflection of the communities that it serves.</w:t>
      </w:r>
      <w:bookmarkEnd w:id="4"/>
    </w:p>
    <w:p w:rsidR="00162EBB" w:rsidRPr="008773B9" w:rsidRDefault="00162EBB" w:rsidP="008773B9">
      <w:pPr>
        <w:pStyle w:val="Heading2"/>
      </w:pPr>
      <w:bookmarkStart w:id="5" w:name="_Toc14081437"/>
      <w:r w:rsidRPr="008773B9">
        <w:t xml:space="preserve">Organisations </w:t>
      </w:r>
      <w:r w:rsidR="00666693" w:rsidRPr="008773B9">
        <w:t>are</w:t>
      </w:r>
      <w:r w:rsidRPr="008773B9">
        <w:t xml:space="preserve"> encouraged to introduce new measures and </w:t>
      </w:r>
      <w:r w:rsidR="00466392" w:rsidRPr="008773B9">
        <w:t>practices, which</w:t>
      </w:r>
      <w:r w:rsidRPr="008773B9">
        <w:t xml:space="preserve"> positively support disability equality in the workplace and further the involvement and engagement of Disabled communities more widely in the work and aims of the NHS.</w:t>
      </w:r>
      <w:bookmarkEnd w:id="5"/>
    </w:p>
    <w:p w:rsidR="00290FF6" w:rsidRPr="008773B9" w:rsidRDefault="00162EBB" w:rsidP="008773B9">
      <w:pPr>
        <w:pStyle w:val="Heading2"/>
      </w:pPr>
      <w:bookmarkStart w:id="6" w:name="_Toc14081438"/>
      <w:r w:rsidRPr="008773B9">
        <w:t>The WDES will help NHS organisations to review their performance against ten (10) Metrics and produce action plans to close the gaps in career and workplace experience between Disabled staff and non-disabled staff. The WDES will also encourage improvement in the representation of Disabled staff at NHS Trust Board level.</w:t>
      </w:r>
      <w:bookmarkEnd w:id="6"/>
    </w:p>
    <w:p w:rsidR="00162EBB" w:rsidRPr="008773B9" w:rsidRDefault="00162EBB" w:rsidP="008773B9">
      <w:pPr>
        <w:pStyle w:val="Heading2"/>
      </w:pPr>
      <w:bookmarkStart w:id="7" w:name="_Toc14081439"/>
      <w:r w:rsidRPr="008773B9">
        <w:t>Section 149 of the Equality Act sets out the Public Sector Equality Duty (PSED), offers protection in relation to employment, as well as access to goods and services. The PSED strengthens the duty on employers to eliminate discrimination and advance equality of opportunity for Disabled employees. Implementing the WDES will assist NHS organisations to ensure that they are complying with the provisions of the Equality Act 2010, and the aims of the PSED.</w:t>
      </w:r>
      <w:bookmarkEnd w:id="7"/>
    </w:p>
    <w:p w:rsidR="000F1B98" w:rsidRPr="008773B9" w:rsidRDefault="000F1B98" w:rsidP="008773B9">
      <w:pPr>
        <w:pStyle w:val="Heading1"/>
      </w:pPr>
      <w:bookmarkStart w:id="8" w:name="_Toc14081411"/>
      <w:bookmarkStart w:id="9" w:name="_Toc14081440"/>
      <w:bookmarkStart w:id="10" w:name="_Toc47416513"/>
      <w:r w:rsidRPr="008773B9">
        <w:t>WDES Metrics</w:t>
      </w:r>
      <w:bookmarkEnd w:id="8"/>
      <w:bookmarkEnd w:id="9"/>
      <w:bookmarkEnd w:id="10"/>
    </w:p>
    <w:p w:rsidR="000F1B98" w:rsidRPr="001B149E" w:rsidRDefault="000F1B98" w:rsidP="008773B9">
      <w:pPr>
        <w:pStyle w:val="Style1"/>
        <w:ind w:left="0"/>
      </w:pPr>
      <w:bookmarkStart w:id="11" w:name="_Toc14081441"/>
      <w:r w:rsidRPr="000410AC">
        <w:rPr>
          <w:rStyle w:val="Heading2Char"/>
          <w:b/>
        </w:rPr>
        <w:t>Workforce Metrics</w:t>
      </w:r>
      <w:r w:rsidR="001B149E" w:rsidRPr="000410AC">
        <w:rPr>
          <w:rStyle w:val="Heading2Char"/>
          <w:b/>
        </w:rPr>
        <w:br/>
      </w:r>
      <w:r w:rsidRPr="001B149E">
        <w:t>For the following three workforce Metrics, compare the data for both Disabled and non-disabled staff.</w:t>
      </w:r>
      <w:bookmarkEnd w:id="11"/>
    </w:p>
    <w:p w:rsidR="000F1B98" w:rsidRPr="007F71BE" w:rsidRDefault="000F1B98" w:rsidP="008773B9">
      <w:pPr>
        <w:pStyle w:val="Heading2"/>
      </w:pPr>
      <w:bookmarkStart w:id="12" w:name="_Toc14081442"/>
      <w:r w:rsidRPr="007F71BE">
        <w:t>Metric 1</w:t>
      </w:r>
      <w:r w:rsidRPr="007F71BE">
        <w:tab/>
      </w:r>
      <w:r w:rsidR="000410AC">
        <w:t xml:space="preserve"> </w:t>
      </w:r>
      <w:r w:rsidRPr="00F41FD4">
        <w:t xml:space="preserve">Percentage of staff in </w:t>
      </w:r>
      <w:proofErr w:type="spellStart"/>
      <w:r w:rsidRPr="00F41FD4">
        <w:t>AfC</w:t>
      </w:r>
      <w:proofErr w:type="spellEnd"/>
      <w:r w:rsidRPr="00F41FD4">
        <w:t xml:space="preserve"> </w:t>
      </w:r>
      <w:proofErr w:type="spellStart"/>
      <w:r w:rsidRPr="00F41FD4">
        <w:t>paybands</w:t>
      </w:r>
      <w:proofErr w:type="spellEnd"/>
      <w:r w:rsidRPr="00F41FD4">
        <w:t xml:space="preserve"> or medical and dental subgroups and very senior managers (including Executive Board members) compared with the percentage of staff in the overall workforce.</w:t>
      </w:r>
      <w:r w:rsidRPr="00F41FD4">
        <w:br/>
        <w:t>Organisations should undertake this calculation separately for non-clinical and for clinical staff.</w:t>
      </w:r>
      <w:bookmarkEnd w:id="12"/>
    </w:p>
    <w:p w:rsidR="007A082B" w:rsidRDefault="00666693" w:rsidP="00DF7C89">
      <w:pPr>
        <w:pStyle w:val="Style1"/>
        <w:numPr>
          <w:ilvl w:val="0"/>
          <w:numId w:val="11"/>
        </w:numPr>
      </w:pPr>
      <w:r w:rsidRPr="00666693">
        <w:t xml:space="preserve">Cluster 1: </w:t>
      </w:r>
      <w:proofErr w:type="spellStart"/>
      <w:r w:rsidRPr="00666693">
        <w:t>AfC</w:t>
      </w:r>
      <w:proofErr w:type="spellEnd"/>
      <w:r w:rsidRPr="00666693">
        <w:t xml:space="preserve"> Bands – Under 1, 1, 2, 3 and 4</w:t>
      </w:r>
    </w:p>
    <w:p w:rsidR="000F1B98" w:rsidRPr="007F71BE" w:rsidRDefault="000F1B98" w:rsidP="00DF7C89">
      <w:pPr>
        <w:pStyle w:val="Style1"/>
        <w:numPr>
          <w:ilvl w:val="0"/>
          <w:numId w:val="11"/>
        </w:numPr>
      </w:pPr>
      <w:r w:rsidRPr="007F71BE">
        <w:t xml:space="preserve">Cluster 2: </w:t>
      </w:r>
      <w:proofErr w:type="spellStart"/>
      <w:r w:rsidRPr="007F71BE">
        <w:t>AfC</w:t>
      </w:r>
      <w:proofErr w:type="spellEnd"/>
      <w:r w:rsidRPr="007F71BE">
        <w:t xml:space="preserve"> Band 5, 6 and 7 </w:t>
      </w:r>
    </w:p>
    <w:p w:rsidR="000F1B98" w:rsidRPr="007F71BE" w:rsidRDefault="000F1B98" w:rsidP="00DF7C89">
      <w:pPr>
        <w:pStyle w:val="Style1"/>
        <w:numPr>
          <w:ilvl w:val="0"/>
          <w:numId w:val="11"/>
        </w:numPr>
      </w:pPr>
      <w:r w:rsidRPr="007F71BE">
        <w:t xml:space="preserve">Cluster 3:  </w:t>
      </w:r>
      <w:proofErr w:type="spellStart"/>
      <w:r w:rsidRPr="007F71BE">
        <w:t>AfC</w:t>
      </w:r>
      <w:proofErr w:type="spellEnd"/>
      <w:r w:rsidRPr="007F71BE">
        <w:t xml:space="preserve"> Band 8a and 8b</w:t>
      </w:r>
    </w:p>
    <w:p w:rsidR="000F1B98" w:rsidRDefault="000F1B98" w:rsidP="0034323E">
      <w:pPr>
        <w:pStyle w:val="ListParagraph"/>
        <w:numPr>
          <w:ilvl w:val="0"/>
          <w:numId w:val="7"/>
        </w:numPr>
        <w:ind w:left="2127" w:hanging="709"/>
      </w:pPr>
      <w:r>
        <w:lastRenderedPageBreak/>
        <w:t xml:space="preserve">Cluster 4:  </w:t>
      </w:r>
      <w:proofErr w:type="spellStart"/>
      <w:r>
        <w:t>AfC</w:t>
      </w:r>
      <w:proofErr w:type="spellEnd"/>
      <w:r>
        <w:t xml:space="preserve"> Band 8c, 8d, 9 and VSM (including Executive Board members)</w:t>
      </w:r>
    </w:p>
    <w:p w:rsidR="000F1B98" w:rsidRDefault="000F1B98" w:rsidP="0034323E">
      <w:pPr>
        <w:pStyle w:val="ListParagraph"/>
        <w:numPr>
          <w:ilvl w:val="0"/>
          <w:numId w:val="7"/>
        </w:numPr>
        <w:ind w:left="2127" w:hanging="709"/>
      </w:pPr>
      <w:r>
        <w:t>Cluster 5:  Medical and Dental staff, Consultants</w:t>
      </w:r>
    </w:p>
    <w:p w:rsidR="000F1B98" w:rsidRDefault="000F1B98" w:rsidP="0034323E">
      <w:pPr>
        <w:pStyle w:val="ListParagraph"/>
        <w:numPr>
          <w:ilvl w:val="0"/>
          <w:numId w:val="7"/>
        </w:numPr>
        <w:ind w:left="2127" w:hanging="709"/>
      </w:pPr>
      <w:r>
        <w:t xml:space="preserve">Cluster 6: Medical and Dental staff, Non-consultant career grade </w:t>
      </w:r>
    </w:p>
    <w:p w:rsidR="000F1B98" w:rsidRDefault="000F1B98" w:rsidP="0034323E">
      <w:pPr>
        <w:pStyle w:val="ListParagraph"/>
        <w:numPr>
          <w:ilvl w:val="0"/>
          <w:numId w:val="7"/>
        </w:numPr>
        <w:ind w:left="2127" w:hanging="709"/>
      </w:pPr>
      <w:r>
        <w:t>Cluster 7:  Medical and Dental staff, Medical and dental trainee grades</w:t>
      </w:r>
    </w:p>
    <w:p w:rsidR="000F1B98" w:rsidRDefault="000F1B98" w:rsidP="000F1B98"/>
    <w:p w:rsidR="000F1B98" w:rsidRDefault="000F1B98" w:rsidP="001B149E">
      <w:pPr>
        <w:ind w:left="851"/>
      </w:pPr>
      <w:r>
        <w:t>Note: Definitions for these categories are based on Electronic Staff Record occupation codes with the exception of medical and dental staff, which are based upon grade codes.</w:t>
      </w:r>
    </w:p>
    <w:p w:rsidR="00500280" w:rsidRDefault="000F1B98" w:rsidP="008773B9">
      <w:pPr>
        <w:pStyle w:val="Heading2"/>
      </w:pPr>
      <w:bookmarkStart w:id="13" w:name="_Toc14081443"/>
      <w:r w:rsidRPr="001B149E">
        <w:t>Metric 2</w:t>
      </w:r>
      <w:r w:rsidR="000410AC">
        <w:t xml:space="preserve"> </w:t>
      </w:r>
      <w:r w:rsidRPr="00F41FD4">
        <w:t>Relative likelihood of Disabled staff compared to non-disabled staff being appointed from shortlisting across all posts.</w:t>
      </w:r>
    </w:p>
    <w:p w:rsidR="00500280" w:rsidRDefault="000F1B98" w:rsidP="00500280">
      <w:pPr>
        <w:ind w:left="851"/>
      </w:pPr>
      <w:r>
        <w:t>Note</w:t>
      </w:r>
    </w:p>
    <w:p w:rsidR="00500280" w:rsidRDefault="000F1B98" w:rsidP="00500280">
      <w:pPr>
        <w:pStyle w:val="ListParagraph"/>
        <w:numPr>
          <w:ilvl w:val="0"/>
          <w:numId w:val="12"/>
        </w:numPr>
      </w:pPr>
      <w:r>
        <w:t>This refers to both external and internal posts.</w:t>
      </w:r>
    </w:p>
    <w:p w:rsidR="000F1B98" w:rsidRDefault="000F1B98" w:rsidP="00500280">
      <w:pPr>
        <w:pStyle w:val="ListParagraph"/>
        <w:numPr>
          <w:ilvl w:val="0"/>
          <w:numId w:val="12"/>
        </w:numPr>
      </w:pPr>
      <w:r>
        <w:t xml:space="preserve">If your </w:t>
      </w:r>
      <w:r w:rsidR="007A082B">
        <w:t>trust</w:t>
      </w:r>
      <w:r>
        <w:t xml:space="preserve"> implements a guaranteed interview scheme, the data may not be comparable with organisations that do not operate such a scheme. This information will be collected on the WDES online reporting form to ensure comparability between organisations.</w:t>
      </w:r>
      <w:bookmarkEnd w:id="13"/>
    </w:p>
    <w:p w:rsidR="000F1B98" w:rsidRDefault="000F1B98" w:rsidP="008773B9">
      <w:pPr>
        <w:pStyle w:val="Heading2"/>
      </w:pPr>
      <w:bookmarkStart w:id="14" w:name="_Toc14081444"/>
      <w:r>
        <w:t>Metric 3</w:t>
      </w:r>
      <w:r>
        <w:tab/>
      </w:r>
      <w:r w:rsidR="000410AC">
        <w:t xml:space="preserve"> </w:t>
      </w:r>
      <w:r w:rsidRPr="00F41FD4">
        <w:t>Relative likelihood of Disabled staff compared to non-disabled staff entering the formal capability process, as measured by entry into the formal capability procedure.</w:t>
      </w:r>
      <w:bookmarkEnd w:id="14"/>
    </w:p>
    <w:p w:rsidR="000F1B98" w:rsidRDefault="000F1B98" w:rsidP="000F1B98"/>
    <w:p w:rsidR="0029311B" w:rsidRDefault="0029311B" w:rsidP="00500280">
      <w:pPr>
        <w:ind w:left="851"/>
      </w:pPr>
      <w:r>
        <w:t>Note:</w:t>
      </w:r>
    </w:p>
    <w:p w:rsidR="0029311B" w:rsidRDefault="0029311B" w:rsidP="00500280">
      <w:pPr>
        <w:pStyle w:val="ListParagraph"/>
        <w:numPr>
          <w:ilvl w:val="0"/>
          <w:numId w:val="13"/>
        </w:numPr>
      </w:pPr>
      <w:r>
        <w:t xml:space="preserve">This metric will be based on data from a two-year rolling average of </w:t>
      </w:r>
      <w:r w:rsidR="00500280">
        <w:t>the current</w:t>
      </w:r>
      <w:r>
        <w:t xml:space="preserve"> year and the previous year</w:t>
      </w:r>
    </w:p>
    <w:p w:rsidR="009E6FA7" w:rsidRDefault="0029311B" w:rsidP="00500280">
      <w:pPr>
        <w:pStyle w:val="ListParagraph"/>
        <w:numPr>
          <w:ilvl w:val="0"/>
          <w:numId w:val="13"/>
        </w:numPr>
      </w:pPr>
      <w:r>
        <w:t>This metric is mandatory from 2020. This metric applies to capability on</w:t>
      </w:r>
      <w:r w:rsidR="00500280">
        <w:t xml:space="preserve"> </w:t>
      </w:r>
      <w:r>
        <w:t>the grounds of performance and not ill health.</w:t>
      </w:r>
    </w:p>
    <w:p w:rsidR="0029311B" w:rsidRDefault="0029311B" w:rsidP="00500280"/>
    <w:p w:rsidR="000F1B98" w:rsidRPr="0029311B" w:rsidRDefault="000F1B98" w:rsidP="000410AC">
      <w:pPr>
        <w:pStyle w:val="Heading2"/>
        <w:numPr>
          <w:ilvl w:val="0"/>
          <w:numId w:val="0"/>
        </w:numPr>
        <w:rPr>
          <w:rStyle w:val="Strong"/>
        </w:rPr>
      </w:pPr>
      <w:r w:rsidRPr="0029311B">
        <w:rPr>
          <w:rStyle w:val="Strong"/>
        </w:rPr>
        <w:t>National NHS Staff Survey Metrics</w:t>
      </w:r>
    </w:p>
    <w:p w:rsidR="000F1B98" w:rsidRDefault="000F1B98" w:rsidP="000410AC">
      <w:r>
        <w:t>For each of the following four Staff Survey Metrics, compare the responses for both Disabled and non- disabled staff.</w:t>
      </w:r>
    </w:p>
    <w:p w:rsidR="0034323E" w:rsidRDefault="000F1B98" w:rsidP="008773B9">
      <w:pPr>
        <w:pStyle w:val="Heading2"/>
      </w:pPr>
      <w:bookmarkStart w:id="15" w:name="_Toc14081445"/>
      <w:r>
        <w:t>Metric 4 Staff Survey Q13</w:t>
      </w:r>
    </w:p>
    <w:p w:rsidR="000F1B98" w:rsidRDefault="000F1B98" w:rsidP="0034323E">
      <w:pPr>
        <w:ind w:left="1418" w:hanging="567"/>
      </w:pPr>
      <w:r>
        <w:t>a)</w:t>
      </w:r>
      <w:r>
        <w:tab/>
        <w:t>Percentage of Disabled staff compared to non-disabled staff experiencing harassment, bullying or abuse from:</w:t>
      </w:r>
      <w:bookmarkEnd w:id="15"/>
    </w:p>
    <w:p w:rsidR="000F1B98" w:rsidRPr="0034323E" w:rsidRDefault="0034323E" w:rsidP="0034323E">
      <w:pPr>
        <w:ind w:left="1985" w:hanging="567"/>
      </w:pPr>
      <w:proofErr w:type="spellStart"/>
      <w:r w:rsidRPr="0034323E">
        <w:t>i</w:t>
      </w:r>
      <w:proofErr w:type="spellEnd"/>
      <w:r w:rsidRPr="0034323E">
        <w:t>)</w:t>
      </w:r>
      <w:r w:rsidR="000F1B98" w:rsidRPr="0034323E">
        <w:t>.</w:t>
      </w:r>
      <w:r w:rsidR="000F1B98" w:rsidRPr="0034323E">
        <w:tab/>
        <w:t>Patients/service users, their relatives or other members of the public</w:t>
      </w:r>
    </w:p>
    <w:p w:rsidR="000F1B98" w:rsidRPr="0034323E" w:rsidRDefault="000F1B98" w:rsidP="0034323E">
      <w:pPr>
        <w:ind w:left="1985" w:hanging="567"/>
      </w:pPr>
      <w:r w:rsidRPr="0034323E">
        <w:t>ii</w:t>
      </w:r>
      <w:r w:rsidR="0034323E" w:rsidRPr="0034323E">
        <w:t>)</w:t>
      </w:r>
      <w:r w:rsidRPr="0034323E">
        <w:t>.</w:t>
      </w:r>
      <w:r w:rsidRPr="0034323E">
        <w:tab/>
        <w:t>Managers</w:t>
      </w:r>
    </w:p>
    <w:p w:rsidR="000F1B98" w:rsidRPr="0034323E" w:rsidRDefault="000F1B98" w:rsidP="0034323E">
      <w:pPr>
        <w:ind w:left="1985" w:hanging="567"/>
      </w:pPr>
      <w:r w:rsidRPr="0034323E">
        <w:t>iii</w:t>
      </w:r>
      <w:r w:rsidR="0034323E" w:rsidRPr="0034323E">
        <w:t>)</w:t>
      </w:r>
      <w:r w:rsidRPr="0034323E">
        <w:t>.</w:t>
      </w:r>
      <w:r w:rsidRPr="0034323E">
        <w:tab/>
        <w:t>Other colleagues</w:t>
      </w:r>
    </w:p>
    <w:p w:rsidR="000F1B98" w:rsidRDefault="000F1B98" w:rsidP="0034323E">
      <w:pPr>
        <w:ind w:left="1418" w:hanging="567"/>
      </w:pPr>
      <w:r>
        <w:t>b)</w:t>
      </w:r>
      <w:r>
        <w:tab/>
        <w:t>Percentage of Disabled staff compared to non-disabled staff saying that the last time they experienced harassment, bullying or abuse at work, they or a colleague reported it.</w:t>
      </w:r>
    </w:p>
    <w:p w:rsidR="000F1B98" w:rsidRPr="00F41FD4" w:rsidRDefault="000F1B98" w:rsidP="008773B9">
      <w:pPr>
        <w:pStyle w:val="Heading2"/>
        <w:rPr>
          <w:b/>
        </w:rPr>
      </w:pPr>
      <w:bookmarkStart w:id="16" w:name="_Toc14081446"/>
      <w:r>
        <w:lastRenderedPageBreak/>
        <w:t>Metric 5 Staff Survey Q14</w:t>
      </w:r>
      <w:r>
        <w:tab/>
      </w:r>
      <w:r w:rsidRPr="00F41FD4">
        <w:t>Percentage of Disabled staff compared to non-disabled staff believing that the Trust provides equal opportunities for career progression or promotion.</w:t>
      </w:r>
      <w:bookmarkEnd w:id="16"/>
    </w:p>
    <w:p w:rsidR="000F1B98" w:rsidRPr="00F41FD4" w:rsidRDefault="000F1B98" w:rsidP="008773B9">
      <w:pPr>
        <w:pStyle w:val="Heading2"/>
        <w:rPr>
          <w:b/>
        </w:rPr>
      </w:pPr>
      <w:bookmarkStart w:id="17" w:name="_Toc14081447"/>
      <w:r>
        <w:t>Metric 6 Staff Survey Q11</w:t>
      </w:r>
      <w:r>
        <w:tab/>
      </w:r>
      <w:r w:rsidRPr="00F41FD4">
        <w:t>Percentage of Disabled staff compared to non-disabled staff saying that they have felt pressure from their manager to come to work, despite not feeling well enough to perform their duties.</w:t>
      </w:r>
      <w:bookmarkEnd w:id="17"/>
    </w:p>
    <w:p w:rsidR="000F1B98" w:rsidRDefault="000F1B98" w:rsidP="008773B9">
      <w:pPr>
        <w:pStyle w:val="Heading2"/>
      </w:pPr>
      <w:bookmarkStart w:id="18" w:name="_Toc14081448"/>
      <w:r>
        <w:t>Metric 7 Staff Survey Q5</w:t>
      </w:r>
      <w:r>
        <w:tab/>
      </w:r>
      <w:r w:rsidRPr="00F41FD4">
        <w:t>Percentage of Disabled staff compared to non-disabled staff saying that they are satisfied with the extent to which their organisation values their work.</w:t>
      </w:r>
      <w:bookmarkEnd w:id="18"/>
    </w:p>
    <w:p w:rsidR="007F71BE" w:rsidRPr="007F71BE" w:rsidRDefault="007F71BE" w:rsidP="007F71BE"/>
    <w:p w:rsidR="000F1B98" w:rsidRDefault="000F1B98" w:rsidP="00DF7C89">
      <w:pPr>
        <w:pStyle w:val="Style1"/>
      </w:pPr>
      <w:r>
        <w:t>The following NHS Staff Survey Metric only includes the responses of Disabled staff</w:t>
      </w:r>
    </w:p>
    <w:p w:rsidR="000F1B98" w:rsidRPr="00F41FD4" w:rsidRDefault="000F1B98" w:rsidP="008773B9">
      <w:pPr>
        <w:pStyle w:val="Heading2"/>
        <w:rPr>
          <w:b/>
        </w:rPr>
      </w:pPr>
      <w:bookmarkStart w:id="19" w:name="_Toc14081449"/>
      <w:r w:rsidRPr="002B2DFC">
        <w:t>Metric 8 Staff Survey Q28b</w:t>
      </w:r>
      <w:r w:rsidRPr="002B2DFC">
        <w:tab/>
      </w:r>
      <w:r w:rsidRPr="00F41FD4">
        <w:t>Percentage of Disabled staff saying that their employer has made adequate adjustment(s) to enable them to carry out their work.</w:t>
      </w:r>
      <w:bookmarkEnd w:id="19"/>
    </w:p>
    <w:p w:rsidR="007F71BE" w:rsidRPr="007F71BE" w:rsidRDefault="007F71BE" w:rsidP="007F71BE"/>
    <w:p w:rsidR="000F1B98" w:rsidRDefault="000F1B98" w:rsidP="00DF7C89">
      <w:pPr>
        <w:pStyle w:val="Style1"/>
      </w:pPr>
      <w:r>
        <w:t>NHS Staff Survey and the engagement of Disabled staff</w:t>
      </w:r>
    </w:p>
    <w:p w:rsidR="000F1B98" w:rsidRDefault="000F1B98" w:rsidP="00DF7C89">
      <w:pPr>
        <w:pStyle w:val="Style1"/>
      </w:pPr>
      <w:r>
        <w:t>For part a) of the following Metric, compare the staff engagement scores for Disabled, non-disabled staff and the overall Trust’s score</w:t>
      </w:r>
    </w:p>
    <w:p w:rsidR="000F1B98" w:rsidRDefault="000F1B98" w:rsidP="00DF7C89">
      <w:pPr>
        <w:pStyle w:val="Style1"/>
      </w:pPr>
      <w:r>
        <w:t>For part b) add evidence to the Trust’s WDES Annual Report</w:t>
      </w:r>
    </w:p>
    <w:p w:rsidR="000F1B98" w:rsidRPr="00F41FD4" w:rsidRDefault="000F1B98" w:rsidP="008773B9">
      <w:pPr>
        <w:pStyle w:val="Heading2"/>
        <w:rPr>
          <w:b/>
        </w:rPr>
      </w:pPr>
      <w:bookmarkStart w:id="20" w:name="_Toc14081450"/>
      <w:r w:rsidRPr="002B2DFC">
        <w:t>Metric 9</w:t>
      </w:r>
      <w:r w:rsidRPr="002B2DFC">
        <w:tab/>
      </w:r>
      <w:r w:rsidR="001B149E" w:rsidRPr="002B2DFC">
        <w:br/>
      </w:r>
      <w:r w:rsidRPr="00F41FD4">
        <w:t>a)</w:t>
      </w:r>
      <w:r w:rsidRPr="00F41FD4">
        <w:tab/>
        <w:t>The staff engagement score for Disabled staff, compared to non-disabled staff and the overall engagement score for the organisation.</w:t>
      </w:r>
      <w:r w:rsidR="001B149E" w:rsidRPr="00F41FD4">
        <w:br/>
      </w:r>
      <w:r w:rsidRPr="00F41FD4">
        <w:t>b)</w:t>
      </w:r>
      <w:r w:rsidRPr="00F41FD4">
        <w:tab/>
        <w:t xml:space="preserve">Has your Trust </w:t>
      </w:r>
      <w:proofErr w:type="gramStart"/>
      <w:r w:rsidRPr="00F41FD4">
        <w:t>taken action</w:t>
      </w:r>
      <w:proofErr w:type="gramEnd"/>
      <w:r w:rsidRPr="00F41FD4">
        <w:t xml:space="preserve"> to facilitate the voices of Disabled staff in your organisation to be heard?   (Yes) or (No)</w:t>
      </w:r>
      <w:bookmarkEnd w:id="20"/>
    </w:p>
    <w:p w:rsidR="000F1B98" w:rsidRDefault="000F1B98" w:rsidP="001B149E">
      <w:pPr>
        <w:ind w:left="720"/>
      </w:pPr>
    </w:p>
    <w:p w:rsidR="000F1B98" w:rsidRDefault="000F1B98" w:rsidP="00DF7C89">
      <w:pPr>
        <w:pStyle w:val="Style1"/>
      </w:pPr>
      <w:r>
        <w:t>Note: For your Trust’s response to b)</w:t>
      </w:r>
    </w:p>
    <w:p w:rsidR="001B149E" w:rsidRDefault="000F1B98" w:rsidP="00DF7C89">
      <w:pPr>
        <w:pStyle w:val="Style1"/>
      </w:pPr>
      <w:r>
        <w:t>If yes, please provide at least one practical example of current action being taken in the relevant section of your WDES annual report. If no, please include what action is planned to address this gap in your WDES annual report. Examples are listed in the WDES technical guidance.</w:t>
      </w:r>
    </w:p>
    <w:p w:rsidR="00544E8A" w:rsidRDefault="00544E8A" w:rsidP="00DF7C89">
      <w:pPr>
        <w:pStyle w:val="Style1"/>
      </w:pPr>
    </w:p>
    <w:p w:rsidR="000F1B98" w:rsidRPr="001B149E" w:rsidRDefault="000F1B98" w:rsidP="00DF7C89">
      <w:pPr>
        <w:pStyle w:val="Style1"/>
      </w:pPr>
      <w:r w:rsidRPr="001B149E">
        <w:t>Board representation Metric</w:t>
      </w:r>
    </w:p>
    <w:p w:rsidR="000F1B98" w:rsidRDefault="000F1B98" w:rsidP="00DF7C89">
      <w:pPr>
        <w:pStyle w:val="Style1"/>
      </w:pPr>
      <w:r>
        <w:t>For this Metric, compare the difference for Disabled and non-disabled staff.</w:t>
      </w:r>
    </w:p>
    <w:p w:rsidR="000F1B98" w:rsidRPr="00F41FD4" w:rsidRDefault="000F1B98" w:rsidP="008773B9">
      <w:pPr>
        <w:pStyle w:val="Heading2"/>
        <w:rPr>
          <w:b/>
        </w:rPr>
      </w:pPr>
      <w:bookmarkStart w:id="21" w:name="_Toc14081451"/>
      <w:r>
        <w:t>Metric 10</w:t>
      </w:r>
      <w:r>
        <w:tab/>
      </w:r>
      <w:r w:rsidRPr="00F41FD4">
        <w:t>Percentage difference between the organisation’s Board voting membership and its organisation’s overall workforce, disaggregated:</w:t>
      </w:r>
      <w:bookmarkEnd w:id="21"/>
    </w:p>
    <w:p w:rsidR="000F1B98" w:rsidRDefault="000F1B98" w:rsidP="00DF7C89">
      <w:pPr>
        <w:pStyle w:val="Style1"/>
      </w:pPr>
      <w:r>
        <w:t>•</w:t>
      </w:r>
      <w:r>
        <w:tab/>
        <w:t>By voting membership of the Board.</w:t>
      </w:r>
    </w:p>
    <w:p w:rsidR="000F1B98" w:rsidRDefault="000F1B98" w:rsidP="00DF7C89">
      <w:pPr>
        <w:pStyle w:val="Style1"/>
      </w:pPr>
      <w:r>
        <w:t>•</w:t>
      </w:r>
      <w:r>
        <w:tab/>
        <w:t>By Executive membership of the Board.</w:t>
      </w:r>
    </w:p>
    <w:p w:rsidR="0044219F" w:rsidRDefault="008D3AD5" w:rsidP="008773B9">
      <w:pPr>
        <w:pStyle w:val="Heading1"/>
      </w:pPr>
      <w:bookmarkStart w:id="22" w:name="_Toc14081412"/>
      <w:bookmarkStart w:id="23" w:name="_Toc14081452"/>
      <w:bookmarkStart w:id="24" w:name="_Toc47416514"/>
      <w:r>
        <w:t xml:space="preserve">East Kent Hospitals </w:t>
      </w:r>
      <w:r w:rsidR="0044219F">
        <w:t xml:space="preserve">WDES </w:t>
      </w:r>
      <w:r w:rsidR="0044219F" w:rsidRPr="00DF7C89">
        <w:t>Results</w:t>
      </w:r>
      <w:r w:rsidR="0044219F">
        <w:t xml:space="preserve"> </w:t>
      </w:r>
      <w:r w:rsidR="0044219F" w:rsidRPr="00DF7C89">
        <w:t>20</w:t>
      </w:r>
      <w:bookmarkEnd w:id="22"/>
      <w:bookmarkEnd w:id="23"/>
      <w:r w:rsidR="0034323E" w:rsidRPr="00DF7C89">
        <w:t>20</w:t>
      </w:r>
      <w:bookmarkEnd w:id="24"/>
    </w:p>
    <w:p w:rsidR="0044219F" w:rsidRDefault="0044219F" w:rsidP="000410AC">
      <w:pPr>
        <w:pStyle w:val="Style1"/>
        <w:ind w:left="0"/>
      </w:pPr>
      <w:r>
        <w:t xml:space="preserve">The </w:t>
      </w:r>
      <w:r w:rsidRPr="00DF7C89">
        <w:t>data</w:t>
      </w:r>
      <w:r>
        <w:t xml:space="preserve"> represented below is a snapshot taken on 31 March 20</w:t>
      </w:r>
      <w:r w:rsidR="0034323E">
        <w:t>20</w:t>
      </w:r>
      <w:r>
        <w:t xml:space="preserve"> or in the year ending 31 </w:t>
      </w:r>
      <w:r w:rsidRPr="00DF7C89">
        <w:t>March</w:t>
      </w:r>
      <w:r>
        <w:t xml:space="preserve"> 20</w:t>
      </w:r>
      <w:r w:rsidR="0034323E">
        <w:t>20</w:t>
      </w:r>
      <w:r>
        <w:t>.</w:t>
      </w:r>
    </w:p>
    <w:p w:rsidR="0044219F" w:rsidRPr="00F41FD4" w:rsidRDefault="0044219F" w:rsidP="008773B9">
      <w:pPr>
        <w:pStyle w:val="Heading2"/>
        <w:rPr>
          <w:b/>
        </w:rPr>
      </w:pPr>
      <w:bookmarkStart w:id="25" w:name="_Toc14081453"/>
      <w:r w:rsidRPr="00D90458">
        <w:lastRenderedPageBreak/>
        <w:t>Metric 1</w:t>
      </w:r>
      <w:r>
        <w:tab/>
      </w:r>
      <w:r w:rsidR="008D3AD5" w:rsidRPr="00F41FD4">
        <w:t xml:space="preserve">Percentage of staff in </w:t>
      </w:r>
      <w:proofErr w:type="spellStart"/>
      <w:r w:rsidR="008D3AD5" w:rsidRPr="00F41FD4">
        <w:t>AfC</w:t>
      </w:r>
      <w:proofErr w:type="spellEnd"/>
      <w:r w:rsidR="008D3AD5" w:rsidRPr="00F41FD4">
        <w:t xml:space="preserve"> (Agenda for Change) pay </w:t>
      </w:r>
      <w:proofErr w:type="spellStart"/>
      <w:r w:rsidR="008D3AD5" w:rsidRPr="00F41FD4">
        <w:t>bands</w:t>
      </w:r>
      <w:r w:rsidRPr="00F41FD4">
        <w:t>or</w:t>
      </w:r>
      <w:proofErr w:type="spellEnd"/>
      <w:r w:rsidRPr="00F41FD4">
        <w:t xml:space="preserve"> medical and dental subgroups and very senior managers (including Executive Board members) compared with the percentage of staff in the overall workforce.</w:t>
      </w:r>
      <w:bookmarkEnd w:id="25"/>
    </w:p>
    <w:p w:rsidR="0044219F" w:rsidRDefault="0044219F" w:rsidP="00DF7C89">
      <w:pPr>
        <w:pStyle w:val="Style1"/>
      </w:pPr>
      <w:r>
        <w:t>Organisations should undertake this calculation separately for non-clinical and for clinical staff.</w:t>
      </w:r>
    </w:p>
    <w:p w:rsidR="0044219F" w:rsidRDefault="0044219F" w:rsidP="00DF7C89">
      <w:pPr>
        <w:pStyle w:val="Style1"/>
      </w:pPr>
      <w:r>
        <w:t>•</w:t>
      </w:r>
      <w:r>
        <w:tab/>
        <w:t>Cluster 1:  AfC Band 1, 2, 3 and 4</w:t>
      </w:r>
    </w:p>
    <w:p w:rsidR="0044219F" w:rsidRDefault="0044219F" w:rsidP="00DF7C89">
      <w:pPr>
        <w:pStyle w:val="Style1"/>
      </w:pPr>
      <w:r>
        <w:t>•</w:t>
      </w:r>
      <w:r>
        <w:tab/>
        <w:t xml:space="preserve">Cluster 2: AfC Band 5, 6 and 7 </w:t>
      </w:r>
    </w:p>
    <w:p w:rsidR="0044219F" w:rsidRDefault="0044219F" w:rsidP="00DF7C89">
      <w:pPr>
        <w:pStyle w:val="Style1"/>
      </w:pPr>
      <w:r>
        <w:t>•</w:t>
      </w:r>
      <w:r>
        <w:tab/>
        <w:t>Cluster 3:  AfC Band 8a and 8b</w:t>
      </w:r>
    </w:p>
    <w:p w:rsidR="0044219F" w:rsidRDefault="0044219F" w:rsidP="00DF7C89">
      <w:pPr>
        <w:pStyle w:val="Style1"/>
      </w:pPr>
      <w:r>
        <w:t>•</w:t>
      </w:r>
      <w:r>
        <w:tab/>
        <w:t>Cluster 4:  AfC Band 8c, 8d, 9 and VSM (including Executive Board members)</w:t>
      </w:r>
    </w:p>
    <w:p w:rsidR="0044219F" w:rsidRDefault="0044219F" w:rsidP="00DF7C89">
      <w:pPr>
        <w:pStyle w:val="Style1"/>
      </w:pPr>
      <w:r>
        <w:t>•</w:t>
      </w:r>
      <w:r>
        <w:tab/>
        <w:t>Cluster 5:  Medical and Dental staff, Consultants</w:t>
      </w:r>
    </w:p>
    <w:p w:rsidR="0044219F" w:rsidRDefault="0044219F" w:rsidP="00DF7C89">
      <w:pPr>
        <w:pStyle w:val="Style1"/>
      </w:pPr>
      <w:r>
        <w:t>•</w:t>
      </w:r>
      <w:r>
        <w:tab/>
        <w:t xml:space="preserve">Cluster 6: Medical and Dental staff, Non-consultant career grade </w:t>
      </w:r>
    </w:p>
    <w:p w:rsidR="0044219F" w:rsidRDefault="0044219F" w:rsidP="00DF7C89">
      <w:pPr>
        <w:pStyle w:val="Style1"/>
      </w:pPr>
      <w:r>
        <w:t>•</w:t>
      </w:r>
      <w:r>
        <w:tab/>
        <w:t>Cluster 7:  Medical and Dental staff, Medical and dental trainee grades</w:t>
      </w:r>
    </w:p>
    <w:p w:rsidR="00440A1B" w:rsidRDefault="00440A1B" w:rsidP="00DF7C89">
      <w:pPr>
        <w:pStyle w:val="Style1"/>
      </w:pPr>
    </w:p>
    <w:p w:rsidR="00026257" w:rsidRDefault="00026257" w:rsidP="000410AC">
      <w:pPr>
        <w:pStyle w:val="Heading3"/>
        <w:keepNext/>
        <w:keepLines/>
      </w:pPr>
      <w:bookmarkStart w:id="26" w:name="_Hlk46929440"/>
      <w:r>
        <w:t>Percentage of staff in AfC paybands</w:t>
      </w:r>
      <w:r w:rsidR="00FF5AEB">
        <w:t xml:space="preserve"> (All Staff)</w:t>
      </w:r>
    </w:p>
    <w:bookmarkEnd w:id="26"/>
    <w:p w:rsidR="00026257" w:rsidRDefault="00026257" w:rsidP="000410AC">
      <w:pPr>
        <w:pStyle w:val="Style1"/>
        <w:keepNext/>
        <w:keepLines/>
      </w:pPr>
    </w:p>
    <w:tbl>
      <w:tblPr>
        <w:tblStyle w:val="TableGrid"/>
        <w:tblW w:w="8120" w:type="dxa"/>
        <w:tblLook w:val="06A0" w:firstRow="1" w:lastRow="0" w:firstColumn="1" w:lastColumn="0" w:noHBand="1" w:noVBand="1"/>
      </w:tblPr>
      <w:tblGrid>
        <w:gridCol w:w="1883"/>
        <w:gridCol w:w="1217"/>
        <w:gridCol w:w="1803"/>
        <w:gridCol w:w="3300"/>
      </w:tblGrid>
      <w:tr w:rsidR="00FF5AEB" w:rsidRPr="00FF5AEB" w:rsidTr="000410AC">
        <w:trPr>
          <w:trHeight w:val="300"/>
        </w:trPr>
        <w:tc>
          <w:tcPr>
            <w:tcW w:w="1883" w:type="dxa"/>
            <w:noWrap/>
            <w:hideMark/>
          </w:tcPr>
          <w:p w:rsidR="00FF5AEB" w:rsidRPr="000410AC" w:rsidRDefault="00FF5AEB" w:rsidP="000410AC">
            <w:pPr>
              <w:keepNext/>
              <w:keepLines/>
              <w:rPr>
                <w:b/>
                <w:lang w:eastAsia="en-GB"/>
              </w:rPr>
            </w:pPr>
            <w:r w:rsidRPr="000410AC">
              <w:rPr>
                <w:b/>
                <w:lang w:eastAsia="en-GB"/>
              </w:rPr>
              <w:t> </w:t>
            </w:r>
          </w:p>
        </w:tc>
        <w:tc>
          <w:tcPr>
            <w:tcW w:w="1134" w:type="dxa"/>
            <w:noWrap/>
            <w:hideMark/>
          </w:tcPr>
          <w:p w:rsidR="00FF5AEB" w:rsidRPr="000410AC" w:rsidRDefault="00FF5AEB" w:rsidP="000410AC">
            <w:pPr>
              <w:keepNext/>
              <w:keepLines/>
              <w:rPr>
                <w:b/>
                <w:lang w:eastAsia="en-GB"/>
              </w:rPr>
            </w:pPr>
            <w:r w:rsidRPr="000410AC">
              <w:rPr>
                <w:b/>
                <w:lang w:eastAsia="en-GB"/>
              </w:rPr>
              <w:t>D</w:t>
            </w:r>
            <w:r w:rsidR="000410AC" w:rsidRPr="000410AC">
              <w:rPr>
                <w:b/>
                <w:lang w:eastAsia="en-GB"/>
              </w:rPr>
              <w:t>isabled</w:t>
            </w:r>
          </w:p>
        </w:tc>
        <w:tc>
          <w:tcPr>
            <w:tcW w:w="1803" w:type="dxa"/>
            <w:noWrap/>
            <w:hideMark/>
          </w:tcPr>
          <w:p w:rsidR="00FF5AEB" w:rsidRPr="000410AC" w:rsidRDefault="000410AC" w:rsidP="000410AC">
            <w:pPr>
              <w:keepNext/>
              <w:keepLines/>
              <w:rPr>
                <w:b/>
                <w:lang w:eastAsia="en-GB"/>
              </w:rPr>
            </w:pPr>
            <w:r w:rsidRPr="000410AC">
              <w:rPr>
                <w:b/>
                <w:lang w:eastAsia="en-GB"/>
              </w:rPr>
              <w:t>Non-disabled</w:t>
            </w:r>
          </w:p>
        </w:tc>
        <w:tc>
          <w:tcPr>
            <w:tcW w:w="3300" w:type="dxa"/>
            <w:noWrap/>
            <w:hideMark/>
          </w:tcPr>
          <w:p w:rsidR="00FF5AEB" w:rsidRPr="000410AC" w:rsidRDefault="000410AC" w:rsidP="000410AC">
            <w:pPr>
              <w:keepNext/>
              <w:keepLines/>
              <w:rPr>
                <w:b/>
                <w:lang w:eastAsia="en-GB"/>
              </w:rPr>
            </w:pPr>
            <w:r w:rsidRPr="000410AC">
              <w:rPr>
                <w:b/>
                <w:lang w:eastAsia="en-GB"/>
              </w:rPr>
              <w:t>Disability unknown or null</w:t>
            </w:r>
          </w:p>
        </w:tc>
      </w:tr>
      <w:tr w:rsidR="00FF5AEB" w:rsidRPr="00FF5AEB" w:rsidTr="000410AC">
        <w:trPr>
          <w:trHeight w:val="300"/>
        </w:trPr>
        <w:tc>
          <w:tcPr>
            <w:tcW w:w="1883" w:type="dxa"/>
            <w:noWrap/>
            <w:hideMark/>
          </w:tcPr>
          <w:p w:rsidR="00FF5AEB" w:rsidRPr="000410AC" w:rsidRDefault="00FF5AEB" w:rsidP="000410AC">
            <w:pPr>
              <w:keepNext/>
              <w:keepLines/>
              <w:rPr>
                <w:b/>
                <w:lang w:eastAsia="en-GB"/>
              </w:rPr>
            </w:pPr>
            <w:r w:rsidRPr="000410AC">
              <w:rPr>
                <w:b/>
                <w:lang w:eastAsia="en-GB"/>
              </w:rPr>
              <w:t>Under Band 1</w:t>
            </w:r>
          </w:p>
        </w:tc>
        <w:tc>
          <w:tcPr>
            <w:tcW w:w="1134" w:type="dxa"/>
            <w:noWrap/>
            <w:hideMark/>
          </w:tcPr>
          <w:p w:rsidR="00FF5AEB" w:rsidRPr="00FF5AEB" w:rsidRDefault="00FF5AEB" w:rsidP="000410AC">
            <w:pPr>
              <w:keepNext/>
              <w:keepLines/>
              <w:rPr>
                <w:lang w:eastAsia="en-GB"/>
              </w:rPr>
            </w:pPr>
            <w:r w:rsidRPr="00FF5AEB">
              <w:rPr>
                <w:lang w:eastAsia="en-GB"/>
              </w:rPr>
              <w:t>0.00%</w:t>
            </w:r>
          </w:p>
        </w:tc>
        <w:tc>
          <w:tcPr>
            <w:tcW w:w="1803" w:type="dxa"/>
            <w:noWrap/>
            <w:hideMark/>
          </w:tcPr>
          <w:p w:rsidR="00FF5AEB" w:rsidRPr="00FF5AEB" w:rsidRDefault="00FF5AEB" w:rsidP="000410AC">
            <w:pPr>
              <w:keepNext/>
              <w:keepLines/>
              <w:rPr>
                <w:lang w:eastAsia="en-GB"/>
              </w:rPr>
            </w:pPr>
            <w:r w:rsidRPr="00FF5AEB">
              <w:rPr>
                <w:lang w:eastAsia="en-GB"/>
              </w:rPr>
              <w:t>26.67%</w:t>
            </w:r>
          </w:p>
        </w:tc>
        <w:tc>
          <w:tcPr>
            <w:tcW w:w="3300" w:type="dxa"/>
            <w:noWrap/>
            <w:hideMark/>
          </w:tcPr>
          <w:p w:rsidR="00FF5AEB" w:rsidRPr="00FF5AEB" w:rsidRDefault="00FF5AEB" w:rsidP="000410AC">
            <w:pPr>
              <w:keepNext/>
              <w:keepLines/>
              <w:rPr>
                <w:lang w:eastAsia="en-GB"/>
              </w:rPr>
            </w:pPr>
            <w:r w:rsidRPr="00FF5AEB">
              <w:rPr>
                <w:lang w:eastAsia="en-GB"/>
              </w:rPr>
              <w:t>73.33%</w:t>
            </w:r>
          </w:p>
        </w:tc>
      </w:tr>
      <w:tr w:rsidR="00FF5AEB" w:rsidRPr="00FF5AEB" w:rsidTr="000410AC">
        <w:trPr>
          <w:trHeight w:val="300"/>
        </w:trPr>
        <w:tc>
          <w:tcPr>
            <w:tcW w:w="1883" w:type="dxa"/>
            <w:noWrap/>
            <w:hideMark/>
          </w:tcPr>
          <w:p w:rsidR="00FF5AEB" w:rsidRPr="000410AC" w:rsidRDefault="00FF5AEB" w:rsidP="000410AC">
            <w:pPr>
              <w:keepNext/>
              <w:keepLines/>
              <w:rPr>
                <w:b/>
                <w:lang w:eastAsia="en-GB"/>
              </w:rPr>
            </w:pPr>
            <w:r w:rsidRPr="000410AC">
              <w:rPr>
                <w:b/>
                <w:lang w:eastAsia="en-GB"/>
              </w:rPr>
              <w:t>Band 1</w:t>
            </w:r>
          </w:p>
        </w:tc>
        <w:tc>
          <w:tcPr>
            <w:tcW w:w="1134" w:type="dxa"/>
            <w:noWrap/>
            <w:hideMark/>
          </w:tcPr>
          <w:p w:rsidR="00FF5AEB" w:rsidRPr="00FF5AEB" w:rsidRDefault="00FF5AEB" w:rsidP="000410AC">
            <w:pPr>
              <w:keepNext/>
              <w:keepLines/>
              <w:rPr>
                <w:lang w:eastAsia="en-GB"/>
              </w:rPr>
            </w:pPr>
            <w:r w:rsidRPr="00FF5AEB">
              <w:rPr>
                <w:lang w:eastAsia="en-GB"/>
              </w:rPr>
              <w:t>0.00%</w:t>
            </w:r>
          </w:p>
        </w:tc>
        <w:tc>
          <w:tcPr>
            <w:tcW w:w="1803" w:type="dxa"/>
            <w:noWrap/>
            <w:hideMark/>
          </w:tcPr>
          <w:p w:rsidR="00FF5AEB" w:rsidRPr="00FF5AEB" w:rsidRDefault="00FF5AEB" w:rsidP="000410AC">
            <w:pPr>
              <w:keepNext/>
              <w:keepLines/>
              <w:rPr>
                <w:lang w:eastAsia="en-GB"/>
              </w:rPr>
            </w:pPr>
            <w:r w:rsidRPr="00FF5AEB">
              <w:rPr>
                <w:lang w:eastAsia="en-GB"/>
              </w:rPr>
              <w:t>100.00%</w:t>
            </w:r>
          </w:p>
        </w:tc>
        <w:tc>
          <w:tcPr>
            <w:tcW w:w="3300" w:type="dxa"/>
            <w:noWrap/>
            <w:hideMark/>
          </w:tcPr>
          <w:p w:rsidR="00FF5AEB" w:rsidRPr="00FF5AEB" w:rsidRDefault="00FF5AEB" w:rsidP="000410AC">
            <w:pPr>
              <w:keepNext/>
              <w:keepLines/>
              <w:rPr>
                <w:lang w:eastAsia="en-GB"/>
              </w:rPr>
            </w:pPr>
            <w:r w:rsidRPr="00FF5AEB">
              <w:rPr>
                <w:lang w:eastAsia="en-GB"/>
              </w:rPr>
              <w:t>0.00%</w:t>
            </w:r>
          </w:p>
        </w:tc>
      </w:tr>
      <w:tr w:rsidR="00FF5AEB" w:rsidRPr="00FF5AEB" w:rsidTr="000410AC">
        <w:trPr>
          <w:trHeight w:val="300"/>
        </w:trPr>
        <w:tc>
          <w:tcPr>
            <w:tcW w:w="1883" w:type="dxa"/>
            <w:noWrap/>
            <w:hideMark/>
          </w:tcPr>
          <w:p w:rsidR="00FF5AEB" w:rsidRPr="000410AC" w:rsidRDefault="00FF5AEB" w:rsidP="000410AC">
            <w:pPr>
              <w:keepNext/>
              <w:keepLines/>
              <w:rPr>
                <w:b/>
                <w:lang w:eastAsia="en-GB"/>
              </w:rPr>
            </w:pPr>
            <w:r w:rsidRPr="000410AC">
              <w:rPr>
                <w:b/>
                <w:lang w:eastAsia="en-GB"/>
              </w:rPr>
              <w:t>Band 2</w:t>
            </w:r>
          </w:p>
        </w:tc>
        <w:tc>
          <w:tcPr>
            <w:tcW w:w="1134" w:type="dxa"/>
            <w:noWrap/>
            <w:hideMark/>
          </w:tcPr>
          <w:p w:rsidR="00FF5AEB" w:rsidRPr="00FF5AEB" w:rsidRDefault="00FF5AEB" w:rsidP="000410AC">
            <w:pPr>
              <w:keepNext/>
              <w:keepLines/>
              <w:rPr>
                <w:lang w:eastAsia="en-GB"/>
              </w:rPr>
            </w:pPr>
            <w:r w:rsidRPr="00FF5AEB">
              <w:rPr>
                <w:lang w:eastAsia="en-GB"/>
              </w:rPr>
              <w:t>3.61%</w:t>
            </w:r>
          </w:p>
        </w:tc>
        <w:tc>
          <w:tcPr>
            <w:tcW w:w="1803" w:type="dxa"/>
            <w:noWrap/>
            <w:hideMark/>
          </w:tcPr>
          <w:p w:rsidR="00FF5AEB" w:rsidRPr="00FF5AEB" w:rsidRDefault="00FF5AEB" w:rsidP="000410AC">
            <w:pPr>
              <w:keepNext/>
              <w:keepLines/>
              <w:rPr>
                <w:lang w:eastAsia="en-GB"/>
              </w:rPr>
            </w:pPr>
            <w:r w:rsidRPr="00FF5AEB">
              <w:rPr>
                <w:lang w:eastAsia="en-GB"/>
              </w:rPr>
              <w:t>65.33%</w:t>
            </w:r>
          </w:p>
        </w:tc>
        <w:tc>
          <w:tcPr>
            <w:tcW w:w="3300" w:type="dxa"/>
            <w:noWrap/>
            <w:hideMark/>
          </w:tcPr>
          <w:p w:rsidR="00FF5AEB" w:rsidRPr="00FF5AEB" w:rsidRDefault="00FF5AEB" w:rsidP="000410AC">
            <w:pPr>
              <w:keepNext/>
              <w:keepLines/>
              <w:rPr>
                <w:lang w:eastAsia="en-GB"/>
              </w:rPr>
            </w:pPr>
            <w:r w:rsidRPr="00FF5AEB">
              <w:rPr>
                <w:lang w:eastAsia="en-GB"/>
              </w:rPr>
              <w:t>31.07%</w:t>
            </w:r>
          </w:p>
        </w:tc>
      </w:tr>
      <w:tr w:rsidR="00FF5AEB" w:rsidRPr="00FF5AEB" w:rsidTr="000410AC">
        <w:trPr>
          <w:trHeight w:val="300"/>
        </w:trPr>
        <w:tc>
          <w:tcPr>
            <w:tcW w:w="1883" w:type="dxa"/>
            <w:noWrap/>
            <w:hideMark/>
          </w:tcPr>
          <w:p w:rsidR="00FF5AEB" w:rsidRPr="000410AC" w:rsidRDefault="00FF5AEB" w:rsidP="000410AC">
            <w:pPr>
              <w:keepNext/>
              <w:keepLines/>
              <w:rPr>
                <w:b/>
                <w:lang w:eastAsia="en-GB"/>
              </w:rPr>
            </w:pPr>
            <w:r w:rsidRPr="000410AC">
              <w:rPr>
                <w:b/>
                <w:lang w:eastAsia="en-GB"/>
              </w:rPr>
              <w:t>Band 3</w:t>
            </w:r>
          </w:p>
        </w:tc>
        <w:tc>
          <w:tcPr>
            <w:tcW w:w="1134" w:type="dxa"/>
            <w:noWrap/>
            <w:hideMark/>
          </w:tcPr>
          <w:p w:rsidR="00FF5AEB" w:rsidRPr="00FF5AEB" w:rsidRDefault="00FF5AEB" w:rsidP="000410AC">
            <w:pPr>
              <w:keepNext/>
              <w:keepLines/>
              <w:rPr>
                <w:lang w:eastAsia="en-GB"/>
              </w:rPr>
            </w:pPr>
            <w:r w:rsidRPr="00FF5AEB">
              <w:rPr>
                <w:lang w:eastAsia="en-GB"/>
              </w:rPr>
              <w:t>4.47%</w:t>
            </w:r>
          </w:p>
        </w:tc>
        <w:tc>
          <w:tcPr>
            <w:tcW w:w="1803" w:type="dxa"/>
            <w:noWrap/>
            <w:hideMark/>
          </w:tcPr>
          <w:p w:rsidR="00FF5AEB" w:rsidRPr="00FF5AEB" w:rsidRDefault="00FF5AEB" w:rsidP="000410AC">
            <w:pPr>
              <w:keepNext/>
              <w:keepLines/>
              <w:rPr>
                <w:lang w:eastAsia="en-GB"/>
              </w:rPr>
            </w:pPr>
            <w:r w:rsidRPr="00FF5AEB">
              <w:rPr>
                <w:lang w:eastAsia="en-GB"/>
              </w:rPr>
              <w:t>70.53%</w:t>
            </w:r>
          </w:p>
        </w:tc>
        <w:tc>
          <w:tcPr>
            <w:tcW w:w="3300" w:type="dxa"/>
            <w:noWrap/>
            <w:hideMark/>
          </w:tcPr>
          <w:p w:rsidR="00FF5AEB" w:rsidRPr="00FF5AEB" w:rsidRDefault="00FF5AEB" w:rsidP="000410AC">
            <w:pPr>
              <w:keepNext/>
              <w:keepLines/>
              <w:rPr>
                <w:lang w:eastAsia="en-GB"/>
              </w:rPr>
            </w:pPr>
            <w:r w:rsidRPr="00FF5AEB">
              <w:rPr>
                <w:lang w:eastAsia="en-GB"/>
              </w:rPr>
              <w:t>25.00%</w:t>
            </w:r>
          </w:p>
        </w:tc>
      </w:tr>
      <w:tr w:rsidR="00FF5AEB" w:rsidRPr="00FF5AEB" w:rsidTr="000410AC">
        <w:trPr>
          <w:trHeight w:val="300"/>
        </w:trPr>
        <w:tc>
          <w:tcPr>
            <w:tcW w:w="1883" w:type="dxa"/>
            <w:noWrap/>
            <w:hideMark/>
          </w:tcPr>
          <w:p w:rsidR="00FF5AEB" w:rsidRPr="000410AC" w:rsidRDefault="00FF5AEB" w:rsidP="000410AC">
            <w:pPr>
              <w:keepNext/>
              <w:keepLines/>
              <w:rPr>
                <w:b/>
                <w:lang w:eastAsia="en-GB"/>
              </w:rPr>
            </w:pPr>
            <w:r w:rsidRPr="000410AC">
              <w:rPr>
                <w:b/>
                <w:lang w:eastAsia="en-GB"/>
              </w:rPr>
              <w:t>Band 4</w:t>
            </w:r>
          </w:p>
        </w:tc>
        <w:tc>
          <w:tcPr>
            <w:tcW w:w="1134" w:type="dxa"/>
            <w:noWrap/>
            <w:hideMark/>
          </w:tcPr>
          <w:p w:rsidR="00FF5AEB" w:rsidRPr="00FF5AEB" w:rsidRDefault="00FF5AEB" w:rsidP="000410AC">
            <w:pPr>
              <w:keepNext/>
              <w:keepLines/>
              <w:rPr>
                <w:lang w:eastAsia="en-GB"/>
              </w:rPr>
            </w:pPr>
            <w:r w:rsidRPr="00FF5AEB">
              <w:rPr>
                <w:lang w:eastAsia="en-GB"/>
              </w:rPr>
              <w:t>3.82%</w:t>
            </w:r>
          </w:p>
        </w:tc>
        <w:tc>
          <w:tcPr>
            <w:tcW w:w="1803" w:type="dxa"/>
            <w:noWrap/>
            <w:hideMark/>
          </w:tcPr>
          <w:p w:rsidR="00FF5AEB" w:rsidRPr="00FF5AEB" w:rsidRDefault="00FF5AEB" w:rsidP="000410AC">
            <w:pPr>
              <w:keepNext/>
              <w:keepLines/>
              <w:rPr>
                <w:lang w:eastAsia="en-GB"/>
              </w:rPr>
            </w:pPr>
            <w:r w:rsidRPr="00FF5AEB">
              <w:rPr>
                <w:lang w:eastAsia="en-GB"/>
              </w:rPr>
              <w:t>67.33%</w:t>
            </w:r>
          </w:p>
        </w:tc>
        <w:tc>
          <w:tcPr>
            <w:tcW w:w="3300" w:type="dxa"/>
            <w:noWrap/>
            <w:hideMark/>
          </w:tcPr>
          <w:p w:rsidR="00FF5AEB" w:rsidRPr="00FF5AEB" w:rsidRDefault="00FF5AEB" w:rsidP="000410AC">
            <w:pPr>
              <w:keepNext/>
              <w:keepLines/>
              <w:rPr>
                <w:lang w:eastAsia="en-GB"/>
              </w:rPr>
            </w:pPr>
            <w:r w:rsidRPr="00FF5AEB">
              <w:rPr>
                <w:lang w:eastAsia="en-GB"/>
              </w:rPr>
              <w:t>28.85%</w:t>
            </w:r>
          </w:p>
        </w:tc>
      </w:tr>
      <w:tr w:rsidR="00FF5AEB" w:rsidRPr="00FF5AEB" w:rsidTr="000410AC">
        <w:trPr>
          <w:trHeight w:val="300"/>
        </w:trPr>
        <w:tc>
          <w:tcPr>
            <w:tcW w:w="1883" w:type="dxa"/>
            <w:noWrap/>
            <w:hideMark/>
          </w:tcPr>
          <w:p w:rsidR="00FF5AEB" w:rsidRPr="000410AC" w:rsidRDefault="00FF5AEB" w:rsidP="000410AC">
            <w:pPr>
              <w:keepNext/>
              <w:keepLines/>
              <w:rPr>
                <w:b/>
                <w:lang w:eastAsia="en-GB"/>
              </w:rPr>
            </w:pPr>
            <w:r w:rsidRPr="000410AC">
              <w:rPr>
                <w:b/>
                <w:lang w:eastAsia="en-GB"/>
              </w:rPr>
              <w:t>Band 5</w:t>
            </w:r>
          </w:p>
        </w:tc>
        <w:tc>
          <w:tcPr>
            <w:tcW w:w="1134" w:type="dxa"/>
            <w:noWrap/>
            <w:hideMark/>
          </w:tcPr>
          <w:p w:rsidR="00FF5AEB" w:rsidRPr="00FF5AEB" w:rsidRDefault="00FF5AEB" w:rsidP="000410AC">
            <w:pPr>
              <w:keepNext/>
              <w:keepLines/>
              <w:rPr>
                <w:lang w:eastAsia="en-GB"/>
              </w:rPr>
            </w:pPr>
            <w:r w:rsidRPr="00FF5AEB">
              <w:rPr>
                <w:lang w:eastAsia="en-GB"/>
              </w:rPr>
              <w:t>3.63%</w:t>
            </w:r>
          </w:p>
        </w:tc>
        <w:tc>
          <w:tcPr>
            <w:tcW w:w="1803" w:type="dxa"/>
            <w:noWrap/>
            <w:hideMark/>
          </w:tcPr>
          <w:p w:rsidR="00FF5AEB" w:rsidRPr="00FF5AEB" w:rsidRDefault="00FF5AEB" w:rsidP="000410AC">
            <w:pPr>
              <w:keepNext/>
              <w:keepLines/>
              <w:rPr>
                <w:lang w:eastAsia="en-GB"/>
              </w:rPr>
            </w:pPr>
            <w:r w:rsidRPr="00FF5AEB">
              <w:rPr>
                <w:lang w:eastAsia="en-GB"/>
              </w:rPr>
              <w:t>65.48%</w:t>
            </w:r>
          </w:p>
        </w:tc>
        <w:tc>
          <w:tcPr>
            <w:tcW w:w="3300" w:type="dxa"/>
            <w:noWrap/>
            <w:hideMark/>
          </w:tcPr>
          <w:p w:rsidR="00FF5AEB" w:rsidRPr="00FF5AEB" w:rsidRDefault="00FF5AEB" w:rsidP="000410AC">
            <w:pPr>
              <w:keepNext/>
              <w:keepLines/>
              <w:rPr>
                <w:lang w:eastAsia="en-GB"/>
              </w:rPr>
            </w:pPr>
            <w:r w:rsidRPr="00FF5AEB">
              <w:rPr>
                <w:lang w:eastAsia="en-GB"/>
              </w:rPr>
              <w:t>30.89%</w:t>
            </w:r>
          </w:p>
        </w:tc>
      </w:tr>
      <w:tr w:rsidR="00FF5AEB" w:rsidRPr="00FF5AEB" w:rsidTr="000410AC">
        <w:trPr>
          <w:trHeight w:val="300"/>
        </w:trPr>
        <w:tc>
          <w:tcPr>
            <w:tcW w:w="1883" w:type="dxa"/>
            <w:noWrap/>
            <w:hideMark/>
          </w:tcPr>
          <w:p w:rsidR="00FF5AEB" w:rsidRPr="000410AC" w:rsidRDefault="00FF5AEB" w:rsidP="000410AC">
            <w:pPr>
              <w:keepNext/>
              <w:keepLines/>
              <w:rPr>
                <w:b/>
                <w:lang w:eastAsia="en-GB"/>
              </w:rPr>
            </w:pPr>
            <w:r w:rsidRPr="000410AC">
              <w:rPr>
                <w:b/>
                <w:lang w:eastAsia="en-GB"/>
              </w:rPr>
              <w:t>Band 6</w:t>
            </w:r>
          </w:p>
        </w:tc>
        <w:tc>
          <w:tcPr>
            <w:tcW w:w="1134" w:type="dxa"/>
            <w:noWrap/>
            <w:hideMark/>
          </w:tcPr>
          <w:p w:rsidR="00FF5AEB" w:rsidRPr="00FF5AEB" w:rsidRDefault="00FF5AEB" w:rsidP="000410AC">
            <w:pPr>
              <w:keepNext/>
              <w:keepLines/>
              <w:rPr>
                <w:lang w:eastAsia="en-GB"/>
              </w:rPr>
            </w:pPr>
            <w:r w:rsidRPr="00FF5AEB">
              <w:rPr>
                <w:lang w:eastAsia="en-GB"/>
              </w:rPr>
              <w:t>4.52%</w:t>
            </w:r>
          </w:p>
        </w:tc>
        <w:tc>
          <w:tcPr>
            <w:tcW w:w="1803" w:type="dxa"/>
            <w:noWrap/>
            <w:hideMark/>
          </w:tcPr>
          <w:p w:rsidR="00FF5AEB" w:rsidRPr="00FF5AEB" w:rsidRDefault="00FF5AEB" w:rsidP="000410AC">
            <w:pPr>
              <w:keepNext/>
              <w:keepLines/>
              <w:rPr>
                <w:lang w:eastAsia="en-GB"/>
              </w:rPr>
            </w:pPr>
            <w:r w:rsidRPr="00FF5AEB">
              <w:rPr>
                <w:lang w:eastAsia="en-GB"/>
              </w:rPr>
              <w:t>67.69%</w:t>
            </w:r>
          </w:p>
        </w:tc>
        <w:tc>
          <w:tcPr>
            <w:tcW w:w="3300" w:type="dxa"/>
            <w:noWrap/>
            <w:hideMark/>
          </w:tcPr>
          <w:p w:rsidR="00FF5AEB" w:rsidRPr="00FF5AEB" w:rsidRDefault="00FF5AEB" w:rsidP="000410AC">
            <w:pPr>
              <w:keepNext/>
              <w:keepLines/>
              <w:rPr>
                <w:lang w:eastAsia="en-GB"/>
              </w:rPr>
            </w:pPr>
            <w:r w:rsidRPr="00FF5AEB">
              <w:rPr>
                <w:lang w:eastAsia="en-GB"/>
              </w:rPr>
              <w:t>27.79%</w:t>
            </w:r>
          </w:p>
        </w:tc>
      </w:tr>
      <w:tr w:rsidR="00FF5AEB" w:rsidRPr="00FF5AEB" w:rsidTr="000410AC">
        <w:trPr>
          <w:trHeight w:val="300"/>
        </w:trPr>
        <w:tc>
          <w:tcPr>
            <w:tcW w:w="1883" w:type="dxa"/>
            <w:noWrap/>
            <w:hideMark/>
          </w:tcPr>
          <w:p w:rsidR="00FF5AEB" w:rsidRPr="000410AC" w:rsidRDefault="00FF5AEB" w:rsidP="000410AC">
            <w:pPr>
              <w:keepNext/>
              <w:keepLines/>
              <w:rPr>
                <w:b/>
                <w:lang w:eastAsia="en-GB"/>
              </w:rPr>
            </w:pPr>
            <w:r w:rsidRPr="000410AC">
              <w:rPr>
                <w:b/>
                <w:lang w:eastAsia="en-GB"/>
              </w:rPr>
              <w:t>Band 7</w:t>
            </w:r>
          </w:p>
        </w:tc>
        <w:tc>
          <w:tcPr>
            <w:tcW w:w="1134" w:type="dxa"/>
            <w:noWrap/>
            <w:hideMark/>
          </w:tcPr>
          <w:p w:rsidR="00FF5AEB" w:rsidRPr="00FF5AEB" w:rsidRDefault="00FF5AEB" w:rsidP="000410AC">
            <w:pPr>
              <w:keepNext/>
              <w:keepLines/>
              <w:rPr>
                <w:lang w:eastAsia="en-GB"/>
              </w:rPr>
            </w:pPr>
            <w:r w:rsidRPr="00FF5AEB">
              <w:rPr>
                <w:lang w:eastAsia="en-GB"/>
              </w:rPr>
              <w:t>3.33%</w:t>
            </w:r>
          </w:p>
        </w:tc>
        <w:tc>
          <w:tcPr>
            <w:tcW w:w="1803" w:type="dxa"/>
            <w:noWrap/>
            <w:hideMark/>
          </w:tcPr>
          <w:p w:rsidR="00FF5AEB" w:rsidRPr="00FF5AEB" w:rsidRDefault="00FF5AEB" w:rsidP="000410AC">
            <w:pPr>
              <w:keepNext/>
              <w:keepLines/>
              <w:rPr>
                <w:lang w:eastAsia="en-GB"/>
              </w:rPr>
            </w:pPr>
            <w:r w:rsidRPr="00FF5AEB">
              <w:rPr>
                <w:lang w:eastAsia="en-GB"/>
              </w:rPr>
              <w:t>66.70%</w:t>
            </w:r>
          </w:p>
        </w:tc>
        <w:tc>
          <w:tcPr>
            <w:tcW w:w="3300" w:type="dxa"/>
            <w:noWrap/>
            <w:hideMark/>
          </w:tcPr>
          <w:p w:rsidR="00FF5AEB" w:rsidRPr="00FF5AEB" w:rsidRDefault="00FF5AEB" w:rsidP="000410AC">
            <w:pPr>
              <w:keepNext/>
              <w:keepLines/>
              <w:rPr>
                <w:lang w:eastAsia="en-GB"/>
              </w:rPr>
            </w:pPr>
            <w:r w:rsidRPr="00FF5AEB">
              <w:rPr>
                <w:lang w:eastAsia="en-GB"/>
              </w:rPr>
              <w:t>29.97%</w:t>
            </w:r>
          </w:p>
        </w:tc>
      </w:tr>
      <w:tr w:rsidR="00FF5AEB" w:rsidRPr="00FF5AEB" w:rsidTr="000410AC">
        <w:trPr>
          <w:trHeight w:val="300"/>
        </w:trPr>
        <w:tc>
          <w:tcPr>
            <w:tcW w:w="1883" w:type="dxa"/>
            <w:noWrap/>
            <w:hideMark/>
          </w:tcPr>
          <w:p w:rsidR="00FF5AEB" w:rsidRPr="000410AC" w:rsidRDefault="00FF5AEB" w:rsidP="000410AC">
            <w:pPr>
              <w:keepNext/>
              <w:keepLines/>
              <w:rPr>
                <w:b/>
                <w:lang w:eastAsia="en-GB"/>
              </w:rPr>
            </w:pPr>
            <w:r w:rsidRPr="000410AC">
              <w:rPr>
                <w:b/>
                <w:lang w:eastAsia="en-GB"/>
              </w:rPr>
              <w:t>Band 8A</w:t>
            </w:r>
          </w:p>
        </w:tc>
        <w:tc>
          <w:tcPr>
            <w:tcW w:w="1134" w:type="dxa"/>
            <w:noWrap/>
            <w:hideMark/>
          </w:tcPr>
          <w:p w:rsidR="00FF5AEB" w:rsidRPr="00FF5AEB" w:rsidRDefault="00FF5AEB" w:rsidP="000410AC">
            <w:pPr>
              <w:keepNext/>
              <w:keepLines/>
              <w:rPr>
                <w:lang w:eastAsia="en-GB"/>
              </w:rPr>
            </w:pPr>
            <w:r w:rsidRPr="00FF5AEB">
              <w:rPr>
                <w:lang w:eastAsia="en-GB"/>
              </w:rPr>
              <w:t>3.33%</w:t>
            </w:r>
          </w:p>
        </w:tc>
        <w:tc>
          <w:tcPr>
            <w:tcW w:w="1803" w:type="dxa"/>
            <w:noWrap/>
            <w:hideMark/>
          </w:tcPr>
          <w:p w:rsidR="00FF5AEB" w:rsidRPr="00FF5AEB" w:rsidRDefault="00FF5AEB" w:rsidP="000410AC">
            <w:pPr>
              <w:keepNext/>
              <w:keepLines/>
              <w:rPr>
                <w:lang w:eastAsia="en-GB"/>
              </w:rPr>
            </w:pPr>
            <w:r w:rsidRPr="00FF5AEB">
              <w:rPr>
                <w:lang w:eastAsia="en-GB"/>
              </w:rPr>
              <w:t>72.86%</w:t>
            </w:r>
          </w:p>
        </w:tc>
        <w:tc>
          <w:tcPr>
            <w:tcW w:w="3300" w:type="dxa"/>
            <w:noWrap/>
            <w:hideMark/>
          </w:tcPr>
          <w:p w:rsidR="00FF5AEB" w:rsidRPr="00FF5AEB" w:rsidRDefault="00FF5AEB" w:rsidP="000410AC">
            <w:pPr>
              <w:keepNext/>
              <w:keepLines/>
              <w:rPr>
                <w:lang w:eastAsia="en-GB"/>
              </w:rPr>
            </w:pPr>
            <w:r w:rsidRPr="00FF5AEB">
              <w:rPr>
                <w:lang w:eastAsia="en-GB"/>
              </w:rPr>
              <w:t>23.81%</w:t>
            </w:r>
          </w:p>
        </w:tc>
      </w:tr>
      <w:tr w:rsidR="00FF5AEB" w:rsidRPr="00FF5AEB" w:rsidTr="000410AC">
        <w:trPr>
          <w:trHeight w:val="300"/>
        </w:trPr>
        <w:tc>
          <w:tcPr>
            <w:tcW w:w="1883" w:type="dxa"/>
            <w:noWrap/>
            <w:hideMark/>
          </w:tcPr>
          <w:p w:rsidR="00FF5AEB" w:rsidRPr="000410AC" w:rsidRDefault="00FF5AEB" w:rsidP="000410AC">
            <w:pPr>
              <w:keepNext/>
              <w:keepLines/>
              <w:rPr>
                <w:b/>
                <w:lang w:eastAsia="en-GB"/>
              </w:rPr>
            </w:pPr>
            <w:r w:rsidRPr="000410AC">
              <w:rPr>
                <w:b/>
                <w:lang w:eastAsia="en-GB"/>
              </w:rPr>
              <w:t>Band 8B</w:t>
            </w:r>
          </w:p>
        </w:tc>
        <w:tc>
          <w:tcPr>
            <w:tcW w:w="1134" w:type="dxa"/>
            <w:noWrap/>
            <w:hideMark/>
          </w:tcPr>
          <w:p w:rsidR="00FF5AEB" w:rsidRPr="00FF5AEB" w:rsidRDefault="00FF5AEB" w:rsidP="000410AC">
            <w:pPr>
              <w:keepNext/>
              <w:keepLines/>
              <w:rPr>
                <w:lang w:eastAsia="en-GB"/>
              </w:rPr>
            </w:pPr>
            <w:r w:rsidRPr="00FF5AEB">
              <w:rPr>
                <w:lang w:eastAsia="en-GB"/>
              </w:rPr>
              <w:t>2.56%</w:t>
            </w:r>
          </w:p>
        </w:tc>
        <w:tc>
          <w:tcPr>
            <w:tcW w:w="1803" w:type="dxa"/>
            <w:noWrap/>
            <w:hideMark/>
          </w:tcPr>
          <w:p w:rsidR="00FF5AEB" w:rsidRPr="00FF5AEB" w:rsidRDefault="00FF5AEB" w:rsidP="000410AC">
            <w:pPr>
              <w:keepNext/>
              <w:keepLines/>
              <w:rPr>
                <w:lang w:eastAsia="en-GB"/>
              </w:rPr>
            </w:pPr>
            <w:r w:rsidRPr="00FF5AEB">
              <w:rPr>
                <w:lang w:eastAsia="en-GB"/>
              </w:rPr>
              <w:t>64.96%</w:t>
            </w:r>
          </w:p>
        </w:tc>
        <w:tc>
          <w:tcPr>
            <w:tcW w:w="3300" w:type="dxa"/>
            <w:noWrap/>
            <w:hideMark/>
          </w:tcPr>
          <w:p w:rsidR="00FF5AEB" w:rsidRPr="00FF5AEB" w:rsidRDefault="00FF5AEB" w:rsidP="000410AC">
            <w:pPr>
              <w:keepNext/>
              <w:keepLines/>
              <w:rPr>
                <w:lang w:eastAsia="en-GB"/>
              </w:rPr>
            </w:pPr>
            <w:r w:rsidRPr="00FF5AEB">
              <w:rPr>
                <w:lang w:eastAsia="en-GB"/>
              </w:rPr>
              <w:t>32.48%</w:t>
            </w:r>
          </w:p>
        </w:tc>
      </w:tr>
      <w:tr w:rsidR="00FF5AEB" w:rsidRPr="00FF5AEB" w:rsidTr="000410AC">
        <w:trPr>
          <w:trHeight w:val="300"/>
        </w:trPr>
        <w:tc>
          <w:tcPr>
            <w:tcW w:w="1883" w:type="dxa"/>
            <w:noWrap/>
            <w:hideMark/>
          </w:tcPr>
          <w:p w:rsidR="00FF5AEB" w:rsidRPr="000410AC" w:rsidRDefault="00FF5AEB" w:rsidP="000410AC">
            <w:pPr>
              <w:keepNext/>
              <w:keepLines/>
              <w:rPr>
                <w:b/>
                <w:lang w:eastAsia="en-GB"/>
              </w:rPr>
            </w:pPr>
            <w:r w:rsidRPr="000410AC">
              <w:rPr>
                <w:b/>
                <w:lang w:eastAsia="en-GB"/>
              </w:rPr>
              <w:t>Band 8C</w:t>
            </w:r>
          </w:p>
        </w:tc>
        <w:tc>
          <w:tcPr>
            <w:tcW w:w="1134" w:type="dxa"/>
            <w:noWrap/>
            <w:hideMark/>
          </w:tcPr>
          <w:p w:rsidR="00FF5AEB" w:rsidRPr="00FF5AEB" w:rsidRDefault="00FF5AEB" w:rsidP="000410AC">
            <w:pPr>
              <w:keepNext/>
              <w:keepLines/>
              <w:rPr>
                <w:lang w:eastAsia="en-GB"/>
              </w:rPr>
            </w:pPr>
            <w:r w:rsidRPr="00FF5AEB">
              <w:rPr>
                <w:lang w:eastAsia="en-GB"/>
              </w:rPr>
              <w:t>0.00%</w:t>
            </w:r>
          </w:p>
        </w:tc>
        <w:tc>
          <w:tcPr>
            <w:tcW w:w="1803" w:type="dxa"/>
            <w:noWrap/>
            <w:hideMark/>
          </w:tcPr>
          <w:p w:rsidR="00FF5AEB" w:rsidRPr="00FF5AEB" w:rsidRDefault="00FF5AEB" w:rsidP="000410AC">
            <w:pPr>
              <w:keepNext/>
              <w:keepLines/>
              <w:rPr>
                <w:lang w:eastAsia="en-GB"/>
              </w:rPr>
            </w:pPr>
            <w:r w:rsidRPr="00FF5AEB">
              <w:rPr>
                <w:lang w:eastAsia="en-GB"/>
              </w:rPr>
              <w:t>61.54%</w:t>
            </w:r>
          </w:p>
        </w:tc>
        <w:tc>
          <w:tcPr>
            <w:tcW w:w="3300" w:type="dxa"/>
            <w:noWrap/>
            <w:hideMark/>
          </w:tcPr>
          <w:p w:rsidR="00FF5AEB" w:rsidRPr="00FF5AEB" w:rsidRDefault="00FF5AEB" w:rsidP="000410AC">
            <w:pPr>
              <w:keepNext/>
              <w:keepLines/>
              <w:rPr>
                <w:lang w:eastAsia="en-GB"/>
              </w:rPr>
            </w:pPr>
            <w:r w:rsidRPr="00FF5AEB">
              <w:rPr>
                <w:lang w:eastAsia="en-GB"/>
              </w:rPr>
              <w:t>38.46%</w:t>
            </w:r>
          </w:p>
        </w:tc>
      </w:tr>
      <w:tr w:rsidR="00FF5AEB" w:rsidRPr="00FF5AEB" w:rsidTr="000410AC">
        <w:trPr>
          <w:trHeight w:val="300"/>
        </w:trPr>
        <w:tc>
          <w:tcPr>
            <w:tcW w:w="1883" w:type="dxa"/>
            <w:noWrap/>
            <w:hideMark/>
          </w:tcPr>
          <w:p w:rsidR="00FF5AEB" w:rsidRPr="00FF5AEB" w:rsidRDefault="00FF5AEB" w:rsidP="000410AC">
            <w:pPr>
              <w:keepNext/>
              <w:keepLines/>
              <w:rPr>
                <w:lang w:eastAsia="en-GB"/>
              </w:rPr>
            </w:pPr>
            <w:r w:rsidRPr="00FF5AEB">
              <w:rPr>
                <w:lang w:eastAsia="en-GB"/>
              </w:rPr>
              <w:t>Band 8D</w:t>
            </w:r>
          </w:p>
        </w:tc>
        <w:tc>
          <w:tcPr>
            <w:tcW w:w="1134" w:type="dxa"/>
            <w:noWrap/>
            <w:hideMark/>
          </w:tcPr>
          <w:p w:rsidR="00FF5AEB" w:rsidRPr="00FF5AEB" w:rsidRDefault="00FF5AEB" w:rsidP="000410AC">
            <w:pPr>
              <w:keepNext/>
              <w:keepLines/>
              <w:rPr>
                <w:lang w:eastAsia="en-GB"/>
              </w:rPr>
            </w:pPr>
            <w:r w:rsidRPr="00FF5AEB">
              <w:rPr>
                <w:lang w:eastAsia="en-GB"/>
              </w:rPr>
              <w:t>0.00%</w:t>
            </w:r>
          </w:p>
        </w:tc>
        <w:tc>
          <w:tcPr>
            <w:tcW w:w="1803" w:type="dxa"/>
            <w:noWrap/>
            <w:hideMark/>
          </w:tcPr>
          <w:p w:rsidR="00FF5AEB" w:rsidRPr="00FF5AEB" w:rsidRDefault="00FF5AEB" w:rsidP="000410AC">
            <w:pPr>
              <w:keepNext/>
              <w:keepLines/>
              <w:rPr>
                <w:lang w:eastAsia="en-GB"/>
              </w:rPr>
            </w:pPr>
            <w:r w:rsidRPr="00FF5AEB">
              <w:rPr>
                <w:lang w:eastAsia="en-GB"/>
              </w:rPr>
              <w:t>60.87%</w:t>
            </w:r>
          </w:p>
        </w:tc>
        <w:tc>
          <w:tcPr>
            <w:tcW w:w="3300" w:type="dxa"/>
            <w:noWrap/>
            <w:hideMark/>
          </w:tcPr>
          <w:p w:rsidR="00FF5AEB" w:rsidRPr="00FF5AEB" w:rsidRDefault="00FF5AEB" w:rsidP="000410AC">
            <w:pPr>
              <w:keepNext/>
              <w:keepLines/>
              <w:rPr>
                <w:lang w:eastAsia="en-GB"/>
              </w:rPr>
            </w:pPr>
            <w:r w:rsidRPr="00FF5AEB">
              <w:rPr>
                <w:lang w:eastAsia="en-GB"/>
              </w:rPr>
              <w:t>39.13%</w:t>
            </w:r>
          </w:p>
        </w:tc>
      </w:tr>
      <w:tr w:rsidR="00FF5AEB" w:rsidRPr="00FF5AEB" w:rsidTr="000410AC">
        <w:trPr>
          <w:trHeight w:val="300"/>
        </w:trPr>
        <w:tc>
          <w:tcPr>
            <w:tcW w:w="1883" w:type="dxa"/>
            <w:noWrap/>
            <w:hideMark/>
          </w:tcPr>
          <w:p w:rsidR="00FF5AEB" w:rsidRPr="00FF5AEB" w:rsidRDefault="00FF5AEB" w:rsidP="000410AC">
            <w:pPr>
              <w:keepNext/>
              <w:keepLines/>
              <w:rPr>
                <w:lang w:eastAsia="en-GB"/>
              </w:rPr>
            </w:pPr>
            <w:r w:rsidRPr="00FF5AEB">
              <w:rPr>
                <w:lang w:eastAsia="en-GB"/>
              </w:rPr>
              <w:t>Band 9</w:t>
            </w:r>
          </w:p>
        </w:tc>
        <w:tc>
          <w:tcPr>
            <w:tcW w:w="1134" w:type="dxa"/>
            <w:noWrap/>
            <w:hideMark/>
          </w:tcPr>
          <w:p w:rsidR="00FF5AEB" w:rsidRPr="00FF5AEB" w:rsidRDefault="00FF5AEB" w:rsidP="000410AC">
            <w:pPr>
              <w:keepNext/>
              <w:keepLines/>
              <w:rPr>
                <w:lang w:eastAsia="en-GB"/>
              </w:rPr>
            </w:pPr>
            <w:r w:rsidRPr="00FF5AEB">
              <w:rPr>
                <w:lang w:eastAsia="en-GB"/>
              </w:rPr>
              <w:t>0.00%</w:t>
            </w:r>
          </w:p>
        </w:tc>
        <w:tc>
          <w:tcPr>
            <w:tcW w:w="1803" w:type="dxa"/>
            <w:noWrap/>
            <w:hideMark/>
          </w:tcPr>
          <w:p w:rsidR="00FF5AEB" w:rsidRPr="00FF5AEB" w:rsidRDefault="00FF5AEB" w:rsidP="000410AC">
            <w:pPr>
              <w:keepNext/>
              <w:keepLines/>
              <w:rPr>
                <w:lang w:eastAsia="en-GB"/>
              </w:rPr>
            </w:pPr>
            <w:r w:rsidRPr="00FF5AEB">
              <w:rPr>
                <w:lang w:eastAsia="en-GB"/>
              </w:rPr>
              <w:t>100.00%</w:t>
            </w:r>
          </w:p>
        </w:tc>
        <w:tc>
          <w:tcPr>
            <w:tcW w:w="3300" w:type="dxa"/>
            <w:noWrap/>
            <w:hideMark/>
          </w:tcPr>
          <w:p w:rsidR="00FF5AEB" w:rsidRPr="00FF5AEB" w:rsidRDefault="00FF5AEB" w:rsidP="000410AC">
            <w:pPr>
              <w:keepNext/>
              <w:keepLines/>
              <w:rPr>
                <w:lang w:eastAsia="en-GB"/>
              </w:rPr>
            </w:pPr>
            <w:r w:rsidRPr="00FF5AEB">
              <w:rPr>
                <w:lang w:eastAsia="en-GB"/>
              </w:rPr>
              <w:t>0.00%</w:t>
            </w:r>
          </w:p>
        </w:tc>
      </w:tr>
      <w:tr w:rsidR="00FF5AEB" w:rsidRPr="00FF5AEB" w:rsidTr="000410AC">
        <w:trPr>
          <w:trHeight w:val="300"/>
        </w:trPr>
        <w:tc>
          <w:tcPr>
            <w:tcW w:w="1883" w:type="dxa"/>
            <w:noWrap/>
            <w:hideMark/>
          </w:tcPr>
          <w:p w:rsidR="00FF5AEB" w:rsidRPr="00FF5AEB" w:rsidRDefault="00FF5AEB" w:rsidP="000410AC">
            <w:pPr>
              <w:keepNext/>
              <w:keepLines/>
              <w:rPr>
                <w:lang w:eastAsia="en-GB"/>
              </w:rPr>
            </w:pPr>
            <w:r w:rsidRPr="00FF5AEB">
              <w:rPr>
                <w:lang w:eastAsia="en-GB"/>
              </w:rPr>
              <w:t>VSM</w:t>
            </w:r>
          </w:p>
        </w:tc>
        <w:tc>
          <w:tcPr>
            <w:tcW w:w="1134" w:type="dxa"/>
            <w:noWrap/>
            <w:hideMark/>
          </w:tcPr>
          <w:p w:rsidR="00FF5AEB" w:rsidRPr="00FF5AEB" w:rsidRDefault="00FF5AEB" w:rsidP="000410AC">
            <w:pPr>
              <w:keepNext/>
              <w:keepLines/>
              <w:rPr>
                <w:lang w:eastAsia="en-GB"/>
              </w:rPr>
            </w:pPr>
            <w:r w:rsidRPr="00FF5AEB">
              <w:rPr>
                <w:lang w:eastAsia="en-GB"/>
              </w:rPr>
              <w:t>4.17%</w:t>
            </w:r>
          </w:p>
        </w:tc>
        <w:tc>
          <w:tcPr>
            <w:tcW w:w="1803" w:type="dxa"/>
            <w:noWrap/>
            <w:hideMark/>
          </w:tcPr>
          <w:p w:rsidR="00FF5AEB" w:rsidRPr="00FF5AEB" w:rsidRDefault="00FF5AEB" w:rsidP="000410AC">
            <w:pPr>
              <w:keepNext/>
              <w:keepLines/>
              <w:rPr>
                <w:lang w:eastAsia="en-GB"/>
              </w:rPr>
            </w:pPr>
            <w:r w:rsidRPr="00FF5AEB">
              <w:rPr>
                <w:lang w:eastAsia="en-GB"/>
              </w:rPr>
              <w:t>62.50%</w:t>
            </w:r>
          </w:p>
        </w:tc>
        <w:tc>
          <w:tcPr>
            <w:tcW w:w="3300" w:type="dxa"/>
            <w:noWrap/>
            <w:hideMark/>
          </w:tcPr>
          <w:p w:rsidR="00FF5AEB" w:rsidRPr="00FF5AEB" w:rsidRDefault="00FF5AEB" w:rsidP="000410AC">
            <w:pPr>
              <w:keepNext/>
              <w:keepLines/>
              <w:rPr>
                <w:lang w:eastAsia="en-GB"/>
              </w:rPr>
            </w:pPr>
            <w:r w:rsidRPr="00FF5AEB">
              <w:rPr>
                <w:lang w:eastAsia="en-GB"/>
              </w:rPr>
              <w:t>33.33%</w:t>
            </w:r>
          </w:p>
        </w:tc>
      </w:tr>
      <w:tr w:rsidR="00FF5AEB" w:rsidRPr="00FF5AEB" w:rsidTr="000410AC">
        <w:trPr>
          <w:trHeight w:val="300"/>
        </w:trPr>
        <w:tc>
          <w:tcPr>
            <w:tcW w:w="1883" w:type="dxa"/>
            <w:noWrap/>
            <w:hideMark/>
          </w:tcPr>
          <w:p w:rsidR="00FF5AEB" w:rsidRPr="00FF5AEB" w:rsidRDefault="00FF5AEB" w:rsidP="000410AC">
            <w:pPr>
              <w:keepNext/>
              <w:keepLines/>
              <w:rPr>
                <w:lang w:eastAsia="en-GB"/>
              </w:rPr>
            </w:pPr>
            <w:r w:rsidRPr="00FF5AEB">
              <w:rPr>
                <w:lang w:eastAsia="en-GB"/>
              </w:rPr>
              <w:t>Consultant</w:t>
            </w:r>
          </w:p>
        </w:tc>
        <w:tc>
          <w:tcPr>
            <w:tcW w:w="1134" w:type="dxa"/>
            <w:noWrap/>
            <w:hideMark/>
          </w:tcPr>
          <w:p w:rsidR="00FF5AEB" w:rsidRPr="00FF5AEB" w:rsidRDefault="00FF5AEB" w:rsidP="000410AC">
            <w:pPr>
              <w:keepNext/>
              <w:keepLines/>
              <w:rPr>
                <w:lang w:eastAsia="en-GB"/>
              </w:rPr>
            </w:pPr>
            <w:r w:rsidRPr="00FF5AEB">
              <w:rPr>
                <w:lang w:eastAsia="en-GB"/>
              </w:rPr>
              <w:t>1.09%</w:t>
            </w:r>
          </w:p>
        </w:tc>
        <w:tc>
          <w:tcPr>
            <w:tcW w:w="1803" w:type="dxa"/>
            <w:noWrap/>
            <w:hideMark/>
          </w:tcPr>
          <w:p w:rsidR="00FF5AEB" w:rsidRPr="00FF5AEB" w:rsidRDefault="00FF5AEB" w:rsidP="000410AC">
            <w:pPr>
              <w:keepNext/>
              <w:keepLines/>
              <w:rPr>
                <w:lang w:eastAsia="en-GB"/>
              </w:rPr>
            </w:pPr>
            <w:r w:rsidRPr="00FF5AEB">
              <w:rPr>
                <w:lang w:eastAsia="en-GB"/>
              </w:rPr>
              <w:t>54.49%</w:t>
            </w:r>
          </w:p>
        </w:tc>
        <w:tc>
          <w:tcPr>
            <w:tcW w:w="3300" w:type="dxa"/>
            <w:noWrap/>
            <w:hideMark/>
          </w:tcPr>
          <w:p w:rsidR="00FF5AEB" w:rsidRPr="00FF5AEB" w:rsidRDefault="00FF5AEB" w:rsidP="000410AC">
            <w:pPr>
              <w:keepNext/>
              <w:keepLines/>
              <w:rPr>
                <w:lang w:eastAsia="en-GB"/>
              </w:rPr>
            </w:pPr>
            <w:r w:rsidRPr="00FF5AEB">
              <w:rPr>
                <w:lang w:eastAsia="en-GB"/>
              </w:rPr>
              <w:t>44.42%</w:t>
            </w:r>
          </w:p>
        </w:tc>
      </w:tr>
      <w:tr w:rsidR="00FF5AEB" w:rsidRPr="00FF5AEB" w:rsidTr="000410AC">
        <w:trPr>
          <w:trHeight w:val="300"/>
        </w:trPr>
        <w:tc>
          <w:tcPr>
            <w:tcW w:w="1883" w:type="dxa"/>
            <w:noWrap/>
            <w:hideMark/>
          </w:tcPr>
          <w:p w:rsidR="00FF5AEB" w:rsidRPr="00FF5AEB" w:rsidRDefault="00FF5AEB" w:rsidP="000410AC">
            <w:pPr>
              <w:keepNext/>
              <w:keepLines/>
              <w:rPr>
                <w:lang w:eastAsia="en-GB"/>
              </w:rPr>
            </w:pPr>
            <w:r w:rsidRPr="00FF5AEB">
              <w:rPr>
                <w:lang w:eastAsia="en-GB"/>
              </w:rPr>
              <w:t>Non-Consultant</w:t>
            </w:r>
          </w:p>
        </w:tc>
        <w:tc>
          <w:tcPr>
            <w:tcW w:w="1134" w:type="dxa"/>
            <w:noWrap/>
            <w:hideMark/>
          </w:tcPr>
          <w:p w:rsidR="00FF5AEB" w:rsidRPr="00FF5AEB" w:rsidRDefault="00FF5AEB" w:rsidP="000410AC">
            <w:pPr>
              <w:keepNext/>
              <w:keepLines/>
              <w:rPr>
                <w:lang w:eastAsia="en-GB"/>
              </w:rPr>
            </w:pPr>
            <w:r w:rsidRPr="00FF5AEB">
              <w:rPr>
                <w:lang w:eastAsia="en-GB"/>
              </w:rPr>
              <w:t>2.78%</w:t>
            </w:r>
          </w:p>
        </w:tc>
        <w:tc>
          <w:tcPr>
            <w:tcW w:w="1803" w:type="dxa"/>
            <w:noWrap/>
            <w:hideMark/>
          </w:tcPr>
          <w:p w:rsidR="00FF5AEB" w:rsidRPr="00FF5AEB" w:rsidRDefault="00FF5AEB" w:rsidP="000410AC">
            <w:pPr>
              <w:keepNext/>
              <w:keepLines/>
              <w:rPr>
                <w:lang w:eastAsia="en-GB"/>
              </w:rPr>
            </w:pPr>
            <w:r w:rsidRPr="00FF5AEB">
              <w:rPr>
                <w:lang w:eastAsia="en-GB"/>
              </w:rPr>
              <w:t>48.89%</w:t>
            </w:r>
          </w:p>
        </w:tc>
        <w:tc>
          <w:tcPr>
            <w:tcW w:w="3300" w:type="dxa"/>
            <w:noWrap/>
            <w:hideMark/>
          </w:tcPr>
          <w:p w:rsidR="00FF5AEB" w:rsidRPr="00FF5AEB" w:rsidRDefault="00FF5AEB" w:rsidP="000410AC">
            <w:pPr>
              <w:keepNext/>
              <w:keepLines/>
              <w:rPr>
                <w:lang w:eastAsia="en-GB"/>
              </w:rPr>
            </w:pPr>
            <w:r w:rsidRPr="00FF5AEB">
              <w:rPr>
                <w:lang w:eastAsia="en-GB"/>
              </w:rPr>
              <w:t>48.33%</w:t>
            </w:r>
          </w:p>
        </w:tc>
      </w:tr>
      <w:tr w:rsidR="00FF5AEB" w:rsidRPr="00FF5AEB" w:rsidTr="000410AC">
        <w:trPr>
          <w:trHeight w:val="300"/>
        </w:trPr>
        <w:tc>
          <w:tcPr>
            <w:tcW w:w="1883" w:type="dxa"/>
            <w:noWrap/>
            <w:hideMark/>
          </w:tcPr>
          <w:p w:rsidR="00FF5AEB" w:rsidRPr="00FF5AEB" w:rsidRDefault="00FF5AEB" w:rsidP="000410AC">
            <w:pPr>
              <w:keepNext/>
              <w:keepLines/>
              <w:rPr>
                <w:lang w:eastAsia="en-GB"/>
              </w:rPr>
            </w:pPr>
            <w:r w:rsidRPr="00FF5AEB">
              <w:rPr>
                <w:lang w:eastAsia="en-GB"/>
              </w:rPr>
              <w:t>Trainee Grade</w:t>
            </w:r>
          </w:p>
        </w:tc>
        <w:tc>
          <w:tcPr>
            <w:tcW w:w="1134" w:type="dxa"/>
            <w:noWrap/>
            <w:hideMark/>
          </w:tcPr>
          <w:p w:rsidR="00FF5AEB" w:rsidRPr="00FF5AEB" w:rsidRDefault="00FF5AEB" w:rsidP="000410AC">
            <w:pPr>
              <w:keepNext/>
              <w:keepLines/>
              <w:rPr>
                <w:lang w:eastAsia="en-GB"/>
              </w:rPr>
            </w:pPr>
            <w:r w:rsidRPr="00FF5AEB">
              <w:rPr>
                <w:lang w:eastAsia="en-GB"/>
              </w:rPr>
              <w:t>0.22%</w:t>
            </w:r>
          </w:p>
        </w:tc>
        <w:tc>
          <w:tcPr>
            <w:tcW w:w="1803" w:type="dxa"/>
            <w:noWrap/>
            <w:hideMark/>
          </w:tcPr>
          <w:p w:rsidR="00FF5AEB" w:rsidRPr="00FF5AEB" w:rsidRDefault="00FF5AEB" w:rsidP="000410AC">
            <w:pPr>
              <w:keepNext/>
              <w:keepLines/>
              <w:rPr>
                <w:lang w:eastAsia="en-GB"/>
              </w:rPr>
            </w:pPr>
            <w:r w:rsidRPr="00FF5AEB">
              <w:rPr>
                <w:lang w:eastAsia="en-GB"/>
              </w:rPr>
              <w:t>19.57%</w:t>
            </w:r>
          </w:p>
        </w:tc>
        <w:tc>
          <w:tcPr>
            <w:tcW w:w="3300" w:type="dxa"/>
            <w:noWrap/>
            <w:hideMark/>
          </w:tcPr>
          <w:p w:rsidR="00FF5AEB" w:rsidRPr="00FF5AEB" w:rsidRDefault="00FF5AEB" w:rsidP="000410AC">
            <w:pPr>
              <w:keepNext/>
              <w:keepLines/>
              <w:rPr>
                <w:lang w:eastAsia="en-GB"/>
              </w:rPr>
            </w:pPr>
            <w:r w:rsidRPr="00FF5AEB">
              <w:rPr>
                <w:lang w:eastAsia="en-GB"/>
              </w:rPr>
              <w:t>80.22%</w:t>
            </w:r>
          </w:p>
        </w:tc>
      </w:tr>
      <w:tr w:rsidR="00FF5AEB" w:rsidRPr="00FF5AEB" w:rsidTr="000410AC">
        <w:trPr>
          <w:trHeight w:val="300"/>
        </w:trPr>
        <w:tc>
          <w:tcPr>
            <w:tcW w:w="1883" w:type="dxa"/>
            <w:noWrap/>
            <w:hideMark/>
          </w:tcPr>
          <w:p w:rsidR="00FF5AEB" w:rsidRPr="00FF5AEB" w:rsidRDefault="00FF5AEB" w:rsidP="000410AC">
            <w:pPr>
              <w:keepNext/>
              <w:keepLines/>
              <w:rPr>
                <w:lang w:eastAsia="en-GB"/>
              </w:rPr>
            </w:pPr>
            <w:r w:rsidRPr="00FF5AEB">
              <w:rPr>
                <w:lang w:eastAsia="en-GB"/>
              </w:rPr>
              <w:t>Other</w:t>
            </w:r>
          </w:p>
        </w:tc>
        <w:tc>
          <w:tcPr>
            <w:tcW w:w="1134" w:type="dxa"/>
            <w:noWrap/>
            <w:hideMark/>
          </w:tcPr>
          <w:p w:rsidR="00FF5AEB" w:rsidRPr="00FF5AEB" w:rsidRDefault="00FF5AEB" w:rsidP="000410AC">
            <w:pPr>
              <w:keepNext/>
              <w:keepLines/>
              <w:rPr>
                <w:lang w:eastAsia="en-GB"/>
              </w:rPr>
            </w:pPr>
            <w:r w:rsidRPr="00FF5AEB">
              <w:rPr>
                <w:lang w:eastAsia="en-GB"/>
              </w:rPr>
              <w:t>0.00%</w:t>
            </w:r>
          </w:p>
        </w:tc>
        <w:tc>
          <w:tcPr>
            <w:tcW w:w="1803" w:type="dxa"/>
            <w:noWrap/>
            <w:hideMark/>
          </w:tcPr>
          <w:p w:rsidR="00FF5AEB" w:rsidRPr="00FF5AEB" w:rsidRDefault="00FF5AEB" w:rsidP="000410AC">
            <w:pPr>
              <w:keepNext/>
              <w:keepLines/>
              <w:rPr>
                <w:lang w:eastAsia="en-GB"/>
              </w:rPr>
            </w:pPr>
            <w:r w:rsidRPr="00FF5AEB">
              <w:rPr>
                <w:lang w:eastAsia="en-GB"/>
              </w:rPr>
              <w:t>0.00%</w:t>
            </w:r>
          </w:p>
        </w:tc>
        <w:tc>
          <w:tcPr>
            <w:tcW w:w="3300" w:type="dxa"/>
            <w:noWrap/>
            <w:hideMark/>
          </w:tcPr>
          <w:p w:rsidR="00FF5AEB" w:rsidRPr="00FF5AEB" w:rsidRDefault="00FF5AEB" w:rsidP="000410AC">
            <w:pPr>
              <w:keepNext/>
              <w:keepLines/>
              <w:rPr>
                <w:lang w:eastAsia="en-GB"/>
              </w:rPr>
            </w:pPr>
            <w:r w:rsidRPr="00FF5AEB">
              <w:rPr>
                <w:lang w:eastAsia="en-GB"/>
              </w:rPr>
              <w:t>0.00%</w:t>
            </w:r>
          </w:p>
        </w:tc>
      </w:tr>
    </w:tbl>
    <w:p w:rsidR="00FF5AEB" w:rsidRDefault="00FF5AEB" w:rsidP="000410AC">
      <w:pPr>
        <w:pStyle w:val="Style1"/>
        <w:ind w:left="0"/>
      </w:pPr>
    </w:p>
    <w:p w:rsidR="007312C9" w:rsidRDefault="007312C9" w:rsidP="00DF7C89">
      <w:pPr>
        <w:pStyle w:val="Style1"/>
      </w:pPr>
      <w:r>
        <w:rPr>
          <w:noProof/>
        </w:rPr>
        <w:lastRenderedPageBreak/>
        <w:drawing>
          <wp:inline distT="0" distB="0" distL="0" distR="0" wp14:anchorId="6569E89A" wp14:editId="1E7875E9">
            <wp:extent cx="4673600" cy="3162300"/>
            <wp:effectExtent l="0" t="0" r="12700" b="0"/>
            <wp:docPr id="18" name="Chart 18" descr="Bar chart representation of percentage of disabled staff in AfC paybands for all staff"/>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5AEB" w:rsidRDefault="00FF5AEB" w:rsidP="00DF7C89">
      <w:pPr>
        <w:pStyle w:val="Heading3"/>
      </w:pPr>
      <w:bookmarkStart w:id="27" w:name="_Hlk46930201"/>
      <w:r>
        <w:t>Percentage of staff in AfC paybands (Non-clinical Staff)</w:t>
      </w:r>
    </w:p>
    <w:bookmarkEnd w:id="27"/>
    <w:p w:rsidR="007A78BC" w:rsidRDefault="007A78BC" w:rsidP="00DF7C89">
      <w:pPr>
        <w:pStyle w:val="Style1"/>
      </w:pPr>
    </w:p>
    <w:tbl>
      <w:tblPr>
        <w:tblStyle w:val="TableGrid"/>
        <w:tblpPr w:leftFromText="180" w:rightFromText="180" w:vertAnchor="text" w:horzAnchor="margin" w:tblpXSpec="center" w:tblpY="97"/>
        <w:tblW w:w="8440" w:type="dxa"/>
        <w:tblLook w:val="06A0" w:firstRow="1" w:lastRow="0" w:firstColumn="1" w:lastColumn="0" w:noHBand="1" w:noVBand="1"/>
      </w:tblPr>
      <w:tblGrid>
        <w:gridCol w:w="1616"/>
        <w:gridCol w:w="1277"/>
        <w:gridCol w:w="1976"/>
        <w:gridCol w:w="3571"/>
      </w:tblGrid>
      <w:tr w:rsidR="00DF7C89" w:rsidRPr="00FF5AEB" w:rsidTr="000410AC">
        <w:trPr>
          <w:trHeight w:val="322"/>
        </w:trPr>
        <w:tc>
          <w:tcPr>
            <w:tcW w:w="1616" w:type="dxa"/>
            <w:noWrap/>
            <w:hideMark/>
          </w:tcPr>
          <w:p w:rsidR="00DF7C89" w:rsidRPr="00FF5AEB" w:rsidRDefault="00DF7C89" w:rsidP="000410AC">
            <w:pPr>
              <w:rPr>
                <w:lang w:eastAsia="en-GB"/>
              </w:rPr>
            </w:pPr>
          </w:p>
        </w:tc>
        <w:tc>
          <w:tcPr>
            <w:tcW w:w="1277" w:type="dxa"/>
            <w:noWrap/>
            <w:hideMark/>
          </w:tcPr>
          <w:p w:rsidR="00DF7C89" w:rsidRPr="000410AC" w:rsidRDefault="000410AC" w:rsidP="000410AC">
            <w:pPr>
              <w:rPr>
                <w:b/>
                <w:lang w:eastAsia="en-GB"/>
              </w:rPr>
            </w:pPr>
            <w:r w:rsidRPr="000410AC">
              <w:rPr>
                <w:b/>
                <w:lang w:eastAsia="en-GB"/>
              </w:rPr>
              <w:t>Disabled</w:t>
            </w:r>
          </w:p>
        </w:tc>
        <w:tc>
          <w:tcPr>
            <w:tcW w:w="1976" w:type="dxa"/>
            <w:noWrap/>
            <w:hideMark/>
          </w:tcPr>
          <w:p w:rsidR="00DF7C89" w:rsidRPr="000410AC" w:rsidRDefault="000410AC" w:rsidP="000410AC">
            <w:pPr>
              <w:rPr>
                <w:b/>
                <w:lang w:eastAsia="en-GB"/>
              </w:rPr>
            </w:pPr>
            <w:r w:rsidRPr="000410AC">
              <w:rPr>
                <w:b/>
                <w:lang w:eastAsia="en-GB"/>
              </w:rPr>
              <w:t>Non-disabled</w:t>
            </w:r>
          </w:p>
        </w:tc>
        <w:tc>
          <w:tcPr>
            <w:tcW w:w="3571" w:type="dxa"/>
            <w:noWrap/>
            <w:hideMark/>
          </w:tcPr>
          <w:p w:rsidR="00DF7C89" w:rsidRPr="000410AC" w:rsidRDefault="000410AC" w:rsidP="000410AC">
            <w:pPr>
              <w:rPr>
                <w:b/>
                <w:lang w:eastAsia="en-GB"/>
              </w:rPr>
            </w:pPr>
            <w:r w:rsidRPr="000410AC">
              <w:rPr>
                <w:b/>
                <w:lang w:eastAsia="en-GB"/>
              </w:rPr>
              <w:t>Disability unknown or null</w:t>
            </w:r>
          </w:p>
        </w:tc>
      </w:tr>
      <w:tr w:rsidR="00C341F7" w:rsidRPr="00FF5AEB" w:rsidTr="000410AC">
        <w:trPr>
          <w:trHeight w:val="322"/>
        </w:trPr>
        <w:tc>
          <w:tcPr>
            <w:tcW w:w="1616" w:type="dxa"/>
            <w:noWrap/>
          </w:tcPr>
          <w:p w:rsidR="00C341F7" w:rsidRPr="000410AC" w:rsidRDefault="00C341F7" w:rsidP="000410AC">
            <w:pPr>
              <w:rPr>
                <w:b/>
                <w:lang w:eastAsia="en-GB"/>
              </w:rPr>
            </w:pPr>
            <w:r w:rsidRPr="000410AC">
              <w:rPr>
                <w:b/>
                <w:lang w:eastAsia="en-GB"/>
              </w:rPr>
              <w:t>Under Band 1</w:t>
            </w:r>
          </w:p>
        </w:tc>
        <w:tc>
          <w:tcPr>
            <w:tcW w:w="1277" w:type="dxa"/>
            <w:noWrap/>
          </w:tcPr>
          <w:p w:rsidR="00C341F7" w:rsidRPr="00FF5AEB" w:rsidRDefault="00C341F7" w:rsidP="000410AC">
            <w:pPr>
              <w:rPr>
                <w:lang w:eastAsia="en-GB"/>
              </w:rPr>
            </w:pPr>
            <w:r w:rsidRPr="00FF5AEB">
              <w:rPr>
                <w:lang w:eastAsia="en-GB"/>
              </w:rPr>
              <w:t>0.00%</w:t>
            </w:r>
          </w:p>
        </w:tc>
        <w:tc>
          <w:tcPr>
            <w:tcW w:w="1976" w:type="dxa"/>
            <w:noWrap/>
          </w:tcPr>
          <w:p w:rsidR="00C341F7" w:rsidRPr="00FF5AEB" w:rsidRDefault="00C341F7" w:rsidP="000410AC">
            <w:pPr>
              <w:rPr>
                <w:lang w:eastAsia="en-GB"/>
              </w:rPr>
            </w:pPr>
            <w:r w:rsidRPr="00FF5AEB">
              <w:rPr>
                <w:lang w:eastAsia="en-GB"/>
              </w:rPr>
              <w:t>14.29%</w:t>
            </w:r>
          </w:p>
        </w:tc>
        <w:tc>
          <w:tcPr>
            <w:tcW w:w="3571" w:type="dxa"/>
            <w:noWrap/>
          </w:tcPr>
          <w:p w:rsidR="00C341F7" w:rsidRPr="00FF5AEB" w:rsidRDefault="00C341F7" w:rsidP="000410AC">
            <w:pPr>
              <w:rPr>
                <w:lang w:eastAsia="en-GB"/>
              </w:rPr>
            </w:pPr>
            <w:r w:rsidRPr="00FF5AEB">
              <w:rPr>
                <w:lang w:eastAsia="en-GB"/>
              </w:rPr>
              <w:t>85.71%</w:t>
            </w:r>
          </w:p>
        </w:tc>
      </w:tr>
      <w:tr w:rsidR="00C341F7" w:rsidRPr="00FF5AEB" w:rsidTr="000410AC">
        <w:trPr>
          <w:trHeight w:val="322"/>
        </w:trPr>
        <w:tc>
          <w:tcPr>
            <w:tcW w:w="1616" w:type="dxa"/>
            <w:noWrap/>
            <w:hideMark/>
          </w:tcPr>
          <w:p w:rsidR="00C341F7" w:rsidRPr="000410AC" w:rsidRDefault="00C341F7" w:rsidP="000410AC">
            <w:pPr>
              <w:rPr>
                <w:b/>
                <w:lang w:eastAsia="en-GB"/>
              </w:rPr>
            </w:pPr>
            <w:r w:rsidRPr="000410AC">
              <w:rPr>
                <w:b/>
                <w:lang w:eastAsia="en-GB"/>
              </w:rPr>
              <w:t>Band 1</w:t>
            </w:r>
          </w:p>
        </w:tc>
        <w:tc>
          <w:tcPr>
            <w:tcW w:w="1277" w:type="dxa"/>
            <w:noWrap/>
          </w:tcPr>
          <w:p w:rsidR="00C341F7" w:rsidRPr="00FF5AEB" w:rsidRDefault="00C341F7" w:rsidP="000410AC">
            <w:pPr>
              <w:rPr>
                <w:lang w:eastAsia="en-GB"/>
              </w:rPr>
            </w:pPr>
            <w:r w:rsidRPr="00FF5AEB">
              <w:rPr>
                <w:lang w:eastAsia="en-GB"/>
              </w:rPr>
              <w:t>0.00%</w:t>
            </w:r>
          </w:p>
        </w:tc>
        <w:tc>
          <w:tcPr>
            <w:tcW w:w="1976" w:type="dxa"/>
            <w:noWrap/>
          </w:tcPr>
          <w:p w:rsidR="00C341F7" w:rsidRPr="00FF5AEB" w:rsidRDefault="00C341F7" w:rsidP="000410AC">
            <w:pPr>
              <w:rPr>
                <w:lang w:eastAsia="en-GB"/>
              </w:rPr>
            </w:pPr>
            <w:r w:rsidRPr="00FF5AEB">
              <w:rPr>
                <w:lang w:eastAsia="en-GB"/>
              </w:rPr>
              <w:t>100.00%</w:t>
            </w:r>
          </w:p>
        </w:tc>
        <w:tc>
          <w:tcPr>
            <w:tcW w:w="3571" w:type="dxa"/>
            <w:noWrap/>
          </w:tcPr>
          <w:p w:rsidR="00C341F7" w:rsidRPr="00FF5AEB" w:rsidRDefault="00C341F7" w:rsidP="000410AC">
            <w:pPr>
              <w:rPr>
                <w:lang w:eastAsia="en-GB"/>
              </w:rPr>
            </w:pPr>
            <w:r w:rsidRPr="00FF5AEB">
              <w:rPr>
                <w:lang w:eastAsia="en-GB"/>
              </w:rPr>
              <w:t>0.00%</w:t>
            </w:r>
          </w:p>
        </w:tc>
      </w:tr>
      <w:tr w:rsidR="00C341F7" w:rsidRPr="00FF5AEB" w:rsidTr="000410AC">
        <w:trPr>
          <w:trHeight w:val="322"/>
        </w:trPr>
        <w:tc>
          <w:tcPr>
            <w:tcW w:w="1616" w:type="dxa"/>
            <w:noWrap/>
            <w:hideMark/>
          </w:tcPr>
          <w:p w:rsidR="00C341F7" w:rsidRPr="000410AC" w:rsidRDefault="00C341F7" w:rsidP="000410AC">
            <w:pPr>
              <w:rPr>
                <w:b/>
                <w:lang w:eastAsia="en-GB"/>
              </w:rPr>
            </w:pPr>
            <w:r w:rsidRPr="000410AC">
              <w:rPr>
                <w:b/>
                <w:lang w:eastAsia="en-GB"/>
              </w:rPr>
              <w:t>Band 2</w:t>
            </w:r>
          </w:p>
        </w:tc>
        <w:tc>
          <w:tcPr>
            <w:tcW w:w="1277" w:type="dxa"/>
            <w:noWrap/>
          </w:tcPr>
          <w:p w:rsidR="00C341F7" w:rsidRPr="00FF5AEB" w:rsidRDefault="00C341F7" w:rsidP="000410AC">
            <w:pPr>
              <w:rPr>
                <w:lang w:eastAsia="en-GB"/>
              </w:rPr>
            </w:pPr>
            <w:r w:rsidRPr="00FF5AEB">
              <w:rPr>
                <w:lang w:eastAsia="en-GB"/>
              </w:rPr>
              <w:t>5.88%</w:t>
            </w:r>
          </w:p>
        </w:tc>
        <w:tc>
          <w:tcPr>
            <w:tcW w:w="1976" w:type="dxa"/>
            <w:noWrap/>
          </w:tcPr>
          <w:p w:rsidR="00C341F7" w:rsidRPr="00FF5AEB" w:rsidRDefault="00C341F7" w:rsidP="000410AC">
            <w:pPr>
              <w:rPr>
                <w:lang w:eastAsia="en-GB"/>
              </w:rPr>
            </w:pPr>
            <w:r w:rsidRPr="00FF5AEB">
              <w:rPr>
                <w:lang w:eastAsia="en-GB"/>
              </w:rPr>
              <w:t>66.77%</w:t>
            </w:r>
          </w:p>
        </w:tc>
        <w:tc>
          <w:tcPr>
            <w:tcW w:w="3571" w:type="dxa"/>
            <w:noWrap/>
          </w:tcPr>
          <w:p w:rsidR="00C341F7" w:rsidRPr="00FF5AEB" w:rsidRDefault="00C341F7" w:rsidP="000410AC">
            <w:pPr>
              <w:rPr>
                <w:lang w:eastAsia="en-GB"/>
              </w:rPr>
            </w:pPr>
            <w:r w:rsidRPr="00FF5AEB">
              <w:rPr>
                <w:lang w:eastAsia="en-GB"/>
              </w:rPr>
              <w:t>27.34%</w:t>
            </w:r>
          </w:p>
        </w:tc>
      </w:tr>
      <w:tr w:rsidR="00C341F7" w:rsidRPr="00FF5AEB" w:rsidTr="000410AC">
        <w:trPr>
          <w:trHeight w:val="322"/>
        </w:trPr>
        <w:tc>
          <w:tcPr>
            <w:tcW w:w="1616" w:type="dxa"/>
            <w:noWrap/>
            <w:hideMark/>
          </w:tcPr>
          <w:p w:rsidR="00C341F7" w:rsidRPr="000410AC" w:rsidRDefault="00C341F7" w:rsidP="000410AC">
            <w:pPr>
              <w:rPr>
                <w:b/>
                <w:lang w:eastAsia="en-GB"/>
              </w:rPr>
            </w:pPr>
            <w:r w:rsidRPr="000410AC">
              <w:rPr>
                <w:b/>
                <w:lang w:eastAsia="en-GB"/>
              </w:rPr>
              <w:t>Band 3</w:t>
            </w:r>
          </w:p>
        </w:tc>
        <w:tc>
          <w:tcPr>
            <w:tcW w:w="1277" w:type="dxa"/>
            <w:noWrap/>
          </w:tcPr>
          <w:p w:rsidR="00C341F7" w:rsidRPr="00FF5AEB" w:rsidRDefault="00C341F7" w:rsidP="000410AC">
            <w:pPr>
              <w:rPr>
                <w:lang w:eastAsia="en-GB"/>
              </w:rPr>
            </w:pPr>
            <w:r w:rsidRPr="00FF5AEB">
              <w:rPr>
                <w:lang w:eastAsia="en-GB"/>
              </w:rPr>
              <w:t>4.06%</w:t>
            </w:r>
          </w:p>
        </w:tc>
        <w:tc>
          <w:tcPr>
            <w:tcW w:w="1976" w:type="dxa"/>
            <w:noWrap/>
          </w:tcPr>
          <w:p w:rsidR="00C341F7" w:rsidRPr="00FF5AEB" w:rsidRDefault="00C341F7" w:rsidP="000410AC">
            <w:pPr>
              <w:rPr>
                <w:lang w:eastAsia="en-GB"/>
              </w:rPr>
            </w:pPr>
            <w:r w:rsidRPr="00FF5AEB">
              <w:rPr>
                <w:lang w:eastAsia="en-GB"/>
              </w:rPr>
              <w:t>72.21%</w:t>
            </w:r>
          </w:p>
        </w:tc>
        <w:tc>
          <w:tcPr>
            <w:tcW w:w="3571" w:type="dxa"/>
            <w:noWrap/>
          </w:tcPr>
          <w:p w:rsidR="00C341F7" w:rsidRPr="00FF5AEB" w:rsidRDefault="00C341F7" w:rsidP="000410AC">
            <w:pPr>
              <w:rPr>
                <w:lang w:eastAsia="en-GB"/>
              </w:rPr>
            </w:pPr>
            <w:r w:rsidRPr="00FF5AEB">
              <w:rPr>
                <w:lang w:eastAsia="en-GB"/>
              </w:rPr>
              <w:t>23.73%</w:t>
            </w:r>
          </w:p>
        </w:tc>
      </w:tr>
      <w:tr w:rsidR="00C341F7" w:rsidRPr="00FF5AEB" w:rsidTr="000410AC">
        <w:trPr>
          <w:trHeight w:val="322"/>
        </w:trPr>
        <w:tc>
          <w:tcPr>
            <w:tcW w:w="1616" w:type="dxa"/>
            <w:noWrap/>
            <w:hideMark/>
          </w:tcPr>
          <w:p w:rsidR="00C341F7" w:rsidRPr="000410AC" w:rsidRDefault="00C341F7" w:rsidP="000410AC">
            <w:pPr>
              <w:rPr>
                <w:b/>
                <w:lang w:eastAsia="en-GB"/>
              </w:rPr>
            </w:pPr>
            <w:r w:rsidRPr="000410AC">
              <w:rPr>
                <w:b/>
                <w:lang w:eastAsia="en-GB"/>
              </w:rPr>
              <w:t>Band 4</w:t>
            </w:r>
          </w:p>
        </w:tc>
        <w:tc>
          <w:tcPr>
            <w:tcW w:w="1277" w:type="dxa"/>
            <w:noWrap/>
          </w:tcPr>
          <w:p w:rsidR="00C341F7" w:rsidRPr="00FF5AEB" w:rsidRDefault="00C341F7" w:rsidP="000410AC">
            <w:pPr>
              <w:rPr>
                <w:lang w:eastAsia="en-GB"/>
              </w:rPr>
            </w:pPr>
            <w:r w:rsidRPr="00FF5AEB">
              <w:rPr>
                <w:lang w:eastAsia="en-GB"/>
              </w:rPr>
              <w:t>4.44%</w:t>
            </w:r>
          </w:p>
        </w:tc>
        <w:tc>
          <w:tcPr>
            <w:tcW w:w="1976" w:type="dxa"/>
            <w:noWrap/>
          </w:tcPr>
          <w:p w:rsidR="00C341F7" w:rsidRPr="00FF5AEB" w:rsidRDefault="00C341F7" w:rsidP="000410AC">
            <w:pPr>
              <w:rPr>
                <w:lang w:eastAsia="en-GB"/>
              </w:rPr>
            </w:pPr>
            <w:r w:rsidRPr="00FF5AEB">
              <w:rPr>
                <w:lang w:eastAsia="en-GB"/>
              </w:rPr>
              <w:t>75.24%</w:t>
            </w:r>
          </w:p>
        </w:tc>
        <w:tc>
          <w:tcPr>
            <w:tcW w:w="3571" w:type="dxa"/>
            <w:noWrap/>
          </w:tcPr>
          <w:p w:rsidR="00C341F7" w:rsidRPr="00FF5AEB" w:rsidRDefault="00C341F7" w:rsidP="000410AC">
            <w:pPr>
              <w:rPr>
                <w:lang w:eastAsia="en-GB"/>
              </w:rPr>
            </w:pPr>
            <w:r w:rsidRPr="00FF5AEB">
              <w:rPr>
                <w:lang w:eastAsia="en-GB"/>
              </w:rPr>
              <w:t>20.32%</w:t>
            </w:r>
          </w:p>
        </w:tc>
      </w:tr>
      <w:tr w:rsidR="00C341F7" w:rsidRPr="00FF5AEB" w:rsidTr="000410AC">
        <w:trPr>
          <w:trHeight w:val="322"/>
        </w:trPr>
        <w:tc>
          <w:tcPr>
            <w:tcW w:w="1616" w:type="dxa"/>
            <w:noWrap/>
            <w:hideMark/>
          </w:tcPr>
          <w:p w:rsidR="00C341F7" w:rsidRPr="000410AC" w:rsidRDefault="00C341F7" w:rsidP="000410AC">
            <w:pPr>
              <w:rPr>
                <w:b/>
                <w:lang w:eastAsia="en-GB"/>
              </w:rPr>
            </w:pPr>
            <w:r w:rsidRPr="000410AC">
              <w:rPr>
                <w:b/>
                <w:lang w:eastAsia="en-GB"/>
              </w:rPr>
              <w:t>Band 5</w:t>
            </w:r>
          </w:p>
        </w:tc>
        <w:tc>
          <w:tcPr>
            <w:tcW w:w="1277" w:type="dxa"/>
            <w:noWrap/>
          </w:tcPr>
          <w:p w:rsidR="00C341F7" w:rsidRPr="00FF5AEB" w:rsidRDefault="00C341F7" w:rsidP="000410AC">
            <w:pPr>
              <w:rPr>
                <w:lang w:eastAsia="en-GB"/>
              </w:rPr>
            </w:pPr>
            <w:r w:rsidRPr="00FF5AEB">
              <w:rPr>
                <w:lang w:eastAsia="en-GB"/>
              </w:rPr>
              <w:t>2.45%</w:t>
            </w:r>
          </w:p>
        </w:tc>
        <w:tc>
          <w:tcPr>
            <w:tcW w:w="1976" w:type="dxa"/>
            <w:noWrap/>
          </w:tcPr>
          <w:p w:rsidR="00C341F7" w:rsidRPr="00FF5AEB" w:rsidRDefault="00C341F7" w:rsidP="000410AC">
            <w:pPr>
              <w:rPr>
                <w:lang w:eastAsia="en-GB"/>
              </w:rPr>
            </w:pPr>
            <w:r w:rsidRPr="00FF5AEB">
              <w:rPr>
                <w:lang w:eastAsia="en-GB"/>
              </w:rPr>
              <w:t>68.10%</w:t>
            </w:r>
          </w:p>
        </w:tc>
        <w:tc>
          <w:tcPr>
            <w:tcW w:w="3571" w:type="dxa"/>
            <w:noWrap/>
          </w:tcPr>
          <w:p w:rsidR="00C341F7" w:rsidRPr="00FF5AEB" w:rsidRDefault="00C341F7" w:rsidP="000410AC">
            <w:pPr>
              <w:rPr>
                <w:lang w:eastAsia="en-GB"/>
              </w:rPr>
            </w:pPr>
            <w:r w:rsidRPr="00FF5AEB">
              <w:rPr>
                <w:lang w:eastAsia="en-GB"/>
              </w:rPr>
              <w:t>29.45%</w:t>
            </w:r>
          </w:p>
        </w:tc>
      </w:tr>
      <w:tr w:rsidR="00C341F7" w:rsidRPr="00FF5AEB" w:rsidTr="000410AC">
        <w:trPr>
          <w:trHeight w:val="322"/>
        </w:trPr>
        <w:tc>
          <w:tcPr>
            <w:tcW w:w="1616" w:type="dxa"/>
            <w:noWrap/>
            <w:hideMark/>
          </w:tcPr>
          <w:p w:rsidR="00C341F7" w:rsidRPr="000410AC" w:rsidRDefault="00C341F7" w:rsidP="000410AC">
            <w:pPr>
              <w:rPr>
                <w:b/>
                <w:lang w:eastAsia="en-GB"/>
              </w:rPr>
            </w:pPr>
            <w:r w:rsidRPr="000410AC">
              <w:rPr>
                <w:b/>
                <w:lang w:eastAsia="en-GB"/>
              </w:rPr>
              <w:t>Band 6</w:t>
            </w:r>
          </w:p>
        </w:tc>
        <w:tc>
          <w:tcPr>
            <w:tcW w:w="1277" w:type="dxa"/>
            <w:noWrap/>
          </w:tcPr>
          <w:p w:rsidR="00C341F7" w:rsidRPr="00FF5AEB" w:rsidRDefault="00C341F7" w:rsidP="000410AC">
            <w:pPr>
              <w:rPr>
                <w:lang w:eastAsia="en-GB"/>
              </w:rPr>
            </w:pPr>
            <w:r w:rsidRPr="00FF5AEB">
              <w:rPr>
                <w:lang w:eastAsia="en-GB"/>
              </w:rPr>
              <w:t>4.76%</w:t>
            </w:r>
          </w:p>
        </w:tc>
        <w:tc>
          <w:tcPr>
            <w:tcW w:w="1976" w:type="dxa"/>
            <w:noWrap/>
          </w:tcPr>
          <w:p w:rsidR="00C341F7" w:rsidRPr="00FF5AEB" w:rsidRDefault="00C341F7" w:rsidP="000410AC">
            <w:pPr>
              <w:rPr>
                <w:lang w:eastAsia="en-GB"/>
              </w:rPr>
            </w:pPr>
            <w:r w:rsidRPr="00FF5AEB">
              <w:rPr>
                <w:lang w:eastAsia="en-GB"/>
              </w:rPr>
              <w:t>69.05%</w:t>
            </w:r>
          </w:p>
        </w:tc>
        <w:tc>
          <w:tcPr>
            <w:tcW w:w="3571" w:type="dxa"/>
            <w:noWrap/>
          </w:tcPr>
          <w:p w:rsidR="00C341F7" w:rsidRPr="00FF5AEB" w:rsidRDefault="00C341F7" w:rsidP="000410AC">
            <w:pPr>
              <w:rPr>
                <w:lang w:eastAsia="en-GB"/>
              </w:rPr>
            </w:pPr>
            <w:r w:rsidRPr="00FF5AEB">
              <w:rPr>
                <w:lang w:eastAsia="en-GB"/>
              </w:rPr>
              <w:t>26.19%</w:t>
            </w:r>
          </w:p>
        </w:tc>
      </w:tr>
      <w:tr w:rsidR="00C341F7" w:rsidRPr="00FF5AEB" w:rsidTr="000410AC">
        <w:trPr>
          <w:trHeight w:val="322"/>
        </w:trPr>
        <w:tc>
          <w:tcPr>
            <w:tcW w:w="1616" w:type="dxa"/>
            <w:noWrap/>
            <w:hideMark/>
          </w:tcPr>
          <w:p w:rsidR="00C341F7" w:rsidRPr="000410AC" w:rsidRDefault="00C341F7" w:rsidP="000410AC">
            <w:pPr>
              <w:rPr>
                <w:b/>
                <w:lang w:eastAsia="en-GB"/>
              </w:rPr>
            </w:pPr>
            <w:r w:rsidRPr="000410AC">
              <w:rPr>
                <w:b/>
                <w:lang w:eastAsia="en-GB"/>
              </w:rPr>
              <w:t>Band 7</w:t>
            </w:r>
          </w:p>
        </w:tc>
        <w:tc>
          <w:tcPr>
            <w:tcW w:w="1277" w:type="dxa"/>
            <w:noWrap/>
          </w:tcPr>
          <w:p w:rsidR="00C341F7" w:rsidRPr="00FF5AEB" w:rsidRDefault="00C341F7" w:rsidP="000410AC">
            <w:pPr>
              <w:rPr>
                <w:lang w:eastAsia="en-GB"/>
              </w:rPr>
            </w:pPr>
            <w:r w:rsidRPr="00FF5AEB">
              <w:rPr>
                <w:lang w:eastAsia="en-GB"/>
              </w:rPr>
              <w:t>6.32%</w:t>
            </w:r>
          </w:p>
        </w:tc>
        <w:tc>
          <w:tcPr>
            <w:tcW w:w="1976" w:type="dxa"/>
            <w:noWrap/>
          </w:tcPr>
          <w:p w:rsidR="00C341F7" w:rsidRPr="00FF5AEB" w:rsidRDefault="00C341F7" w:rsidP="000410AC">
            <w:pPr>
              <w:rPr>
                <w:lang w:eastAsia="en-GB"/>
              </w:rPr>
            </w:pPr>
            <w:r w:rsidRPr="00FF5AEB">
              <w:rPr>
                <w:lang w:eastAsia="en-GB"/>
              </w:rPr>
              <w:t>58.95%</w:t>
            </w:r>
          </w:p>
        </w:tc>
        <w:tc>
          <w:tcPr>
            <w:tcW w:w="3571" w:type="dxa"/>
            <w:noWrap/>
          </w:tcPr>
          <w:p w:rsidR="00C341F7" w:rsidRPr="00FF5AEB" w:rsidRDefault="00C341F7" w:rsidP="000410AC">
            <w:pPr>
              <w:rPr>
                <w:lang w:eastAsia="en-GB"/>
              </w:rPr>
            </w:pPr>
            <w:r w:rsidRPr="00FF5AEB">
              <w:rPr>
                <w:lang w:eastAsia="en-GB"/>
              </w:rPr>
              <w:t>34.74%</w:t>
            </w:r>
          </w:p>
        </w:tc>
      </w:tr>
      <w:tr w:rsidR="00C341F7" w:rsidRPr="00FF5AEB" w:rsidTr="000410AC">
        <w:trPr>
          <w:trHeight w:val="322"/>
        </w:trPr>
        <w:tc>
          <w:tcPr>
            <w:tcW w:w="1616" w:type="dxa"/>
            <w:noWrap/>
            <w:hideMark/>
          </w:tcPr>
          <w:p w:rsidR="00C341F7" w:rsidRPr="000410AC" w:rsidRDefault="00C341F7" w:rsidP="000410AC">
            <w:pPr>
              <w:rPr>
                <w:b/>
                <w:lang w:eastAsia="en-GB"/>
              </w:rPr>
            </w:pPr>
            <w:r w:rsidRPr="000410AC">
              <w:rPr>
                <w:b/>
                <w:lang w:eastAsia="en-GB"/>
              </w:rPr>
              <w:t>Band 8A</w:t>
            </w:r>
          </w:p>
        </w:tc>
        <w:tc>
          <w:tcPr>
            <w:tcW w:w="1277" w:type="dxa"/>
            <w:noWrap/>
          </w:tcPr>
          <w:p w:rsidR="00C341F7" w:rsidRPr="00FF5AEB" w:rsidRDefault="00C341F7" w:rsidP="000410AC">
            <w:pPr>
              <w:rPr>
                <w:lang w:eastAsia="en-GB"/>
              </w:rPr>
            </w:pPr>
            <w:r w:rsidRPr="00FF5AEB">
              <w:rPr>
                <w:lang w:eastAsia="en-GB"/>
              </w:rPr>
              <w:t>2.94%</w:t>
            </w:r>
          </w:p>
        </w:tc>
        <w:tc>
          <w:tcPr>
            <w:tcW w:w="1976" w:type="dxa"/>
            <w:noWrap/>
          </w:tcPr>
          <w:p w:rsidR="00C341F7" w:rsidRPr="00FF5AEB" w:rsidRDefault="00C341F7" w:rsidP="000410AC">
            <w:pPr>
              <w:rPr>
                <w:lang w:eastAsia="en-GB"/>
              </w:rPr>
            </w:pPr>
            <w:r w:rsidRPr="00FF5AEB">
              <w:rPr>
                <w:lang w:eastAsia="en-GB"/>
              </w:rPr>
              <w:t>73.53%</w:t>
            </w:r>
          </w:p>
        </w:tc>
        <w:tc>
          <w:tcPr>
            <w:tcW w:w="3571" w:type="dxa"/>
            <w:noWrap/>
          </w:tcPr>
          <w:p w:rsidR="00C341F7" w:rsidRPr="00FF5AEB" w:rsidRDefault="00C341F7" w:rsidP="000410AC">
            <w:pPr>
              <w:rPr>
                <w:lang w:eastAsia="en-GB"/>
              </w:rPr>
            </w:pPr>
            <w:r w:rsidRPr="00FF5AEB">
              <w:rPr>
                <w:lang w:eastAsia="en-GB"/>
              </w:rPr>
              <w:t>23.53%</w:t>
            </w:r>
          </w:p>
        </w:tc>
      </w:tr>
      <w:tr w:rsidR="00C341F7" w:rsidRPr="00FF5AEB" w:rsidTr="000410AC">
        <w:trPr>
          <w:trHeight w:val="322"/>
        </w:trPr>
        <w:tc>
          <w:tcPr>
            <w:tcW w:w="1616" w:type="dxa"/>
            <w:noWrap/>
            <w:hideMark/>
          </w:tcPr>
          <w:p w:rsidR="00C341F7" w:rsidRPr="000410AC" w:rsidRDefault="00C341F7" w:rsidP="000410AC">
            <w:pPr>
              <w:rPr>
                <w:b/>
                <w:lang w:eastAsia="en-GB"/>
              </w:rPr>
            </w:pPr>
            <w:r w:rsidRPr="000410AC">
              <w:rPr>
                <w:b/>
                <w:lang w:eastAsia="en-GB"/>
              </w:rPr>
              <w:t>Band 8B</w:t>
            </w:r>
          </w:p>
        </w:tc>
        <w:tc>
          <w:tcPr>
            <w:tcW w:w="1277" w:type="dxa"/>
            <w:noWrap/>
          </w:tcPr>
          <w:p w:rsidR="00C341F7" w:rsidRPr="00FF5AEB" w:rsidRDefault="00C341F7" w:rsidP="000410AC">
            <w:pPr>
              <w:rPr>
                <w:lang w:eastAsia="en-GB"/>
              </w:rPr>
            </w:pPr>
            <w:r w:rsidRPr="00FF5AEB">
              <w:rPr>
                <w:lang w:eastAsia="en-GB"/>
              </w:rPr>
              <w:t>1.89%</w:t>
            </w:r>
          </w:p>
        </w:tc>
        <w:tc>
          <w:tcPr>
            <w:tcW w:w="1976" w:type="dxa"/>
            <w:noWrap/>
          </w:tcPr>
          <w:p w:rsidR="00C341F7" w:rsidRPr="00FF5AEB" w:rsidRDefault="00C341F7" w:rsidP="000410AC">
            <w:pPr>
              <w:rPr>
                <w:lang w:eastAsia="en-GB"/>
              </w:rPr>
            </w:pPr>
            <w:r w:rsidRPr="00FF5AEB">
              <w:rPr>
                <w:lang w:eastAsia="en-GB"/>
              </w:rPr>
              <w:t>67.92%</w:t>
            </w:r>
          </w:p>
        </w:tc>
        <w:tc>
          <w:tcPr>
            <w:tcW w:w="3571" w:type="dxa"/>
            <w:noWrap/>
          </w:tcPr>
          <w:p w:rsidR="00C341F7" w:rsidRPr="00FF5AEB" w:rsidRDefault="00C341F7" w:rsidP="000410AC">
            <w:pPr>
              <w:rPr>
                <w:lang w:eastAsia="en-GB"/>
              </w:rPr>
            </w:pPr>
            <w:r w:rsidRPr="00FF5AEB">
              <w:rPr>
                <w:lang w:eastAsia="en-GB"/>
              </w:rPr>
              <w:t>30.19%</w:t>
            </w:r>
          </w:p>
        </w:tc>
      </w:tr>
      <w:tr w:rsidR="00C341F7" w:rsidRPr="00FF5AEB" w:rsidTr="000410AC">
        <w:trPr>
          <w:trHeight w:val="322"/>
        </w:trPr>
        <w:tc>
          <w:tcPr>
            <w:tcW w:w="1616" w:type="dxa"/>
            <w:noWrap/>
            <w:hideMark/>
          </w:tcPr>
          <w:p w:rsidR="00C341F7" w:rsidRPr="000410AC" w:rsidRDefault="00C341F7" w:rsidP="000410AC">
            <w:pPr>
              <w:rPr>
                <w:b/>
                <w:lang w:eastAsia="en-GB"/>
              </w:rPr>
            </w:pPr>
            <w:r w:rsidRPr="000410AC">
              <w:rPr>
                <w:b/>
                <w:lang w:eastAsia="en-GB"/>
              </w:rPr>
              <w:t>Band 8C</w:t>
            </w:r>
          </w:p>
        </w:tc>
        <w:tc>
          <w:tcPr>
            <w:tcW w:w="1277" w:type="dxa"/>
            <w:noWrap/>
          </w:tcPr>
          <w:p w:rsidR="00C341F7" w:rsidRPr="00FF5AEB" w:rsidRDefault="00C341F7" w:rsidP="000410AC">
            <w:pPr>
              <w:rPr>
                <w:lang w:eastAsia="en-GB"/>
              </w:rPr>
            </w:pPr>
            <w:r w:rsidRPr="00FF5AEB">
              <w:rPr>
                <w:lang w:eastAsia="en-GB"/>
              </w:rPr>
              <w:t>0.00%</w:t>
            </w:r>
          </w:p>
        </w:tc>
        <w:tc>
          <w:tcPr>
            <w:tcW w:w="1976" w:type="dxa"/>
            <w:noWrap/>
          </w:tcPr>
          <w:p w:rsidR="00C341F7" w:rsidRPr="00FF5AEB" w:rsidRDefault="00C341F7" w:rsidP="000410AC">
            <w:pPr>
              <w:rPr>
                <w:lang w:eastAsia="en-GB"/>
              </w:rPr>
            </w:pPr>
            <w:r w:rsidRPr="00FF5AEB">
              <w:rPr>
                <w:lang w:eastAsia="en-GB"/>
              </w:rPr>
              <w:t>50.00%</w:t>
            </w:r>
          </w:p>
        </w:tc>
        <w:tc>
          <w:tcPr>
            <w:tcW w:w="3571" w:type="dxa"/>
            <w:noWrap/>
          </w:tcPr>
          <w:p w:rsidR="00C341F7" w:rsidRPr="00FF5AEB" w:rsidRDefault="00C341F7" w:rsidP="000410AC">
            <w:pPr>
              <w:rPr>
                <w:lang w:eastAsia="en-GB"/>
              </w:rPr>
            </w:pPr>
            <w:r w:rsidRPr="00FF5AEB">
              <w:rPr>
                <w:lang w:eastAsia="en-GB"/>
              </w:rPr>
              <w:t>50.00%</w:t>
            </w:r>
          </w:p>
        </w:tc>
      </w:tr>
      <w:tr w:rsidR="00C341F7" w:rsidRPr="00FF5AEB" w:rsidTr="000410AC">
        <w:trPr>
          <w:trHeight w:val="322"/>
        </w:trPr>
        <w:tc>
          <w:tcPr>
            <w:tcW w:w="1616" w:type="dxa"/>
            <w:noWrap/>
            <w:hideMark/>
          </w:tcPr>
          <w:p w:rsidR="00C341F7" w:rsidRPr="000410AC" w:rsidRDefault="00C341F7" w:rsidP="000410AC">
            <w:pPr>
              <w:rPr>
                <w:b/>
                <w:lang w:eastAsia="en-GB"/>
              </w:rPr>
            </w:pPr>
            <w:r w:rsidRPr="000410AC">
              <w:rPr>
                <w:b/>
                <w:lang w:eastAsia="en-GB"/>
              </w:rPr>
              <w:t>Band 8D</w:t>
            </w:r>
          </w:p>
        </w:tc>
        <w:tc>
          <w:tcPr>
            <w:tcW w:w="1277" w:type="dxa"/>
            <w:noWrap/>
          </w:tcPr>
          <w:p w:rsidR="00C341F7" w:rsidRPr="00FF5AEB" w:rsidRDefault="00C341F7" w:rsidP="000410AC">
            <w:pPr>
              <w:rPr>
                <w:lang w:eastAsia="en-GB"/>
              </w:rPr>
            </w:pPr>
            <w:r w:rsidRPr="00FF5AEB">
              <w:rPr>
                <w:lang w:eastAsia="en-GB"/>
              </w:rPr>
              <w:t>0.00%</w:t>
            </w:r>
          </w:p>
        </w:tc>
        <w:tc>
          <w:tcPr>
            <w:tcW w:w="1976" w:type="dxa"/>
            <w:noWrap/>
          </w:tcPr>
          <w:p w:rsidR="00C341F7" w:rsidRPr="00FF5AEB" w:rsidRDefault="00C341F7" w:rsidP="000410AC">
            <w:pPr>
              <w:rPr>
                <w:lang w:eastAsia="en-GB"/>
              </w:rPr>
            </w:pPr>
            <w:r w:rsidRPr="00FF5AEB">
              <w:rPr>
                <w:lang w:eastAsia="en-GB"/>
              </w:rPr>
              <w:t>64.71%</w:t>
            </w:r>
          </w:p>
        </w:tc>
        <w:tc>
          <w:tcPr>
            <w:tcW w:w="3571" w:type="dxa"/>
            <w:noWrap/>
          </w:tcPr>
          <w:p w:rsidR="00C341F7" w:rsidRPr="00FF5AEB" w:rsidRDefault="00C341F7" w:rsidP="000410AC">
            <w:pPr>
              <w:rPr>
                <w:lang w:eastAsia="en-GB"/>
              </w:rPr>
            </w:pPr>
            <w:r w:rsidRPr="00FF5AEB">
              <w:rPr>
                <w:lang w:eastAsia="en-GB"/>
              </w:rPr>
              <w:t>35.29%</w:t>
            </w:r>
          </w:p>
        </w:tc>
      </w:tr>
      <w:tr w:rsidR="00C341F7" w:rsidRPr="00FF5AEB" w:rsidTr="000410AC">
        <w:trPr>
          <w:trHeight w:val="322"/>
        </w:trPr>
        <w:tc>
          <w:tcPr>
            <w:tcW w:w="1616" w:type="dxa"/>
            <w:noWrap/>
            <w:hideMark/>
          </w:tcPr>
          <w:p w:rsidR="00C341F7" w:rsidRPr="000410AC" w:rsidRDefault="00C341F7" w:rsidP="000410AC">
            <w:pPr>
              <w:rPr>
                <w:b/>
                <w:lang w:eastAsia="en-GB"/>
              </w:rPr>
            </w:pPr>
            <w:r w:rsidRPr="000410AC">
              <w:rPr>
                <w:b/>
                <w:lang w:eastAsia="en-GB"/>
              </w:rPr>
              <w:t>Band 9</w:t>
            </w:r>
          </w:p>
        </w:tc>
        <w:tc>
          <w:tcPr>
            <w:tcW w:w="1277" w:type="dxa"/>
            <w:noWrap/>
          </w:tcPr>
          <w:p w:rsidR="00C341F7" w:rsidRPr="00FF5AEB" w:rsidRDefault="00C341F7" w:rsidP="000410AC">
            <w:pPr>
              <w:rPr>
                <w:lang w:eastAsia="en-GB"/>
              </w:rPr>
            </w:pPr>
            <w:r w:rsidRPr="00FF5AEB">
              <w:rPr>
                <w:lang w:eastAsia="en-GB"/>
              </w:rPr>
              <w:t>0.00%</w:t>
            </w:r>
          </w:p>
        </w:tc>
        <w:tc>
          <w:tcPr>
            <w:tcW w:w="1976" w:type="dxa"/>
            <w:noWrap/>
          </w:tcPr>
          <w:p w:rsidR="00C341F7" w:rsidRPr="00FF5AEB" w:rsidRDefault="00C341F7" w:rsidP="000410AC">
            <w:pPr>
              <w:rPr>
                <w:lang w:eastAsia="en-GB"/>
              </w:rPr>
            </w:pPr>
            <w:r w:rsidRPr="00FF5AEB">
              <w:rPr>
                <w:lang w:eastAsia="en-GB"/>
              </w:rPr>
              <w:t>0.00%</w:t>
            </w:r>
          </w:p>
        </w:tc>
        <w:tc>
          <w:tcPr>
            <w:tcW w:w="3571" w:type="dxa"/>
            <w:noWrap/>
          </w:tcPr>
          <w:p w:rsidR="00C341F7" w:rsidRPr="00FF5AEB" w:rsidRDefault="00C341F7" w:rsidP="000410AC">
            <w:pPr>
              <w:rPr>
                <w:lang w:eastAsia="en-GB"/>
              </w:rPr>
            </w:pPr>
            <w:r w:rsidRPr="00FF5AEB">
              <w:rPr>
                <w:lang w:eastAsia="en-GB"/>
              </w:rPr>
              <w:t>0.00%</w:t>
            </w:r>
          </w:p>
        </w:tc>
      </w:tr>
      <w:tr w:rsidR="00C341F7" w:rsidRPr="00FF5AEB" w:rsidTr="000410AC">
        <w:trPr>
          <w:trHeight w:val="322"/>
        </w:trPr>
        <w:tc>
          <w:tcPr>
            <w:tcW w:w="1616" w:type="dxa"/>
            <w:noWrap/>
            <w:hideMark/>
          </w:tcPr>
          <w:p w:rsidR="00C341F7" w:rsidRPr="000410AC" w:rsidRDefault="00C341F7" w:rsidP="000410AC">
            <w:pPr>
              <w:rPr>
                <w:b/>
                <w:lang w:eastAsia="en-GB"/>
              </w:rPr>
            </w:pPr>
            <w:r w:rsidRPr="000410AC">
              <w:rPr>
                <w:b/>
                <w:lang w:eastAsia="en-GB"/>
              </w:rPr>
              <w:t>VSM</w:t>
            </w:r>
          </w:p>
        </w:tc>
        <w:tc>
          <w:tcPr>
            <w:tcW w:w="1277" w:type="dxa"/>
            <w:noWrap/>
          </w:tcPr>
          <w:p w:rsidR="00C341F7" w:rsidRPr="00FF5AEB" w:rsidRDefault="00C341F7" w:rsidP="000410AC">
            <w:pPr>
              <w:rPr>
                <w:lang w:eastAsia="en-GB"/>
              </w:rPr>
            </w:pPr>
            <w:r w:rsidRPr="00FF5AEB">
              <w:rPr>
                <w:lang w:eastAsia="en-GB"/>
              </w:rPr>
              <w:t>4.35%</w:t>
            </w:r>
          </w:p>
        </w:tc>
        <w:tc>
          <w:tcPr>
            <w:tcW w:w="1976" w:type="dxa"/>
            <w:noWrap/>
          </w:tcPr>
          <w:p w:rsidR="00C341F7" w:rsidRPr="00FF5AEB" w:rsidRDefault="00C341F7" w:rsidP="000410AC">
            <w:pPr>
              <w:rPr>
                <w:lang w:eastAsia="en-GB"/>
              </w:rPr>
            </w:pPr>
            <w:r w:rsidRPr="00FF5AEB">
              <w:rPr>
                <w:lang w:eastAsia="en-GB"/>
              </w:rPr>
              <w:t>65.22%</w:t>
            </w:r>
          </w:p>
        </w:tc>
        <w:tc>
          <w:tcPr>
            <w:tcW w:w="3571" w:type="dxa"/>
            <w:noWrap/>
          </w:tcPr>
          <w:p w:rsidR="00C341F7" w:rsidRPr="00FF5AEB" w:rsidRDefault="00C341F7" w:rsidP="000410AC">
            <w:pPr>
              <w:rPr>
                <w:lang w:eastAsia="en-GB"/>
              </w:rPr>
            </w:pPr>
            <w:r w:rsidRPr="00FF5AEB">
              <w:rPr>
                <w:lang w:eastAsia="en-GB"/>
              </w:rPr>
              <w:t>30.43%</w:t>
            </w:r>
          </w:p>
        </w:tc>
      </w:tr>
      <w:tr w:rsidR="00C341F7" w:rsidRPr="00FF5AEB" w:rsidTr="000410AC">
        <w:trPr>
          <w:trHeight w:val="322"/>
        </w:trPr>
        <w:tc>
          <w:tcPr>
            <w:tcW w:w="1616" w:type="dxa"/>
            <w:noWrap/>
            <w:hideMark/>
          </w:tcPr>
          <w:p w:rsidR="00C341F7" w:rsidRPr="000410AC" w:rsidRDefault="00C341F7" w:rsidP="000410AC">
            <w:pPr>
              <w:rPr>
                <w:b/>
                <w:lang w:eastAsia="en-GB"/>
              </w:rPr>
            </w:pPr>
            <w:r w:rsidRPr="000410AC">
              <w:rPr>
                <w:b/>
                <w:lang w:eastAsia="en-GB"/>
              </w:rPr>
              <w:t>Other</w:t>
            </w:r>
          </w:p>
        </w:tc>
        <w:tc>
          <w:tcPr>
            <w:tcW w:w="1277" w:type="dxa"/>
            <w:noWrap/>
          </w:tcPr>
          <w:p w:rsidR="00C341F7" w:rsidRPr="00FF5AEB" w:rsidRDefault="00C341F7" w:rsidP="000410AC">
            <w:pPr>
              <w:rPr>
                <w:lang w:eastAsia="en-GB"/>
              </w:rPr>
            </w:pPr>
            <w:r w:rsidRPr="00FF5AEB">
              <w:rPr>
                <w:lang w:eastAsia="en-GB"/>
              </w:rPr>
              <w:t>0.00%</w:t>
            </w:r>
          </w:p>
        </w:tc>
        <w:tc>
          <w:tcPr>
            <w:tcW w:w="1976" w:type="dxa"/>
            <w:noWrap/>
          </w:tcPr>
          <w:p w:rsidR="00C341F7" w:rsidRPr="00FF5AEB" w:rsidRDefault="00C341F7" w:rsidP="000410AC">
            <w:pPr>
              <w:rPr>
                <w:lang w:eastAsia="en-GB"/>
              </w:rPr>
            </w:pPr>
            <w:r w:rsidRPr="00FF5AEB">
              <w:rPr>
                <w:lang w:eastAsia="en-GB"/>
              </w:rPr>
              <w:t>0.00%</w:t>
            </w:r>
          </w:p>
        </w:tc>
        <w:tc>
          <w:tcPr>
            <w:tcW w:w="3571" w:type="dxa"/>
          </w:tcPr>
          <w:p w:rsidR="00C341F7" w:rsidRPr="00FF5AEB" w:rsidRDefault="00C341F7" w:rsidP="000410AC">
            <w:pPr>
              <w:rPr>
                <w:lang w:eastAsia="en-GB"/>
              </w:rPr>
            </w:pPr>
            <w:r w:rsidRPr="00FF5AEB">
              <w:rPr>
                <w:lang w:eastAsia="en-GB"/>
              </w:rPr>
              <w:t>0.00%</w:t>
            </w:r>
          </w:p>
        </w:tc>
      </w:tr>
    </w:tbl>
    <w:p w:rsidR="000410AC" w:rsidRDefault="000410AC" w:rsidP="000410AC">
      <w:pPr>
        <w:pStyle w:val="Style1"/>
        <w:ind w:left="0"/>
      </w:pPr>
    </w:p>
    <w:p w:rsidR="007A78BC" w:rsidRDefault="00E768A9" w:rsidP="000410AC">
      <w:pPr>
        <w:pStyle w:val="Style1"/>
        <w:ind w:left="0"/>
      </w:pPr>
      <w:r>
        <w:rPr>
          <w:noProof/>
        </w:rPr>
        <w:lastRenderedPageBreak/>
        <w:drawing>
          <wp:inline distT="0" distB="0" distL="0" distR="0" wp14:anchorId="4FCE2DF8" wp14:editId="33C6633A">
            <wp:extent cx="5316279" cy="3444949"/>
            <wp:effectExtent l="0" t="0" r="17780" b="3175"/>
            <wp:docPr id="5" name="Chart 5" descr="Bar chart representation of percentage of disabled staff in AfC paybands for non-clinical staff"/>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78BC" w:rsidRDefault="007A78BC" w:rsidP="000410AC">
      <w:pPr>
        <w:pStyle w:val="Style1"/>
        <w:ind w:left="0"/>
      </w:pPr>
    </w:p>
    <w:p w:rsidR="007A78BC" w:rsidRDefault="007A78BC" w:rsidP="00DF7C89">
      <w:pPr>
        <w:pStyle w:val="Heading3"/>
      </w:pPr>
      <w:r>
        <w:t>Percentage of staff in AfC paybands (Clinical Staff)</w:t>
      </w:r>
    </w:p>
    <w:p w:rsidR="007A78BC" w:rsidRDefault="007A78BC" w:rsidP="00DF7C89">
      <w:pPr>
        <w:pStyle w:val="Style1"/>
      </w:pPr>
    </w:p>
    <w:tbl>
      <w:tblPr>
        <w:tblStyle w:val="TableGrid"/>
        <w:tblW w:w="7901" w:type="dxa"/>
        <w:tblLook w:val="06A0" w:firstRow="1" w:lastRow="0" w:firstColumn="1" w:lastColumn="0" w:noHBand="1" w:noVBand="1"/>
      </w:tblPr>
      <w:tblGrid>
        <w:gridCol w:w="2547"/>
        <w:gridCol w:w="1217"/>
        <w:gridCol w:w="1722"/>
        <w:gridCol w:w="3261"/>
      </w:tblGrid>
      <w:tr w:rsidR="00CE483C" w:rsidRPr="00CE483C" w:rsidTr="000410AC">
        <w:trPr>
          <w:trHeight w:val="300"/>
        </w:trPr>
        <w:tc>
          <w:tcPr>
            <w:tcW w:w="2547" w:type="dxa"/>
            <w:noWrap/>
            <w:hideMark/>
          </w:tcPr>
          <w:p w:rsidR="00CE483C" w:rsidRPr="000410AC" w:rsidRDefault="00CE483C" w:rsidP="000410AC">
            <w:pPr>
              <w:rPr>
                <w:b/>
                <w:lang w:eastAsia="en-GB"/>
              </w:rPr>
            </w:pPr>
            <w:r w:rsidRPr="000410AC">
              <w:rPr>
                <w:b/>
                <w:lang w:eastAsia="en-GB"/>
              </w:rPr>
              <w:t> </w:t>
            </w:r>
          </w:p>
        </w:tc>
        <w:tc>
          <w:tcPr>
            <w:tcW w:w="371" w:type="dxa"/>
            <w:noWrap/>
            <w:hideMark/>
          </w:tcPr>
          <w:p w:rsidR="00CE483C" w:rsidRPr="000410AC" w:rsidRDefault="00CE483C" w:rsidP="000410AC">
            <w:pPr>
              <w:rPr>
                <w:b/>
                <w:lang w:eastAsia="en-GB"/>
              </w:rPr>
            </w:pPr>
            <w:r w:rsidRPr="000410AC">
              <w:rPr>
                <w:b/>
                <w:lang w:eastAsia="en-GB"/>
              </w:rPr>
              <w:t>D</w:t>
            </w:r>
            <w:r w:rsidR="000410AC" w:rsidRPr="000410AC">
              <w:rPr>
                <w:b/>
                <w:lang w:eastAsia="en-GB"/>
              </w:rPr>
              <w:t>isabled</w:t>
            </w:r>
          </w:p>
        </w:tc>
        <w:tc>
          <w:tcPr>
            <w:tcW w:w="1722" w:type="dxa"/>
            <w:noWrap/>
            <w:hideMark/>
          </w:tcPr>
          <w:p w:rsidR="00CE483C" w:rsidRPr="000410AC" w:rsidRDefault="000410AC" w:rsidP="000410AC">
            <w:pPr>
              <w:rPr>
                <w:b/>
                <w:lang w:eastAsia="en-GB"/>
              </w:rPr>
            </w:pPr>
            <w:r w:rsidRPr="000410AC">
              <w:rPr>
                <w:b/>
                <w:lang w:eastAsia="en-GB"/>
              </w:rPr>
              <w:t>Non-disabled</w:t>
            </w:r>
          </w:p>
        </w:tc>
        <w:tc>
          <w:tcPr>
            <w:tcW w:w="3261" w:type="dxa"/>
            <w:noWrap/>
            <w:hideMark/>
          </w:tcPr>
          <w:p w:rsidR="00CE483C" w:rsidRPr="000410AC" w:rsidRDefault="000410AC" w:rsidP="000410AC">
            <w:pPr>
              <w:rPr>
                <w:b/>
                <w:lang w:eastAsia="en-GB"/>
              </w:rPr>
            </w:pPr>
            <w:r w:rsidRPr="000410AC">
              <w:rPr>
                <w:b/>
                <w:lang w:eastAsia="en-GB"/>
              </w:rPr>
              <w:t>Disability unknown or null</w:t>
            </w:r>
          </w:p>
        </w:tc>
      </w:tr>
      <w:tr w:rsidR="00CE483C" w:rsidRPr="00CE483C" w:rsidTr="000410AC">
        <w:trPr>
          <w:trHeight w:val="300"/>
        </w:trPr>
        <w:tc>
          <w:tcPr>
            <w:tcW w:w="2547" w:type="dxa"/>
            <w:noWrap/>
            <w:hideMark/>
          </w:tcPr>
          <w:p w:rsidR="00CE483C" w:rsidRPr="000410AC" w:rsidRDefault="00CE483C" w:rsidP="000410AC">
            <w:pPr>
              <w:rPr>
                <w:b/>
                <w:lang w:eastAsia="en-GB"/>
              </w:rPr>
            </w:pPr>
            <w:r w:rsidRPr="000410AC">
              <w:rPr>
                <w:b/>
                <w:lang w:eastAsia="en-GB"/>
              </w:rPr>
              <w:t>Under Band 1</w:t>
            </w:r>
          </w:p>
        </w:tc>
        <w:tc>
          <w:tcPr>
            <w:tcW w:w="371" w:type="dxa"/>
            <w:noWrap/>
            <w:hideMark/>
          </w:tcPr>
          <w:p w:rsidR="00CE483C" w:rsidRPr="00CE483C" w:rsidRDefault="00CE483C" w:rsidP="000410AC">
            <w:pPr>
              <w:rPr>
                <w:lang w:eastAsia="en-GB"/>
              </w:rPr>
            </w:pPr>
            <w:r w:rsidRPr="00CE483C">
              <w:rPr>
                <w:lang w:eastAsia="en-GB"/>
              </w:rPr>
              <w:t>0.00%</w:t>
            </w:r>
          </w:p>
        </w:tc>
        <w:tc>
          <w:tcPr>
            <w:tcW w:w="1722" w:type="dxa"/>
            <w:noWrap/>
            <w:hideMark/>
          </w:tcPr>
          <w:p w:rsidR="00CE483C" w:rsidRPr="00CE483C" w:rsidRDefault="00CE483C" w:rsidP="000410AC">
            <w:pPr>
              <w:rPr>
                <w:lang w:eastAsia="en-GB"/>
              </w:rPr>
            </w:pPr>
            <w:r w:rsidRPr="00CE483C">
              <w:rPr>
                <w:lang w:eastAsia="en-GB"/>
              </w:rPr>
              <w:t>37.50%</w:t>
            </w:r>
          </w:p>
        </w:tc>
        <w:tc>
          <w:tcPr>
            <w:tcW w:w="3261" w:type="dxa"/>
            <w:noWrap/>
            <w:hideMark/>
          </w:tcPr>
          <w:p w:rsidR="00CE483C" w:rsidRPr="00CE483C" w:rsidRDefault="00CE483C" w:rsidP="000410AC">
            <w:pPr>
              <w:rPr>
                <w:lang w:eastAsia="en-GB"/>
              </w:rPr>
            </w:pPr>
            <w:r w:rsidRPr="00CE483C">
              <w:rPr>
                <w:lang w:eastAsia="en-GB"/>
              </w:rPr>
              <w:t>62.50%</w:t>
            </w:r>
          </w:p>
        </w:tc>
      </w:tr>
      <w:tr w:rsidR="00CE483C" w:rsidRPr="00CE483C" w:rsidTr="000410AC">
        <w:trPr>
          <w:trHeight w:val="300"/>
        </w:trPr>
        <w:tc>
          <w:tcPr>
            <w:tcW w:w="2547" w:type="dxa"/>
            <w:noWrap/>
            <w:hideMark/>
          </w:tcPr>
          <w:p w:rsidR="00CE483C" w:rsidRPr="000410AC" w:rsidRDefault="00CE483C" w:rsidP="000410AC">
            <w:pPr>
              <w:rPr>
                <w:b/>
                <w:lang w:eastAsia="en-GB"/>
              </w:rPr>
            </w:pPr>
            <w:r w:rsidRPr="000410AC">
              <w:rPr>
                <w:b/>
                <w:lang w:eastAsia="en-GB"/>
              </w:rPr>
              <w:t>Band 1</w:t>
            </w:r>
          </w:p>
        </w:tc>
        <w:tc>
          <w:tcPr>
            <w:tcW w:w="371" w:type="dxa"/>
            <w:noWrap/>
            <w:hideMark/>
          </w:tcPr>
          <w:p w:rsidR="00CE483C" w:rsidRPr="00CE483C" w:rsidRDefault="00CE483C" w:rsidP="000410AC">
            <w:pPr>
              <w:rPr>
                <w:lang w:eastAsia="en-GB"/>
              </w:rPr>
            </w:pPr>
            <w:r w:rsidRPr="00CE483C">
              <w:rPr>
                <w:lang w:eastAsia="en-GB"/>
              </w:rPr>
              <w:t>0.00%</w:t>
            </w:r>
          </w:p>
        </w:tc>
        <w:tc>
          <w:tcPr>
            <w:tcW w:w="1722" w:type="dxa"/>
            <w:noWrap/>
            <w:hideMark/>
          </w:tcPr>
          <w:p w:rsidR="00CE483C" w:rsidRPr="00CE483C" w:rsidRDefault="00CE483C" w:rsidP="000410AC">
            <w:pPr>
              <w:rPr>
                <w:lang w:eastAsia="en-GB"/>
              </w:rPr>
            </w:pPr>
            <w:r w:rsidRPr="00CE483C">
              <w:rPr>
                <w:lang w:eastAsia="en-GB"/>
              </w:rPr>
              <w:t>0.00%</w:t>
            </w:r>
          </w:p>
        </w:tc>
        <w:tc>
          <w:tcPr>
            <w:tcW w:w="3261" w:type="dxa"/>
            <w:noWrap/>
            <w:hideMark/>
          </w:tcPr>
          <w:p w:rsidR="00CE483C" w:rsidRPr="00CE483C" w:rsidRDefault="00CE483C" w:rsidP="000410AC">
            <w:pPr>
              <w:rPr>
                <w:lang w:eastAsia="en-GB"/>
              </w:rPr>
            </w:pPr>
            <w:r w:rsidRPr="00CE483C">
              <w:rPr>
                <w:lang w:eastAsia="en-GB"/>
              </w:rPr>
              <w:t>0.00%</w:t>
            </w:r>
          </w:p>
        </w:tc>
      </w:tr>
      <w:tr w:rsidR="00CE483C" w:rsidRPr="00CE483C" w:rsidTr="000410AC">
        <w:trPr>
          <w:trHeight w:val="300"/>
        </w:trPr>
        <w:tc>
          <w:tcPr>
            <w:tcW w:w="2547" w:type="dxa"/>
            <w:noWrap/>
            <w:hideMark/>
          </w:tcPr>
          <w:p w:rsidR="00CE483C" w:rsidRPr="000410AC" w:rsidRDefault="00CE483C" w:rsidP="000410AC">
            <w:pPr>
              <w:rPr>
                <w:b/>
                <w:lang w:eastAsia="en-GB"/>
              </w:rPr>
            </w:pPr>
            <w:r w:rsidRPr="000410AC">
              <w:rPr>
                <w:b/>
                <w:lang w:eastAsia="en-GB"/>
              </w:rPr>
              <w:t>Band 2</w:t>
            </w:r>
          </w:p>
        </w:tc>
        <w:tc>
          <w:tcPr>
            <w:tcW w:w="371" w:type="dxa"/>
            <w:noWrap/>
            <w:hideMark/>
          </w:tcPr>
          <w:p w:rsidR="00CE483C" w:rsidRPr="00CE483C" w:rsidRDefault="00CE483C" w:rsidP="000410AC">
            <w:pPr>
              <w:rPr>
                <w:lang w:eastAsia="en-GB"/>
              </w:rPr>
            </w:pPr>
            <w:r w:rsidRPr="00CE483C">
              <w:rPr>
                <w:lang w:eastAsia="en-GB"/>
              </w:rPr>
              <w:t>2.52%</w:t>
            </w:r>
          </w:p>
        </w:tc>
        <w:tc>
          <w:tcPr>
            <w:tcW w:w="1722" w:type="dxa"/>
            <w:noWrap/>
            <w:hideMark/>
          </w:tcPr>
          <w:p w:rsidR="00CE483C" w:rsidRPr="00CE483C" w:rsidRDefault="00CE483C" w:rsidP="000410AC">
            <w:pPr>
              <w:rPr>
                <w:lang w:eastAsia="en-GB"/>
              </w:rPr>
            </w:pPr>
            <w:r w:rsidRPr="00CE483C">
              <w:rPr>
                <w:lang w:eastAsia="en-GB"/>
              </w:rPr>
              <w:t>64.63%</w:t>
            </w:r>
          </w:p>
        </w:tc>
        <w:tc>
          <w:tcPr>
            <w:tcW w:w="3261" w:type="dxa"/>
            <w:noWrap/>
            <w:hideMark/>
          </w:tcPr>
          <w:p w:rsidR="00CE483C" w:rsidRPr="00CE483C" w:rsidRDefault="00CE483C" w:rsidP="000410AC">
            <w:pPr>
              <w:rPr>
                <w:lang w:eastAsia="en-GB"/>
              </w:rPr>
            </w:pPr>
            <w:r w:rsidRPr="00CE483C">
              <w:rPr>
                <w:lang w:eastAsia="en-GB"/>
              </w:rPr>
              <w:t>32.85%</w:t>
            </w:r>
          </w:p>
        </w:tc>
      </w:tr>
      <w:tr w:rsidR="00CE483C" w:rsidRPr="00CE483C" w:rsidTr="000410AC">
        <w:trPr>
          <w:trHeight w:val="300"/>
        </w:trPr>
        <w:tc>
          <w:tcPr>
            <w:tcW w:w="2547" w:type="dxa"/>
            <w:noWrap/>
            <w:hideMark/>
          </w:tcPr>
          <w:p w:rsidR="00CE483C" w:rsidRPr="000410AC" w:rsidRDefault="00CE483C" w:rsidP="000410AC">
            <w:pPr>
              <w:rPr>
                <w:b/>
                <w:lang w:eastAsia="en-GB"/>
              </w:rPr>
            </w:pPr>
            <w:r w:rsidRPr="000410AC">
              <w:rPr>
                <w:b/>
                <w:lang w:eastAsia="en-GB"/>
              </w:rPr>
              <w:t>Band 3</w:t>
            </w:r>
          </w:p>
        </w:tc>
        <w:tc>
          <w:tcPr>
            <w:tcW w:w="371" w:type="dxa"/>
            <w:noWrap/>
            <w:hideMark/>
          </w:tcPr>
          <w:p w:rsidR="00CE483C" w:rsidRPr="00CE483C" w:rsidRDefault="00CE483C" w:rsidP="000410AC">
            <w:pPr>
              <w:rPr>
                <w:lang w:eastAsia="en-GB"/>
              </w:rPr>
            </w:pPr>
            <w:r w:rsidRPr="00CE483C">
              <w:rPr>
                <w:lang w:eastAsia="en-GB"/>
              </w:rPr>
              <w:t>5.07%</w:t>
            </w:r>
          </w:p>
        </w:tc>
        <w:tc>
          <w:tcPr>
            <w:tcW w:w="1722" w:type="dxa"/>
            <w:noWrap/>
            <w:hideMark/>
          </w:tcPr>
          <w:p w:rsidR="00CE483C" w:rsidRPr="00CE483C" w:rsidRDefault="00CE483C" w:rsidP="000410AC">
            <w:pPr>
              <w:rPr>
                <w:lang w:eastAsia="en-GB"/>
              </w:rPr>
            </w:pPr>
            <w:r w:rsidRPr="00CE483C">
              <w:rPr>
                <w:lang w:eastAsia="en-GB"/>
              </w:rPr>
              <w:t>68.06%</w:t>
            </w:r>
          </w:p>
        </w:tc>
        <w:tc>
          <w:tcPr>
            <w:tcW w:w="3261" w:type="dxa"/>
            <w:noWrap/>
            <w:hideMark/>
          </w:tcPr>
          <w:p w:rsidR="00CE483C" w:rsidRPr="00CE483C" w:rsidRDefault="00CE483C" w:rsidP="000410AC">
            <w:pPr>
              <w:rPr>
                <w:lang w:eastAsia="en-GB"/>
              </w:rPr>
            </w:pPr>
            <w:r w:rsidRPr="00CE483C">
              <w:rPr>
                <w:lang w:eastAsia="en-GB"/>
              </w:rPr>
              <w:t>26.87%</w:t>
            </w:r>
          </w:p>
        </w:tc>
      </w:tr>
      <w:tr w:rsidR="00CE483C" w:rsidRPr="00CE483C" w:rsidTr="000410AC">
        <w:trPr>
          <w:trHeight w:val="300"/>
        </w:trPr>
        <w:tc>
          <w:tcPr>
            <w:tcW w:w="2547" w:type="dxa"/>
            <w:noWrap/>
            <w:hideMark/>
          </w:tcPr>
          <w:p w:rsidR="00CE483C" w:rsidRPr="000410AC" w:rsidRDefault="00CE483C" w:rsidP="000410AC">
            <w:pPr>
              <w:rPr>
                <w:b/>
                <w:lang w:eastAsia="en-GB"/>
              </w:rPr>
            </w:pPr>
            <w:r w:rsidRPr="000410AC">
              <w:rPr>
                <w:b/>
                <w:lang w:eastAsia="en-GB"/>
              </w:rPr>
              <w:t>Band 4</w:t>
            </w:r>
          </w:p>
        </w:tc>
        <w:tc>
          <w:tcPr>
            <w:tcW w:w="371" w:type="dxa"/>
            <w:noWrap/>
            <w:hideMark/>
          </w:tcPr>
          <w:p w:rsidR="00CE483C" w:rsidRPr="00CE483C" w:rsidRDefault="00CE483C" w:rsidP="000410AC">
            <w:pPr>
              <w:rPr>
                <w:lang w:eastAsia="en-GB"/>
              </w:rPr>
            </w:pPr>
            <w:r w:rsidRPr="00CE483C">
              <w:rPr>
                <w:lang w:eastAsia="en-GB"/>
              </w:rPr>
              <w:t>3.24%</w:t>
            </w:r>
          </w:p>
        </w:tc>
        <w:tc>
          <w:tcPr>
            <w:tcW w:w="1722" w:type="dxa"/>
            <w:noWrap/>
            <w:hideMark/>
          </w:tcPr>
          <w:p w:rsidR="00CE483C" w:rsidRPr="00CE483C" w:rsidRDefault="00CE483C" w:rsidP="000410AC">
            <w:pPr>
              <w:rPr>
                <w:lang w:eastAsia="en-GB"/>
              </w:rPr>
            </w:pPr>
            <w:r w:rsidRPr="00CE483C">
              <w:rPr>
                <w:lang w:eastAsia="en-GB"/>
              </w:rPr>
              <w:t>60.00%</w:t>
            </w:r>
          </w:p>
        </w:tc>
        <w:tc>
          <w:tcPr>
            <w:tcW w:w="3261" w:type="dxa"/>
            <w:noWrap/>
            <w:hideMark/>
          </w:tcPr>
          <w:p w:rsidR="00CE483C" w:rsidRPr="00CE483C" w:rsidRDefault="00CE483C" w:rsidP="000410AC">
            <w:pPr>
              <w:rPr>
                <w:lang w:eastAsia="en-GB"/>
              </w:rPr>
            </w:pPr>
            <w:r w:rsidRPr="00CE483C">
              <w:rPr>
                <w:lang w:eastAsia="en-GB"/>
              </w:rPr>
              <w:t>36.76%</w:t>
            </w:r>
          </w:p>
        </w:tc>
      </w:tr>
      <w:tr w:rsidR="00CE483C" w:rsidRPr="00CE483C" w:rsidTr="000410AC">
        <w:trPr>
          <w:trHeight w:val="300"/>
        </w:trPr>
        <w:tc>
          <w:tcPr>
            <w:tcW w:w="2547" w:type="dxa"/>
            <w:noWrap/>
            <w:hideMark/>
          </w:tcPr>
          <w:p w:rsidR="00CE483C" w:rsidRPr="000410AC" w:rsidRDefault="00CE483C" w:rsidP="000410AC">
            <w:pPr>
              <w:rPr>
                <w:b/>
                <w:lang w:eastAsia="en-GB"/>
              </w:rPr>
            </w:pPr>
            <w:r w:rsidRPr="000410AC">
              <w:rPr>
                <w:b/>
                <w:lang w:eastAsia="en-GB"/>
              </w:rPr>
              <w:t>Band 5</w:t>
            </w:r>
          </w:p>
        </w:tc>
        <w:tc>
          <w:tcPr>
            <w:tcW w:w="371" w:type="dxa"/>
            <w:noWrap/>
            <w:hideMark/>
          </w:tcPr>
          <w:p w:rsidR="00CE483C" w:rsidRPr="00CE483C" w:rsidRDefault="00CE483C" w:rsidP="000410AC">
            <w:pPr>
              <w:rPr>
                <w:lang w:eastAsia="en-GB"/>
              </w:rPr>
            </w:pPr>
            <w:r w:rsidRPr="00CE483C">
              <w:rPr>
                <w:lang w:eastAsia="en-GB"/>
              </w:rPr>
              <w:t>3.77%</w:t>
            </w:r>
          </w:p>
        </w:tc>
        <w:tc>
          <w:tcPr>
            <w:tcW w:w="1722" w:type="dxa"/>
            <w:noWrap/>
            <w:hideMark/>
          </w:tcPr>
          <w:p w:rsidR="00CE483C" w:rsidRPr="00CE483C" w:rsidRDefault="00CE483C" w:rsidP="000410AC">
            <w:pPr>
              <w:rPr>
                <w:lang w:eastAsia="en-GB"/>
              </w:rPr>
            </w:pPr>
            <w:r w:rsidRPr="00CE483C">
              <w:rPr>
                <w:lang w:eastAsia="en-GB"/>
              </w:rPr>
              <w:t>65.16%</w:t>
            </w:r>
          </w:p>
        </w:tc>
        <w:tc>
          <w:tcPr>
            <w:tcW w:w="3261" w:type="dxa"/>
            <w:noWrap/>
            <w:hideMark/>
          </w:tcPr>
          <w:p w:rsidR="00CE483C" w:rsidRPr="00CE483C" w:rsidRDefault="00CE483C" w:rsidP="000410AC">
            <w:pPr>
              <w:rPr>
                <w:lang w:eastAsia="en-GB"/>
              </w:rPr>
            </w:pPr>
            <w:r w:rsidRPr="00CE483C">
              <w:rPr>
                <w:lang w:eastAsia="en-GB"/>
              </w:rPr>
              <w:t>31.07%</w:t>
            </w:r>
          </w:p>
        </w:tc>
      </w:tr>
      <w:tr w:rsidR="00CE483C" w:rsidRPr="00CE483C" w:rsidTr="000410AC">
        <w:trPr>
          <w:trHeight w:val="300"/>
        </w:trPr>
        <w:tc>
          <w:tcPr>
            <w:tcW w:w="2547" w:type="dxa"/>
            <w:noWrap/>
            <w:hideMark/>
          </w:tcPr>
          <w:p w:rsidR="00CE483C" w:rsidRPr="000410AC" w:rsidRDefault="00CE483C" w:rsidP="000410AC">
            <w:pPr>
              <w:rPr>
                <w:b/>
                <w:lang w:eastAsia="en-GB"/>
              </w:rPr>
            </w:pPr>
            <w:r w:rsidRPr="000410AC">
              <w:rPr>
                <w:b/>
                <w:lang w:eastAsia="en-GB"/>
              </w:rPr>
              <w:t>Band 6</w:t>
            </w:r>
          </w:p>
        </w:tc>
        <w:tc>
          <w:tcPr>
            <w:tcW w:w="371" w:type="dxa"/>
            <w:noWrap/>
            <w:hideMark/>
          </w:tcPr>
          <w:p w:rsidR="00CE483C" w:rsidRPr="00CE483C" w:rsidRDefault="00CE483C" w:rsidP="000410AC">
            <w:pPr>
              <w:rPr>
                <w:lang w:eastAsia="en-GB"/>
              </w:rPr>
            </w:pPr>
            <w:r w:rsidRPr="00CE483C">
              <w:rPr>
                <w:lang w:eastAsia="en-GB"/>
              </w:rPr>
              <w:t>4.49%</w:t>
            </w:r>
          </w:p>
        </w:tc>
        <w:tc>
          <w:tcPr>
            <w:tcW w:w="1722" w:type="dxa"/>
            <w:noWrap/>
            <w:hideMark/>
          </w:tcPr>
          <w:p w:rsidR="00CE483C" w:rsidRPr="00CE483C" w:rsidRDefault="00CE483C" w:rsidP="000410AC">
            <w:pPr>
              <w:rPr>
                <w:lang w:eastAsia="en-GB"/>
              </w:rPr>
            </w:pPr>
            <w:r w:rsidRPr="00CE483C">
              <w:rPr>
                <w:lang w:eastAsia="en-GB"/>
              </w:rPr>
              <w:t>67.54%</w:t>
            </w:r>
          </w:p>
        </w:tc>
        <w:tc>
          <w:tcPr>
            <w:tcW w:w="3261" w:type="dxa"/>
            <w:noWrap/>
            <w:hideMark/>
          </w:tcPr>
          <w:p w:rsidR="00CE483C" w:rsidRPr="00CE483C" w:rsidRDefault="00CE483C" w:rsidP="000410AC">
            <w:pPr>
              <w:rPr>
                <w:lang w:eastAsia="en-GB"/>
              </w:rPr>
            </w:pPr>
            <w:r w:rsidRPr="00CE483C">
              <w:rPr>
                <w:lang w:eastAsia="en-GB"/>
              </w:rPr>
              <w:t>27.97%</w:t>
            </w:r>
          </w:p>
        </w:tc>
      </w:tr>
      <w:tr w:rsidR="00CE483C" w:rsidRPr="00CE483C" w:rsidTr="000410AC">
        <w:trPr>
          <w:trHeight w:val="300"/>
        </w:trPr>
        <w:tc>
          <w:tcPr>
            <w:tcW w:w="2547" w:type="dxa"/>
            <w:noWrap/>
            <w:hideMark/>
          </w:tcPr>
          <w:p w:rsidR="00CE483C" w:rsidRPr="000410AC" w:rsidRDefault="00CE483C" w:rsidP="000410AC">
            <w:pPr>
              <w:rPr>
                <w:b/>
                <w:lang w:eastAsia="en-GB"/>
              </w:rPr>
            </w:pPr>
            <w:r w:rsidRPr="000410AC">
              <w:rPr>
                <w:b/>
                <w:lang w:eastAsia="en-GB"/>
              </w:rPr>
              <w:t>Band 7</w:t>
            </w:r>
          </w:p>
        </w:tc>
        <w:tc>
          <w:tcPr>
            <w:tcW w:w="371" w:type="dxa"/>
            <w:noWrap/>
            <w:hideMark/>
          </w:tcPr>
          <w:p w:rsidR="00CE483C" w:rsidRPr="00CE483C" w:rsidRDefault="00CE483C" w:rsidP="000410AC">
            <w:pPr>
              <w:rPr>
                <w:lang w:eastAsia="en-GB"/>
              </w:rPr>
            </w:pPr>
            <w:r w:rsidRPr="00CE483C">
              <w:rPr>
                <w:lang w:eastAsia="en-GB"/>
              </w:rPr>
              <w:t>2.98%</w:t>
            </w:r>
          </w:p>
        </w:tc>
        <w:tc>
          <w:tcPr>
            <w:tcW w:w="1722" w:type="dxa"/>
            <w:noWrap/>
            <w:hideMark/>
          </w:tcPr>
          <w:p w:rsidR="00CE483C" w:rsidRPr="00CE483C" w:rsidRDefault="00CE483C" w:rsidP="000410AC">
            <w:pPr>
              <w:rPr>
                <w:lang w:eastAsia="en-GB"/>
              </w:rPr>
            </w:pPr>
            <w:r w:rsidRPr="00CE483C">
              <w:rPr>
                <w:lang w:eastAsia="en-GB"/>
              </w:rPr>
              <w:t>67.62%</w:t>
            </w:r>
          </w:p>
        </w:tc>
        <w:tc>
          <w:tcPr>
            <w:tcW w:w="3261" w:type="dxa"/>
            <w:noWrap/>
            <w:hideMark/>
          </w:tcPr>
          <w:p w:rsidR="00CE483C" w:rsidRPr="00CE483C" w:rsidRDefault="00CE483C" w:rsidP="000410AC">
            <w:pPr>
              <w:rPr>
                <w:lang w:eastAsia="en-GB"/>
              </w:rPr>
            </w:pPr>
            <w:r w:rsidRPr="00CE483C">
              <w:rPr>
                <w:lang w:eastAsia="en-GB"/>
              </w:rPr>
              <w:t>29.40%</w:t>
            </w:r>
          </w:p>
        </w:tc>
      </w:tr>
      <w:tr w:rsidR="00CE483C" w:rsidRPr="00CE483C" w:rsidTr="000410AC">
        <w:trPr>
          <w:trHeight w:val="300"/>
        </w:trPr>
        <w:tc>
          <w:tcPr>
            <w:tcW w:w="2547" w:type="dxa"/>
            <w:noWrap/>
            <w:hideMark/>
          </w:tcPr>
          <w:p w:rsidR="00CE483C" w:rsidRPr="000410AC" w:rsidRDefault="00CE483C" w:rsidP="000410AC">
            <w:pPr>
              <w:rPr>
                <w:b/>
                <w:lang w:eastAsia="en-GB"/>
              </w:rPr>
            </w:pPr>
            <w:r w:rsidRPr="000410AC">
              <w:rPr>
                <w:b/>
                <w:lang w:eastAsia="en-GB"/>
              </w:rPr>
              <w:t>Band 8A</w:t>
            </w:r>
          </w:p>
        </w:tc>
        <w:tc>
          <w:tcPr>
            <w:tcW w:w="371" w:type="dxa"/>
            <w:noWrap/>
            <w:hideMark/>
          </w:tcPr>
          <w:p w:rsidR="00CE483C" w:rsidRPr="00CE483C" w:rsidRDefault="00CE483C" w:rsidP="000410AC">
            <w:pPr>
              <w:rPr>
                <w:lang w:eastAsia="en-GB"/>
              </w:rPr>
            </w:pPr>
            <w:r w:rsidRPr="00CE483C">
              <w:rPr>
                <w:lang w:eastAsia="en-GB"/>
              </w:rPr>
              <w:t>3.52%</w:t>
            </w:r>
          </w:p>
        </w:tc>
        <w:tc>
          <w:tcPr>
            <w:tcW w:w="1722" w:type="dxa"/>
            <w:noWrap/>
            <w:hideMark/>
          </w:tcPr>
          <w:p w:rsidR="00CE483C" w:rsidRPr="00CE483C" w:rsidRDefault="00CE483C" w:rsidP="000410AC">
            <w:pPr>
              <w:rPr>
                <w:lang w:eastAsia="en-GB"/>
              </w:rPr>
            </w:pPr>
            <w:r w:rsidRPr="00CE483C">
              <w:rPr>
                <w:lang w:eastAsia="en-GB"/>
              </w:rPr>
              <w:t>72.54%</w:t>
            </w:r>
          </w:p>
        </w:tc>
        <w:tc>
          <w:tcPr>
            <w:tcW w:w="3261" w:type="dxa"/>
            <w:noWrap/>
            <w:hideMark/>
          </w:tcPr>
          <w:p w:rsidR="00CE483C" w:rsidRPr="00CE483C" w:rsidRDefault="00CE483C" w:rsidP="000410AC">
            <w:pPr>
              <w:rPr>
                <w:lang w:eastAsia="en-GB"/>
              </w:rPr>
            </w:pPr>
            <w:r w:rsidRPr="00CE483C">
              <w:rPr>
                <w:lang w:eastAsia="en-GB"/>
              </w:rPr>
              <w:t>23.94%</w:t>
            </w:r>
          </w:p>
        </w:tc>
      </w:tr>
      <w:tr w:rsidR="00CE483C" w:rsidRPr="00CE483C" w:rsidTr="000410AC">
        <w:trPr>
          <w:trHeight w:val="300"/>
        </w:trPr>
        <w:tc>
          <w:tcPr>
            <w:tcW w:w="2547" w:type="dxa"/>
            <w:noWrap/>
            <w:hideMark/>
          </w:tcPr>
          <w:p w:rsidR="00CE483C" w:rsidRPr="000410AC" w:rsidRDefault="00CE483C" w:rsidP="000410AC">
            <w:pPr>
              <w:rPr>
                <w:b/>
                <w:lang w:eastAsia="en-GB"/>
              </w:rPr>
            </w:pPr>
            <w:r w:rsidRPr="000410AC">
              <w:rPr>
                <w:b/>
                <w:lang w:eastAsia="en-GB"/>
              </w:rPr>
              <w:t>Band 8B</w:t>
            </w:r>
          </w:p>
        </w:tc>
        <w:tc>
          <w:tcPr>
            <w:tcW w:w="371" w:type="dxa"/>
            <w:noWrap/>
            <w:hideMark/>
          </w:tcPr>
          <w:p w:rsidR="00CE483C" w:rsidRPr="00CE483C" w:rsidRDefault="00CE483C" w:rsidP="000410AC">
            <w:pPr>
              <w:rPr>
                <w:lang w:eastAsia="en-GB"/>
              </w:rPr>
            </w:pPr>
            <w:r w:rsidRPr="00CE483C">
              <w:rPr>
                <w:lang w:eastAsia="en-GB"/>
              </w:rPr>
              <w:t>3.13%</w:t>
            </w:r>
          </w:p>
        </w:tc>
        <w:tc>
          <w:tcPr>
            <w:tcW w:w="1722" w:type="dxa"/>
            <w:noWrap/>
            <w:hideMark/>
          </w:tcPr>
          <w:p w:rsidR="00CE483C" w:rsidRPr="00CE483C" w:rsidRDefault="00CE483C" w:rsidP="000410AC">
            <w:pPr>
              <w:rPr>
                <w:lang w:eastAsia="en-GB"/>
              </w:rPr>
            </w:pPr>
            <w:r w:rsidRPr="00CE483C">
              <w:rPr>
                <w:lang w:eastAsia="en-GB"/>
              </w:rPr>
              <w:t>62.50%</w:t>
            </w:r>
          </w:p>
        </w:tc>
        <w:tc>
          <w:tcPr>
            <w:tcW w:w="3261" w:type="dxa"/>
            <w:noWrap/>
            <w:hideMark/>
          </w:tcPr>
          <w:p w:rsidR="00CE483C" w:rsidRPr="00CE483C" w:rsidRDefault="00CE483C" w:rsidP="000410AC">
            <w:pPr>
              <w:rPr>
                <w:lang w:eastAsia="en-GB"/>
              </w:rPr>
            </w:pPr>
            <w:r w:rsidRPr="00CE483C">
              <w:rPr>
                <w:lang w:eastAsia="en-GB"/>
              </w:rPr>
              <w:t>34.38%</w:t>
            </w:r>
          </w:p>
        </w:tc>
      </w:tr>
      <w:tr w:rsidR="00CE483C" w:rsidRPr="00CE483C" w:rsidTr="000410AC">
        <w:trPr>
          <w:trHeight w:val="300"/>
        </w:trPr>
        <w:tc>
          <w:tcPr>
            <w:tcW w:w="2547" w:type="dxa"/>
            <w:noWrap/>
            <w:hideMark/>
          </w:tcPr>
          <w:p w:rsidR="00CE483C" w:rsidRPr="000410AC" w:rsidRDefault="00CE483C" w:rsidP="000410AC">
            <w:pPr>
              <w:rPr>
                <w:b/>
                <w:lang w:eastAsia="en-GB"/>
              </w:rPr>
            </w:pPr>
            <w:r w:rsidRPr="000410AC">
              <w:rPr>
                <w:b/>
                <w:lang w:eastAsia="en-GB"/>
              </w:rPr>
              <w:t>Band 8C</w:t>
            </w:r>
          </w:p>
        </w:tc>
        <w:tc>
          <w:tcPr>
            <w:tcW w:w="371" w:type="dxa"/>
            <w:noWrap/>
            <w:hideMark/>
          </w:tcPr>
          <w:p w:rsidR="00CE483C" w:rsidRPr="00CE483C" w:rsidRDefault="00CE483C" w:rsidP="000410AC">
            <w:pPr>
              <w:rPr>
                <w:lang w:eastAsia="en-GB"/>
              </w:rPr>
            </w:pPr>
            <w:r w:rsidRPr="00CE483C">
              <w:rPr>
                <w:lang w:eastAsia="en-GB"/>
              </w:rPr>
              <w:t>0.00%</w:t>
            </w:r>
          </w:p>
        </w:tc>
        <w:tc>
          <w:tcPr>
            <w:tcW w:w="1722" w:type="dxa"/>
            <w:noWrap/>
            <w:hideMark/>
          </w:tcPr>
          <w:p w:rsidR="00CE483C" w:rsidRPr="00CE483C" w:rsidRDefault="00CE483C" w:rsidP="000410AC">
            <w:pPr>
              <w:rPr>
                <w:lang w:eastAsia="en-GB"/>
              </w:rPr>
            </w:pPr>
            <w:r w:rsidRPr="00CE483C">
              <w:rPr>
                <w:lang w:eastAsia="en-GB"/>
              </w:rPr>
              <w:t>66.67%</w:t>
            </w:r>
          </w:p>
        </w:tc>
        <w:tc>
          <w:tcPr>
            <w:tcW w:w="3261" w:type="dxa"/>
            <w:noWrap/>
            <w:hideMark/>
          </w:tcPr>
          <w:p w:rsidR="00CE483C" w:rsidRPr="00CE483C" w:rsidRDefault="00CE483C" w:rsidP="000410AC">
            <w:pPr>
              <w:rPr>
                <w:lang w:eastAsia="en-GB"/>
              </w:rPr>
            </w:pPr>
            <w:r w:rsidRPr="00CE483C">
              <w:rPr>
                <w:lang w:eastAsia="en-GB"/>
              </w:rPr>
              <w:t>33.33%</w:t>
            </w:r>
          </w:p>
        </w:tc>
      </w:tr>
      <w:tr w:rsidR="00CE483C" w:rsidRPr="00CE483C" w:rsidTr="000410AC">
        <w:trPr>
          <w:trHeight w:val="300"/>
        </w:trPr>
        <w:tc>
          <w:tcPr>
            <w:tcW w:w="2547" w:type="dxa"/>
            <w:noWrap/>
            <w:hideMark/>
          </w:tcPr>
          <w:p w:rsidR="00CE483C" w:rsidRPr="000410AC" w:rsidRDefault="00CE483C" w:rsidP="000410AC">
            <w:pPr>
              <w:rPr>
                <w:b/>
                <w:lang w:eastAsia="en-GB"/>
              </w:rPr>
            </w:pPr>
            <w:r w:rsidRPr="000410AC">
              <w:rPr>
                <w:b/>
                <w:lang w:eastAsia="en-GB"/>
              </w:rPr>
              <w:t>Band 8D</w:t>
            </w:r>
          </w:p>
        </w:tc>
        <w:tc>
          <w:tcPr>
            <w:tcW w:w="371" w:type="dxa"/>
            <w:noWrap/>
            <w:hideMark/>
          </w:tcPr>
          <w:p w:rsidR="00CE483C" w:rsidRPr="00CE483C" w:rsidRDefault="00CE483C" w:rsidP="000410AC">
            <w:pPr>
              <w:rPr>
                <w:lang w:eastAsia="en-GB"/>
              </w:rPr>
            </w:pPr>
            <w:r w:rsidRPr="00CE483C">
              <w:rPr>
                <w:lang w:eastAsia="en-GB"/>
              </w:rPr>
              <w:t>0.00%</w:t>
            </w:r>
          </w:p>
        </w:tc>
        <w:tc>
          <w:tcPr>
            <w:tcW w:w="1722" w:type="dxa"/>
            <w:noWrap/>
            <w:hideMark/>
          </w:tcPr>
          <w:p w:rsidR="00CE483C" w:rsidRPr="00CE483C" w:rsidRDefault="00CE483C" w:rsidP="000410AC">
            <w:pPr>
              <w:rPr>
                <w:lang w:eastAsia="en-GB"/>
              </w:rPr>
            </w:pPr>
            <w:r w:rsidRPr="00CE483C">
              <w:rPr>
                <w:lang w:eastAsia="en-GB"/>
              </w:rPr>
              <w:t>50.00%</w:t>
            </w:r>
          </w:p>
        </w:tc>
        <w:tc>
          <w:tcPr>
            <w:tcW w:w="3261" w:type="dxa"/>
            <w:noWrap/>
            <w:hideMark/>
          </w:tcPr>
          <w:p w:rsidR="00CE483C" w:rsidRPr="00CE483C" w:rsidRDefault="00CE483C" w:rsidP="000410AC">
            <w:pPr>
              <w:rPr>
                <w:lang w:eastAsia="en-GB"/>
              </w:rPr>
            </w:pPr>
            <w:r w:rsidRPr="00CE483C">
              <w:rPr>
                <w:lang w:eastAsia="en-GB"/>
              </w:rPr>
              <w:t>50.00%</w:t>
            </w:r>
          </w:p>
        </w:tc>
      </w:tr>
      <w:tr w:rsidR="00CE483C" w:rsidRPr="00CE483C" w:rsidTr="000410AC">
        <w:trPr>
          <w:trHeight w:val="300"/>
        </w:trPr>
        <w:tc>
          <w:tcPr>
            <w:tcW w:w="2547" w:type="dxa"/>
            <w:noWrap/>
            <w:hideMark/>
          </w:tcPr>
          <w:p w:rsidR="00CE483C" w:rsidRPr="000410AC" w:rsidRDefault="00CE483C" w:rsidP="000410AC">
            <w:pPr>
              <w:rPr>
                <w:b/>
                <w:lang w:eastAsia="en-GB"/>
              </w:rPr>
            </w:pPr>
            <w:r w:rsidRPr="000410AC">
              <w:rPr>
                <w:b/>
                <w:lang w:eastAsia="en-GB"/>
              </w:rPr>
              <w:t>Band 9</w:t>
            </w:r>
          </w:p>
        </w:tc>
        <w:tc>
          <w:tcPr>
            <w:tcW w:w="371" w:type="dxa"/>
            <w:noWrap/>
            <w:hideMark/>
          </w:tcPr>
          <w:p w:rsidR="00CE483C" w:rsidRPr="00CE483C" w:rsidRDefault="00CE483C" w:rsidP="000410AC">
            <w:pPr>
              <w:rPr>
                <w:lang w:eastAsia="en-GB"/>
              </w:rPr>
            </w:pPr>
            <w:r w:rsidRPr="00CE483C">
              <w:rPr>
                <w:lang w:eastAsia="en-GB"/>
              </w:rPr>
              <w:t>0.00%</w:t>
            </w:r>
          </w:p>
        </w:tc>
        <w:tc>
          <w:tcPr>
            <w:tcW w:w="1722" w:type="dxa"/>
            <w:noWrap/>
            <w:hideMark/>
          </w:tcPr>
          <w:p w:rsidR="00CE483C" w:rsidRPr="00CE483C" w:rsidRDefault="00CE483C" w:rsidP="000410AC">
            <w:pPr>
              <w:rPr>
                <w:lang w:eastAsia="en-GB"/>
              </w:rPr>
            </w:pPr>
            <w:r w:rsidRPr="00CE483C">
              <w:rPr>
                <w:lang w:eastAsia="en-GB"/>
              </w:rPr>
              <w:t>100.00%</w:t>
            </w:r>
          </w:p>
        </w:tc>
        <w:tc>
          <w:tcPr>
            <w:tcW w:w="3261" w:type="dxa"/>
            <w:noWrap/>
            <w:hideMark/>
          </w:tcPr>
          <w:p w:rsidR="00CE483C" w:rsidRPr="00CE483C" w:rsidRDefault="00CE483C" w:rsidP="000410AC">
            <w:pPr>
              <w:rPr>
                <w:lang w:eastAsia="en-GB"/>
              </w:rPr>
            </w:pPr>
            <w:r w:rsidRPr="00CE483C">
              <w:rPr>
                <w:lang w:eastAsia="en-GB"/>
              </w:rPr>
              <w:t>0.00%</w:t>
            </w:r>
          </w:p>
        </w:tc>
      </w:tr>
      <w:tr w:rsidR="00CE483C" w:rsidRPr="00CE483C" w:rsidTr="000410AC">
        <w:trPr>
          <w:trHeight w:val="300"/>
        </w:trPr>
        <w:tc>
          <w:tcPr>
            <w:tcW w:w="2547" w:type="dxa"/>
            <w:noWrap/>
            <w:hideMark/>
          </w:tcPr>
          <w:p w:rsidR="00CE483C" w:rsidRPr="000410AC" w:rsidRDefault="00CE483C" w:rsidP="000410AC">
            <w:pPr>
              <w:rPr>
                <w:b/>
                <w:lang w:eastAsia="en-GB"/>
              </w:rPr>
            </w:pPr>
            <w:r w:rsidRPr="000410AC">
              <w:rPr>
                <w:b/>
                <w:lang w:eastAsia="en-GB"/>
              </w:rPr>
              <w:t>VSM</w:t>
            </w:r>
          </w:p>
        </w:tc>
        <w:tc>
          <w:tcPr>
            <w:tcW w:w="371" w:type="dxa"/>
            <w:noWrap/>
            <w:hideMark/>
          </w:tcPr>
          <w:p w:rsidR="00CE483C" w:rsidRPr="00CE483C" w:rsidRDefault="00CE483C" w:rsidP="000410AC">
            <w:pPr>
              <w:rPr>
                <w:lang w:eastAsia="en-GB"/>
              </w:rPr>
            </w:pPr>
            <w:r w:rsidRPr="00CE483C">
              <w:rPr>
                <w:lang w:eastAsia="en-GB"/>
              </w:rPr>
              <w:t>0.00%</w:t>
            </w:r>
          </w:p>
        </w:tc>
        <w:tc>
          <w:tcPr>
            <w:tcW w:w="1722" w:type="dxa"/>
            <w:noWrap/>
            <w:hideMark/>
          </w:tcPr>
          <w:p w:rsidR="00CE483C" w:rsidRPr="00CE483C" w:rsidRDefault="00CE483C" w:rsidP="000410AC">
            <w:pPr>
              <w:rPr>
                <w:lang w:eastAsia="en-GB"/>
              </w:rPr>
            </w:pPr>
            <w:r w:rsidRPr="00CE483C">
              <w:rPr>
                <w:lang w:eastAsia="en-GB"/>
              </w:rPr>
              <w:t>0.00%</w:t>
            </w:r>
          </w:p>
        </w:tc>
        <w:tc>
          <w:tcPr>
            <w:tcW w:w="3261" w:type="dxa"/>
            <w:noWrap/>
            <w:hideMark/>
          </w:tcPr>
          <w:p w:rsidR="00CE483C" w:rsidRPr="00CE483C" w:rsidRDefault="00CE483C" w:rsidP="000410AC">
            <w:pPr>
              <w:rPr>
                <w:lang w:eastAsia="en-GB"/>
              </w:rPr>
            </w:pPr>
            <w:r w:rsidRPr="00CE483C">
              <w:rPr>
                <w:lang w:eastAsia="en-GB"/>
              </w:rPr>
              <w:t>100.00%</w:t>
            </w:r>
          </w:p>
        </w:tc>
      </w:tr>
      <w:tr w:rsidR="00CE483C" w:rsidRPr="00CE483C" w:rsidTr="000410AC">
        <w:trPr>
          <w:trHeight w:val="300"/>
        </w:trPr>
        <w:tc>
          <w:tcPr>
            <w:tcW w:w="2547" w:type="dxa"/>
            <w:noWrap/>
            <w:hideMark/>
          </w:tcPr>
          <w:p w:rsidR="00CE483C" w:rsidRPr="000410AC" w:rsidRDefault="00CE483C" w:rsidP="000410AC">
            <w:pPr>
              <w:rPr>
                <w:b/>
                <w:lang w:eastAsia="en-GB"/>
              </w:rPr>
            </w:pPr>
            <w:r w:rsidRPr="000410AC">
              <w:rPr>
                <w:b/>
                <w:lang w:eastAsia="en-GB"/>
              </w:rPr>
              <w:t>Consultant</w:t>
            </w:r>
          </w:p>
        </w:tc>
        <w:tc>
          <w:tcPr>
            <w:tcW w:w="371" w:type="dxa"/>
            <w:noWrap/>
            <w:hideMark/>
          </w:tcPr>
          <w:p w:rsidR="00CE483C" w:rsidRPr="00CE483C" w:rsidRDefault="00CE483C" w:rsidP="000410AC">
            <w:pPr>
              <w:rPr>
                <w:lang w:eastAsia="en-GB"/>
              </w:rPr>
            </w:pPr>
            <w:r w:rsidRPr="00CE483C">
              <w:rPr>
                <w:lang w:eastAsia="en-GB"/>
              </w:rPr>
              <w:t>1.09%</w:t>
            </w:r>
          </w:p>
        </w:tc>
        <w:tc>
          <w:tcPr>
            <w:tcW w:w="1722" w:type="dxa"/>
            <w:noWrap/>
            <w:hideMark/>
          </w:tcPr>
          <w:p w:rsidR="00CE483C" w:rsidRPr="00CE483C" w:rsidRDefault="00CE483C" w:rsidP="000410AC">
            <w:pPr>
              <w:rPr>
                <w:lang w:eastAsia="en-GB"/>
              </w:rPr>
            </w:pPr>
            <w:r w:rsidRPr="00CE483C">
              <w:rPr>
                <w:lang w:eastAsia="en-GB"/>
              </w:rPr>
              <w:t>54.49%</w:t>
            </w:r>
          </w:p>
        </w:tc>
        <w:tc>
          <w:tcPr>
            <w:tcW w:w="3261" w:type="dxa"/>
            <w:noWrap/>
            <w:hideMark/>
          </w:tcPr>
          <w:p w:rsidR="00CE483C" w:rsidRPr="00CE483C" w:rsidRDefault="00CE483C" w:rsidP="000410AC">
            <w:pPr>
              <w:rPr>
                <w:lang w:eastAsia="en-GB"/>
              </w:rPr>
            </w:pPr>
            <w:r w:rsidRPr="00CE483C">
              <w:rPr>
                <w:lang w:eastAsia="en-GB"/>
              </w:rPr>
              <w:t>44.42%</w:t>
            </w:r>
          </w:p>
        </w:tc>
      </w:tr>
      <w:tr w:rsidR="00CE483C" w:rsidRPr="00CE483C" w:rsidTr="000410AC">
        <w:trPr>
          <w:trHeight w:val="300"/>
        </w:trPr>
        <w:tc>
          <w:tcPr>
            <w:tcW w:w="2547" w:type="dxa"/>
            <w:noWrap/>
            <w:hideMark/>
          </w:tcPr>
          <w:p w:rsidR="00CE483C" w:rsidRPr="000410AC" w:rsidRDefault="00CE483C" w:rsidP="000410AC">
            <w:pPr>
              <w:rPr>
                <w:b/>
                <w:lang w:eastAsia="en-GB"/>
              </w:rPr>
            </w:pPr>
            <w:r w:rsidRPr="000410AC">
              <w:rPr>
                <w:b/>
                <w:lang w:eastAsia="en-GB"/>
              </w:rPr>
              <w:t>Non-Consultant</w:t>
            </w:r>
          </w:p>
        </w:tc>
        <w:tc>
          <w:tcPr>
            <w:tcW w:w="371" w:type="dxa"/>
            <w:noWrap/>
            <w:hideMark/>
          </w:tcPr>
          <w:p w:rsidR="00CE483C" w:rsidRPr="00CE483C" w:rsidRDefault="00CE483C" w:rsidP="000410AC">
            <w:pPr>
              <w:rPr>
                <w:lang w:eastAsia="en-GB"/>
              </w:rPr>
            </w:pPr>
            <w:r w:rsidRPr="00CE483C">
              <w:rPr>
                <w:lang w:eastAsia="en-GB"/>
              </w:rPr>
              <w:t>2.78%</w:t>
            </w:r>
          </w:p>
        </w:tc>
        <w:tc>
          <w:tcPr>
            <w:tcW w:w="1722" w:type="dxa"/>
            <w:noWrap/>
            <w:hideMark/>
          </w:tcPr>
          <w:p w:rsidR="00CE483C" w:rsidRPr="00CE483C" w:rsidRDefault="00CE483C" w:rsidP="000410AC">
            <w:pPr>
              <w:rPr>
                <w:lang w:eastAsia="en-GB"/>
              </w:rPr>
            </w:pPr>
            <w:r w:rsidRPr="00CE483C">
              <w:rPr>
                <w:lang w:eastAsia="en-GB"/>
              </w:rPr>
              <w:t>48.89%</w:t>
            </w:r>
          </w:p>
        </w:tc>
        <w:tc>
          <w:tcPr>
            <w:tcW w:w="3261" w:type="dxa"/>
            <w:noWrap/>
            <w:hideMark/>
          </w:tcPr>
          <w:p w:rsidR="00CE483C" w:rsidRPr="00CE483C" w:rsidRDefault="00CE483C" w:rsidP="000410AC">
            <w:pPr>
              <w:rPr>
                <w:lang w:eastAsia="en-GB"/>
              </w:rPr>
            </w:pPr>
            <w:r w:rsidRPr="00CE483C">
              <w:rPr>
                <w:lang w:eastAsia="en-GB"/>
              </w:rPr>
              <w:t>48.33%</w:t>
            </w:r>
          </w:p>
        </w:tc>
      </w:tr>
      <w:tr w:rsidR="00CE483C" w:rsidRPr="00CE483C" w:rsidTr="000410AC">
        <w:trPr>
          <w:trHeight w:val="300"/>
        </w:trPr>
        <w:tc>
          <w:tcPr>
            <w:tcW w:w="2547" w:type="dxa"/>
            <w:noWrap/>
            <w:hideMark/>
          </w:tcPr>
          <w:p w:rsidR="00CE483C" w:rsidRPr="000410AC" w:rsidRDefault="00CE483C" w:rsidP="000410AC">
            <w:pPr>
              <w:rPr>
                <w:b/>
                <w:lang w:eastAsia="en-GB"/>
              </w:rPr>
            </w:pPr>
            <w:r w:rsidRPr="000410AC">
              <w:rPr>
                <w:b/>
                <w:lang w:eastAsia="en-GB"/>
              </w:rPr>
              <w:t>Trainee Grade</w:t>
            </w:r>
          </w:p>
        </w:tc>
        <w:tc>
          <w:tcPr>
            <w:tcW w:w="371" w:type="dxa"/>
            <w:noWrap/>
            <w:hideMark/>
          </w:tcPr>
          <w:p w:rsidR="00CE483C" w:rsidRPr="00CE483C" w:rsidRDefault="00CE483C" w:rsidP="000410AC">
            <w:pPr>
              <w:rPr>
                <w:lang w:eastAsia="en-GB"/>
              </w:rPr>
            </w:pPr>
            <w:r w:rsidRPr="00CE483C">
              <w:rPr>
                <w:lang w:eastAsia="en-GB"/>
              </w:rPr>
              <w:t>0.22%</w:t>
            </w:r>
          </w:p>
        </w:tc>
        <w:tc>
          <w:tcPr>
            <w:tcW w:w="1722" w:type="dxa"/>
            <w:noWrap/>
            <w:hideMark/>
          </w:tcPr>
          <w:p w:rsidR="00CE483C" w:rsidRPr="00CE483C" w:rsidRDefault="00CE483C" w:rsidP="000410AC">
            <w:pPr>
              <w:rPr>
                <w:lang w:eastAsia="en-GB"/>
              </w:rPr>
            </w:pPr>
            <w:r w:rsidRPr="00CE483C">
              <w:rPr>
                <w:lang w:eastAsia="en-GB"/>
              </w:rPr>
              <w:t>19.57%</w:t>
            </w:r>
          </w:p>
        </w:tc>
        <w:tc>
          <w:tcPr>
            <w:tcW w:w="3261" w:type="dxa"/>
            <w:noWrap/>
            <w:hideMark/>
          </w:tcPr>
          <w:p w:rsidR="00CE483C" w:rsidRPr="00CE483C" w:rsidRDefault="00CE483C" w:rsidP="000410AC">
            <w:pPr>
              <w:rPr>
                <w:lang w:eastAsia="en-GB"/>
              </w:rPr>
            </w:pPr>
            <w:r w:rsidRPr="00CE483C">
              <w:rPr>
                <w:lang w:eastAsia="en-GB"/>
              </w:rPr>
              <w:t>80.22%</w:t>
            </w:r>
          </w:p>
        </w:tc>
      </w:tr>
      <w:tr w:rsidR="00CE483C" w:rsidRPr="00CE483C" w:rsidTr="000410AC">
        <w:trPr>
          <w:trHeight w:val="300"/>
        </w:trPr>
        <w:tc>
          <w:tcPr>
            <w:tcW w:w="2547" w:type="dxa"/>
            <w:noWrap/>
            <w:hideMark/>
          </w:tcPr>
          <w:p w:rsidR="00CE483C" w:rsidRPr="000410AC" w:rsidRDefault="00CE483C" w:rsidP="000410AC">
            <w:pPr>
              <w:rPr>
                <w:b/>
                <w:lang w:eastAsia="en-GB"/>
              </w:rPr>
            </w:pPr>
            <w:r w:rsidRPr="000410AC">
              <w:rPr>
                <w:b/>
                <w:lang w:eastAsia="en-GB"/>
              </w:rPr>
              <w:t>Other</w:t>
            </w:r>
          </w:p>
        </w:tc>
        <w:tc>
          <w:tcPr>
            <w:tcW w:w="371" w:type="dxa"/>
            <w:noWrap/>
            <w:hideMark/>
          </w:tcPr>
          <w:p w:rsidR="00CE483C" w:rsidRPr="00CE483C" w:rsidRDefault="00CE483C" w:rsidP="000410AC">
            <w:pPr>
              <w:rPr>
                <w:lang w:eastAsia="en-GB"/>
              </w:rPr>
            </w:pPr>
            <w:r w:rsidRPr="00CE483C">
              <w:rPr>
                <w:lang w:eastAsia="en-GB"/>
              </w:rPr>
              <w:t>0.00%</w:t>
            </w:r>
          </w:p>
        </w:tc>
        <w:tc>
          <w:tcPr>
            <w:tcW w:w="1722" w:type="dxa"/>
            <w:noWrap/>
            <w:hideMark/>
          </w:tcPr>
          <w:p w:rsidR="00CE483C" w:rsidRPr="00CE483C" w:rsidRDefault="00CE483C" w:rsidP="000410AC">
            <w:pPr>
              <w:rPr>
                <w:lang w:eastAsia="en-GB"/>
              </w:rPr>
            </w:pPr>
            <w:r w:rsidRPr="00CE483C">
              <w:rPr>
                <w:lang w:eastAsia="en-GB"/>
              </w:rPr>
              <w:t>0.00%</w:t>
            </w:r>
          </w:p>
        </w:tc>
        <w:tc>
          <w:tcPr>
            <w:tcW w:w="3261" w:type="dxa"/>
            <w:noWrap/>
            <w:hideMark/>
          </w:tcPr>
          <w:p w:rsidR="00CE483C" w:rsidRPr="00CE483C" w:rsidRDefault="00CE483C" w:rsidP="000410AC">
            <w:pPr>
              <w:rPr>
                <w:lang w:eastAsia="en-GB"/>
              </w:rPr>
            </w:pPr>
            <w:r w:rsidRPr="00CE483C">
              <w:rPr>
                <w:lang w:eastAsia="en-GB"/>
              </w:rPr>
              <w:t>0.00%</w:t>
            </w:r>
          </w:p>
        </w:tc>
      </w:tr>
    </w:tbl>
    <w:p w:rsidR="00DF7C89" w:rsidRDefault="00DF7C89" w:rsidP="000410AC">
      <w:pPr>
        <w:pStyle w:val="Style1"/>
        <w:ind w:left="0"/>
      </w:pPr>
    </w:p>
    <w:p w:rsidR="00340B45" w:rsidRDefault="00DF7C89" w:rsidP="00340B45">
      <w:pPr>
        <w:pStyle w:val="Style1"/>
        <w:ind w:left="0"/>
      </w:pPr>
      <w:r>
        <w:rPr>
          <w:noProof/>
        </w:rPr>
        <w:lastRenderedPageBreak/>
        <w:drawing>
          <wp:inline distT="0" distB="0" distL="0" distR="0" wp14:anchorId="58924B89" wp14:editId="7F68A0E8">
            <wp:extent cx="4880345" cy="2615610"/>
            <wp:effectExtent l="0" t="0" r="15875" b="13335"/>
            <wp:docPr id="1" name="Chart 1" descr="Bar chart representation of disabled staff in AfC paybands for clinical staff"/>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28" w:name="_Toc14081454"/>
    </w:p>
    <w:p w:rsidR="00340B45" w:rsidRDefault="00340B45" w:rsidP="00340B45">
      <w:pPr>
        <w:pStyle w:val="Style1"/>
        <w:ind w:left="0"/>
        <w:rPr>
          <w:b/>
        </w:rPr>
      </w:pPr>
    </w:p>
    <w:p w:rsidR="00340B45" w:rsidRDefault="00340B45">
      <w:pPr>
        <w:spacing w:after="200" w:line="276" w:lineRule="auto"/>
        <w:rPr>
          <w:b/>
        </w:rPr>
      </w:pPr>
      <w:r>
        <w:rPr>
          <w:b/>
        </w:rPr>
        <w:br w:type="page"/>
      </w:r>
    </w:p>
    <w:p w:rsidR="00F16573" w:rsidRDefault="009E4268" w:rsidP="00340B45">
      <w:pPr>
        <w:pStyle w:val="Style1"/>
        <w:ind w:left="0"/>
      </w:pPr>
      <w:r w:rsidRPr="008D3AD5">
        <w:rPr>
          <w:b/>
        </w:rPr>
        <w:lastRenderedPageBreak/>
        <w:t>Declaration</w:t>
      </w:r>
      <w:r>
        <w:t>.</w:t>
      </w:r>
      <w:r>
        <w:tab/>
      </w:r>
      <w:r w:rsidR="007578D1" w:rsidRPr="007578D1">
        <w:t xml:space="preserve">5.97% of the </w:t>
      </w:r>
      <w:r w:rsidR="007578D1">
        <w:t>working</w:t>
      </w:r>
      <w:r w:rsidR="007578D1" w:rsidRPr="007578D1">
        <w:t xml:space="preserve"> age </w:t>
      </w:r>
      <w:r w:rsidRPr="009E4268">
        <w:t>population served by East Kent Hospitals University NHS Foundation Trust (EKHUFT) declared that they were disabled in the 2011 census. 3.</w:t>
      </w:r>
      <w:r w:rsidR="00A05B7F">
        <w:t>4</w:t>
      </w:r>
      <w:r w:rsidRPr="009E4268">
        <w:t>% of EKHUFT employees have declared a disability usin</w:t>
      </w:r>
      <w:r>
        <w:t xml:space="preserve">g the Electronic Staff Record. 33% of the workforce have chosen not to declare whether or not they have a disability. This figure rises to </w:t>
      </w:r>
      <w:r w:rsidR="00CE483C">
        <w:t>80</w:t>
      </w:r>
      <w:r>
        <w:t xml:space="preserve">% </w:t>
      </w:r>
      <w:r w:rsidR="00CE483C">
        <w:t>Trainee Grade Doctors</w:t>
      </w:r>
      <w:r w:rsidR="006642F8">
        <w:t>. It</w:t>
      </w:r>
      <w:r>
        <w:t xml:space="preserve"> is difficult to validate our data when comparatively few staff members have declared their disability status.</w:t>
      </w:r>
      <w:bookmarkEnd w:id="28"/>
      <w:r w:rsidR="00814D43">
        <w:t xml:space="preserve"> The NHS in general has only 3% declaration rate.</w:t>
      </w:r>
    </w:p>
    <w:p w:rsidR="00756150" w:rsidRDefault="00C77F81" w:rsidP="008773B9">
      <w:pPr>
        <w:pStyle w:val="Heading2"/>
      </w:pPr>
      <w:bookmarkStart w:id="29" w:name="_Toc14081455"/>
      <w:r w:rsidRPr="00C77F81">
        <w:t>Metric 2</w:t>
      </w:r>
      <w:r>
        <w:tab/>
      </w:r>
      <w:r w:rsidR="00756150" w:rsidRPr="00F41FD4">
        <w:t>Relative likelihood of Disabled staff compared to non-disabled staff being appointed from shortlisting across all posts.</w:t>
      </w:r>
      <w:bookmarkEnd w:id="29"/>
    </w:p>
    <w:p w:rsidR="00756150" w:rsidRPr="00756150" w:rsidRDefault="00756150" w:rsidP="00DF7C89">
      <w:pPr>
        <w:pStyle w:val="Heading3"/>
      </w:pPr>
      <w:bookmarkStart w:id="30" w:name="_Toc14081456"/>
      <w:r w:rsidRPr="00756150">
        <w:t xml:space="preserve">Non-disabled </w:t>
      </w:r>
      <w:r w:rsidRPr="00DF7C89">
        <w:t>candidates</w:t>
      </w:r>
      <w:r w:rsidRPr="00756150">
        <w:t xml:space="preserve"> are </w:t>
      </w:r>
      <w:r w:rsidR="000E3AE4">
        <w:t>one and a half times</w:t>
      </w:r>
      <w:r w:rsidRPr="00756150">
        <w:t xml:space="preserve"> more likely than disabled candidates to be appointed from shortlisting.</w:t>
      </w:r>
      <w:bookmarkEnd w:id="30"/>
      <w:r w:rsidR="000E3AE4">
        <w:t xml:space="preserve"> This compares to two and one quarter times more likely last year</w:t>
      </w:r>
    </w:p>
    <w:p w:rsidR="00F77C5F" w:rsidRDefault="00756150" w:rsidP="00C77F81">
      <w:pPr>
        <w:pStyle w:val="Heading3"/>
      </w:pPr>
      <w:bookmarkStart w:id="31" w:name="_Toc14081457"/>
      <w:r>
        <w:t xml:space="preserve">The Trust is a </w:t>
      </w:r>
      <w:r w:rsidR="0032737C">
        <w:t>“Disability Confident employer and offers Guaranteed Interviews to all Disabled applicants who meet the minimum requirements stipulated on the job description. The Trust also guarantees to make any special arrangements, for example an alternative venue to allow wheelchair access</w:t>
      </w:r>
      <w:bookmarkEnd w:id="31"/>
    </w:p>
    <w:p w:rsidR="00F337DA" w:rsidRDefault="00F337DA" w:rsidP="00C77F81"/>
    <w:tbl>
      <w:tblPr>
        <w:tblStyle w:val="TableGrid"/>
        <w:tblW w:w="7523" w:type="dxa"/>
        <w:tblInd w:w="607" w:type="dxa"/>
        <w:tblLook w:val="06A0" w:firstRow="1" w:lastRow="0" w:firstColumn="1" w:lastColumn="0" w:noHBand="1" w:noVBand="1"/>
      </w:tblPr>
      <w:tblGrid>
        <w:gridCol w:w="2271"/>
        <w:gridCol w:w="1133"/>
        <w:gridCol w:w="1133"/>
        <w:gridCol w:w="1901"/>
        <w:gridCol w:w="1085"/>
      </w:tblGrid>
      <w:tr w:rsidR="00F337DA" w:rsidRPr="00F337DA" w:rsidTr="00F77C5F">
        <w:trPr>
          <w:trHeight w:val="590"/>
        </w:trPr>
        <w:tc>
          <w:tcPr>
            <w:tcW w:w="2271" w:type="dxa"/>
            <w:hideMark/>
          </w:tcPr>
          <w:p w:rsidR="00F337DA" w:rsidRPr="00F337DA" w:rsidRDefault="00F337DA" w:rsidP="00F337DA">
            <w:pPr>
              <w:ind w:left="-318" w:firstLine="283"/>
              <w:jc w:val="center"/>
              <w:rPr>
                <w:rFonts w:eastAsia="Times New Roman"/>
                <w:b/>
                <w:bCs/>
                <w:sz w:val="22"/>
                <w:szCs w:val="22"/>
                <w:lang w:eastAsia="en-GB"/>
              </w:rPr>
            </w:pPr>
            <w:r w:rsidRPr="00F337DA">
              <w:rPr>
                <w:rFonts w:eastAsia="Times New Roman"/>
                <w:b/>
                <w:bCs/>
                <w:sz w:val="22"/>
                <w:szCs w:val="22"/>
                <w:lang w:eastAsia="en-GB"/>
              </w:rPr>
              <w:t>2019</w:t>
            </w:r>
          </w:p>
        </w:tc>
        <w:tc>
          <w:tcPr>
            <w:tcW w:w="1133" w:type="dxa"/>
            <w:hideMark/>
          </w:tcPr>
          <w:p w:rsidR="00F337DA" w:rsidRPr="00F337DA" w:rsidRDefault="00F337DA" w:rsidP="00F337DA">
            <w:pPr>
              <w:jc w:val="center"/>
              <w:rPr>
                <w:rFonts w:eastAsia="Times New Roman"/>
                <w:b/>
                <w:bCs/>
                <w:sz w:val="22"/>
                <w:szCs w:val="22"/>
                <w:lang w:eastAsia="en-GB"/>
              </w:rPr>
            </w:pPr>
            <w:r w:rsidRPr="00F337DA">
              <w:rPr>
                <w:rFonts w:eastAsia="Times New Roman"/>
                <w:b/>
                <w:bCs/>
                <w:sz w:val="22"/>
                <w:szCs w:val="22"/>
                <w:lang w:eastAsia="en-GB"/>
              </w:rPr>
              <w:t>Not Disabled</w:t>
            </w:r>
          </w:p>
        </w:tc>
        <w:tc>
          <w:tcPr>
            <w:tcW w:w="1133" w:type="dxa"/>
            <w:hideMark/>
          </w:tcPr>
          <w:p w:rsidR="00F337DA" w:rsidRPr="00F337DA" w:rsidRDefault="00F337DA" w:rsidP="00F337DA">
            <w:pPr>
              <w:jc w:val="center"/>
              <w:rPr>
                <w:rFonts w:eastAsia="Times New Roman"/>
                <w:b/>
                <w:bCs/>
                <w:sz w:val="22"/>
                <w:szCs w:val="22"/>
                <w:lang w:eastAsia="en-GB"/>
              </w:rPr>
            </w:pPr>
            <w:r w:rsidRPr="00F337DA">
              <w:rPr>
                <w:rFonts w:eastAsia="Times New Roman"/>
                <w:b/>
                <w:bCs/>
                <w:sz w:val="22"/>
                <w:szCs w:val="22"/>
                <w:lang w:eastAsia="en-GB"/>
              </w:rPr>
              <w:t>Disabled</w:t>
            </w:r>
          </w:p>
        </w:tc>
        <w:tc>
          <w:tcPr>
            <w:tcW w:w="1901" w:type="dxa"/>
            <w:hideMark/>
          </w:tcPr>
          <w:p w:rsidR="00F337DA" w:rsidRPr="00F337DA" w:rsidRDefault="00F337DA" w:rsidP="00F337DA">
            <w:pPr>
              <w:jc w:val="center"/>
              <w:rPr>
                <w:rFonts w:eastAsia="Times New Roman"/>
                <w:b/>
                <w:bCs/>
                <w:sz w:val="22"/>
                <w:szCs w:val="22"/>
                <w:lang w:eastAsia="en-GB"/>
              </w:rPr>
            </w:pPr>
            <w:r w:rsidRPr="00F337DA">
              <w:rPr>
                <w:rFonts w:eastAsia="Times New Roman"/>
                <w:b/>
                <w:bCs/>
                <w:sz w:val="22"/>
                <w:szCs w:val="22"/>
                <w:lang w:eastAsia="en-GB"/>
              </w:rPr>
              <w:t>Disability Null</w:t>
            </w:r>
            <w:r w:rsidRPr="00F337DA">
              <w:rPr>
                <w:rFonts w:eastAsia="Times New Roman"/>
                <w:b/>
                <w:bCs/>
                <w:sz w:val="22"/>
                <w:szCs w:val="22"/>
                <w:lang w:eastAsia="en-GB"/>
              </w:rPr>
              <w:br/>
              <w:t>or Unknown</w:t>
            </w:r>
          </w:p>
        </w:tc>
        <w:tc>
          <w:tcPr>
            <w:tcW w:w="1085" w:type="dxa"/>
            <w:hideMark/>
          </w:tcPr>
          <w:p w:rsidR="00F337DA" w:rsidRPr="00F337DA" w:rsidRDefault="00F337DA" w:rsidP="00F337DA">
            <w:pPr>
              <w:jc w:val="center"/>
              <w:rPr>
                <w:rFonts w:eastAsia="Times New Roman"/>
                <w:b/>
                <w:bCs/>
                <w:sz w:val="22"/>
                <w:szCs w:val="22"/>
                <w:lang w:eastAsia="en-GB"/>
              </w:rPr>
            </w:pPr>
            <w:r w:rsidRPr="00F337DA">
              <w:rPr>
                <w:rFonts w:eastAsia="Times New Roman"/>
                <w:b/>
                <w:bCs/>
                <w:sz w:val="22"/>
                <w:szCs w:val="22"/>
                <w:lang w:eastAsia="en-GB"/>
              </w:rPr>
              <w:t>Total</w:t>
            </w:r>
          </w:p>
        </w:tc>
      </w:tr>
      <w:tr w:rsidR="00F337DA" w:rsidRPr="00F337DA" w:rsidTr="00F77C5F">
        <w:trPr>
          <w:trHeight w:val="300"/>
        </w:trPr>
        <w:tc>
          <w:tcPr>
            <w:tcW w:w="2271" w:type="dxa"/>
            <w:hideMark/>
          </w:tcPr>
          <w:p w:rsidR="00F337DA" w:rsidRPr="00F337DA" w:rsidRDefault="00F337DA" w:rsidP="00F337DA">
            <w:pPr>
              <w:rPr>
                <w:rFonts w:eastAsia="Times New Roman"/>
                <w:b/>
                <w:bCs/>
                <w:sz w:val="22"/>
                <w:szCs w:val="22"/>
                <w:lang w:eastAsia="en-GB"/>
              </w:rPr>
            </w:pPr>
            <w:r w:rsidRPr="00F337DA">
              <w:rPr>
                <w:rFonts w:eastAsia="Times New Roman"/>
                <w:b/>
                <w:bCs/>
                <w:sz w:val="22"/>
                <w:szCs w:val="22"/>
                <w:lang w:eastAsia="en-GB"/>
              </w:rPr>
              <w:t>Shortlisted</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4762</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281</w:t>
            </w:r>
          </w:p>
        </w:tc>
        <w:tc>
          <w:tcPr>
            <w:tcW w:w="1901"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271</w:t>
            </w:r>
          </w:p>
        </w:tc>
        <w:tc>
          <w:tcPr>
            <w:tcW w:w="1085"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5314</w:t>
            </w:r>
          </w:p>
        </w:tc>
      </w:tr>
      <w:tr w:rsidR="00F337DA" w:rsidRPr="00F337DA" w:rsidTr="00F77C5F">
        <w:trPr>
          <w:trHeight w:val="300"/>
        </w:trPr>
        <w:tc>
          <w:tcPr>
            <w:tcW w:w="2271" w:type="dxa"/>
            <w:hideMark/>
          </w:tcPr>
          <w:p w:rsidR="00F337DA" w:rsidRPr="00F337DA" w:rsidRDefault="00F337DA" w:rsidP="00F337DA">
            <w:pPr>
              <w:rPr>
                <w:rFonts w:eastAsia="Times New Roman"/>
                <w:b/>
                <w:bCs/>
                <w:sz w:val="22"/>
                <w:szCs w:val="22"/>
                <w:lang w:eastAsia="en-GB"/>
              </w:rPr>
            </w:pPr>
            <w:r w:rsidRPr="00F337DA">
              <w:rPr>
                <w:rFonts w:eastAsia="Times New Roman"/>
                <w:b/>
                <w:bCs/>
                <w:sz w:val="22"/>
                <w:szCs w:val="22"/>
                <w:lang w:eastAsia="en-GB"/>
              </w:rPr>
              <w:t>Appointed</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905</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24</w:t>
            </w:r>
          </w:p>
        </w:tc>
        <w:tc>
          <w:tcPr>
            <w:tcW w:w="1901"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131</w:t>
            </w:r>
          </w:p>
        </w:tc>
        <w:tc>
          <w:tcPr>
            <w:tcW w:w="1085"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1060</w:t>
            </w:r>
          </w:p>
        </w:tc>
      </w:tr>
      <w:tr w:rsidR="00F337DA" w:rsidRPr="00F337DA" w:rsidTr="00F77C5F">
        <w:trPr>
          <w:trHeight w:val="303"/>
        </w:trPr>
        <w:tc>
          <w:tcPr>
            <w:tcW w:w="2271" w:type="dxa"/>
            <w:hideMark/>
          </w:tcPr>
          <w:p w:rsidR="00F337DA" w:rsidRPr="00F337DA" w:rsidRDefault="00F337DA" w:rsidP="00F337DA">
            <w:pPr>
              <w:rPr>
                <w:rFonts w:eastAsia="Times New Roman"/>
                <w:b/>
                <w:bCs/>
                <w:sz w:val="22"/>
                <w:szCs w:val="22"/>
                <w:lang w:eastAsia="en-GB"/>
              </w:rPr>
            </w:pPr>
            <w:r w:rsidRPr="00F337DA">
              <w:rPr>
                <w:rFonts w:eastAsia="Times New Roman"/>
                <w:b/>
                <w:bCs/>
                <w:sz w:val="22"/>
                <w:szCs w:val="22"/>
                <w:lang w:eastAsia="en-GB"/>
              </w:rPr>
              <w:t>Shortlisted %</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89.61%</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5.29%</w:t>
            </w:r>
          </w:p>
        </w:tc>
        <w:tc>
          <w:tcPr>
            <w:tcW w:w="1901"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5.10%</w:t>
            </w:r>
          </w:p>
        </w:tc>
        <w:tc>
          <w:tcPr>
            <w:tcW w:w="1085"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100.00%</w:t>
            </w:r>
          </w:p>
        </w:tc>
      </w:tr>
      <w:tr w:rsidR="00F337DA" w:rsidRPr="00F337DA" w:rsidTr="00F77C5F">
        <w:trPr>
          <w:trHeight w:val="300"/>
        </w:trPr>
        <w:tc>
          <w:tcPr>
            <w:tcW w:w="2271" w:type="dxa"/>
            <w:hideMark/>
          </w:tcPr>
          <w:p w:rsidR="00F337DA" w:rsidRPr="00F337DA" w:rsidRDefault="00F337DA" w:rsidP="00F337DA">
            <w:pPr>
              <w:rPr>
                <w:rFonts w:eastAsia="Times New Roman"/>
                <w:b/>
                <w:bCs/>
                <w:sz w:val="22"/>
                <w:szCs w:val="22"/>
                <w:lang w:eastAsia="en-GB"/>
              </w:rPr>
            </w:pPr>
            <w:r w:rsidRPr="00F337DA">
              <w:rPr>
                <w:rFonts w:eastAsia="Times New Roman"/>
                <w:b/>
                <w:bCs/>
                <w:sz w:val="22"/>
                <w:szCs w:val="22"/>
                <w:lang w:eastAsia="en-GB"/>
              </w:rPr>
              <w:t>Appointed %</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85.38%</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2.26%</w:t>
            </w:r>
          </w:p>
        </w:tc>
        <w:tc>
          <w:tcPr>
            <w:tcW w:w="1901"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12.36%</w:t>
            </w:r>
          </w:p>
        </w:tc>
        <w:tc>
          <w:tcPr>
            <w:tcW w:w="1085"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100.00%</w:t>
            </w:r>
          </w:p>
        </w:tc>
      </w:tr>
      <w:tr w:rsidR="00F337DA" w:rsidRPr="00F337DA" w:rsidTr="00F77C5F">
        <w:trPr>
          <w:trHeight w:val="300"/>
        </w:trPr>
        <w:tc>
          <w:tcPr>
            <w:tcW w:w="2271" w:type="dxa"/>
            <w:hideMark/>
          </w:tcPr>
          <w:p w:rsidR="00F337DA" w:rsidRPr="00F337DA" w:rsidRDefault="00F337DA" w:rsidP="00F337DA">
            <w:pPr>
              <w:rPr>
                <w:rFonts w:eastAsia="Times New Roman"/>
                <w:b/>
                <w:bCs/>
                <w:sz w:val="22"/>
                <w:szCs w:val="22"/>
                <w:lang w:eastAsia="en-GB"/>
              </w:rPr>
            </w:pPr>
            <w:r w:rsidRPr="00F337DA">
              <w:rPr>
                <w:rFonts w:eastAsia="Times New Roman"/>
                <w:b/>
                <w:bCs/>
                <w:sz w:val="22"/>
                <w:szCs w:val="22"/>
                <w:lang w:eastAsia="en-GB"/>
              </w:rPr>
              <w:t>likelihood</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19.00%</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8.54%</w:t>
            </w:r>
          </w:p>
        </w:tc>
        <w:tc>
          <w:tcPr>
            <w:tcW w:w="1901"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48.34%</w:t>
            </w:r>
          </w:p>
        </w:tc>
        <w:tc>
          <w:tcPr>
            <w:tcW w:w="1085"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19.95%</w:t>
            </w:r>
          </w:p>
        </w:tc>
      </w:tr>
      <w:tr w:rsidR="00F337DA" w:rsidRPr="00F337DA" w:rsidTr="00F77C5F">
        <w:trPr>
          <w:trHeight w:val="300"/>
        </w:trPr>
        <w:tc>
          <w:tcPr>
            <w:tcW w:w="2271" w:type="dxa"/>
            <w:hideMark/>
          </w:tcPr>
          <w:p w:rsidR="00F337DA" w:rsidRPr="00F337DA" w:rsidRDefault="00F337DA" w:rsidP="00F337DA">
            <w:pPr>
              <w:rPr>
                <w:rFonts w:eastAsia="Times New Roman"/>
                <w:b/>
                <w:bCs/>
                <w:sz w:val="22"/>
                <w:szCs w:val="22"/>
                <w:lang w:eastAsia="en-GB"/>
              </w:rPr>
            </w:pPr>
            <w:r w:rsidRPr="00F337DA">
              <w:rPr>
                <w:rFonts w:eastAsia="Times New Roman"/>
                <w:b/>
                <w:bCs/>
                <w:sz w:val="22"/>
                <w:szCs w:val="22"/>
                <w:lang w:eastAsia="en-GB"/>
              </w:rPr>
              <w:t>Relative likelihood</w:t>
            </w:r>
          </w:p>
        </w:tc>
        <w:tc>
          <w:tcPr>
            <w:tcW w:w="1133" w:type="dxa"/>
            <w:noWrap/>
            <w:hideMark/>
          </w:tcPr>
          <w:p w:rsidR="00F337DA" w:rsidRPr="00F337DA" w:rsidRDefault="00F337DA" w:rsidP="00F337DA">
            <w:pPr>
              <w:rPr>
                <w:rFonts w:eastAsia="Times New Roman"/>
                <w:color w:val="000000"/>
                <w:sz w:val="22"/>
                <w:szCs w:val="22"/>
                <w:lang w:eastAsia="en-GB"/>
              </w:rPr>
            </w:pPr>
            <w:r w:rsidRPr="00F337DA">
              <w:rPr>
                <w:rFonts w:eastAsia="Times New Roman"/>
                <w:color w:val="000000"/>
                <w:sz w:val="22"/>
                <w:szCs w:val="22"/>
                <w:lang w:eastAsia="en-GB"/>
              </w:rPr>
              <w:t> </w:t>
            </w:r>
          </w:p>
        </w:tc>
        <w:tc>
          <w:tcPr>
            <w:tcW w:w="1133" w:type="dxa"/>
            <w:noWrap/>
            <w:hideMark/>
          </w:tcPr>
          <w:p w:rsidR="00F337DA" w:rsidRPr="00F337DA" w:rsidRDefault="00F337DA" w:rsidP="00F337DA">
            <w:pPr>
              <w:rPr>
                <w:rFonts w:eastAsia="Times New Roman"/>
                <w:color w:val="000000"/>
                <w:sz w:val="22"/>
                <w:szCs w:val="22"/>
                <w:lang w:eastAsia="en-GB"/>
              </w:rPr>
            </w:pPr>
            <w:r w:rsidRPr="00F337DA">
              <w:rPr>
                <w:rFonts w:eastAsia="Times New Roman"/>
                <w:color w:val="000000"/>
                <w:sz w:val="22"/>
                <w:szCs w:val="22"/>
                <w:lang w:eastAsia="en-GB"/>
              </w:rPr>
              <w:t> </w:t>
            </w:r>
          </w:p>
        </w:tc>
        <w:tc>
          <w:tcPr>
            <w:tcW w:w="1901" w:type="dxa"/>
            <w:noWrap/>
            <w:hideMark/>
          </w:tcPr>
          <w:p w:rsidR="00F337DA" w:rsidRPr="00F337DA" w:rsidRDefault="00F337DA" w:rsidP="00F337DA">
            <w:pPr>
              <w:rPr>
                <w:rFonts w:eastAsia="Times New Roman"/>
                <w:color w:val="000000"/>
                <w:sz w:val="22"/>
                <w:szCs w:val="22"/>
                <w:lang w:eastAsia="en-GB"/>
              </w:rPr>
            </w:pPr>
            <w:r w:rsidRPr="00F337DA">
              <w:rPr>
                <w:rFonts w:eastAsia="Times New Roman"/>
                <w:color w:val="000000"/>
                <w:sz w:val="22"/>
                <w:szCs w:val="22"/>
                <w:lang w:eastAsia="en-GB"/>
              </w:rPr>
              <w:t> </w:t>
            </w:r>
          </w:p>
        </w:tc>
        <w:tc>
          <w:tcPr>
            <w:tcW w:w="1085"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2.23</w:t>
            </w:r>
          </w:p>
        </w:tc>
      </w:tr>
    </w:tbl>
    <w:p w:rsidR="00B22C2A" w:rsidRDefault="00B22C2A" w:rsidP="00C77F81"/>
    <w:tbl>
      <w:tblPr>
        <w:tblStyle w:val="TableGrid"/>
        <w:tblW w:w="7422" w:type="dxa"/>
        <w:tblInd w:w="607" w:type="dxa"/>
        <w:tblLook w:val="06A0" w:firstRow="1" w:lastRow="0" w:firstColumn="1" w:lastColumn="0" w:noHBand="1" w:noVBand="1"/>
      </w:tblPr>
      <w:tblGrid>
        <w:gridCol w:w="2271"/>
        <w:gridCol w:w="1133"/>
        <w:gridCol w:w="1133"/>
        <w:gridCol w:w="1800"/>
        <w:gridCol w:w="1085"/>
      </w:tblGrid>
      <w:tr w:rsidR="00F337DA" w:rsidRPr="00F337DA" w:rsidTr="00F77C5F">
        <w:trPr>
          <w:trHeight w:val="529"/>
        </w:trPr>
        <w:tc>
          <w:tcPr>
            <w:tcW w:w="2271" w:type="dxa"/>
            <w:hideMark/>
          </w:tcPr>
          <w:p w:rsidR="00F337DA" w:rsidRPr="00F337DA" w:rsidRDefault="00F337DA" w:rsidP="00F337DA">
            <w:pPr>
              <w:jc w:val="center"/>
              <w:rPr>
                <w:rFonts w:eastAsia="Times New Roman"/>
                <w:b/>
                <w:bCs/>
                <w:sz w:val="22"/>
                <w:szCs w:val="22"/>
                <w:lang w:eastAsia="en-GB"/>
              </w:rPr>
            </w:pPr>
            <w:r w:rsidRPr="00F337DA">
              <w:rPr>
                <w:rFonts w:eastAsia="Times New Roman"/>
                <w:b/>
                <w:bCs/>
                <w:sz w:val="22"/>
                <w:szCs w:val="22"/>
                <w:lang w:eastAsia="en-GB"/>
              </w:rPr>
              <w:t>2020</w:t>
            </w:r>
          </w:p>
        </w:tc>
        <w:tc>
          <w:tcPr>
            <w:tcW w:w="1133" w:type="dxa"/>
            <w:hideMark/>
          </w:tcPr>
          <w:p w:rsidR="00F337DA" w:rsidRPr="00F337DA" w:rsidRDefault="00F337DA" w:rsidP="00F337DA">
            <w:pPr>
              <w:jc w:val="center"/>
              <w:rPr>
                <w:rFonts w:eastAsia="Times New Roman"/>
                <w:b/>
                <w:bCs/>
                <w:sz w:val="22"/>
                <w:szCs w:val="22"/>
                <w:lang w:eastAsia="en-GB"/>
              </w:rPr>
            </w:pPr>
            <w:r w:rsidRPr="00F337DA">
              <w:rPr>
                <w:rFonts w:eastAsia="Times New Roman"/>
                <w:b/>
                <w:bCs/>
                <w:sz w:val="22"/>
                <w:szCs w:val="22"/>
                <w:lang w:eastAsia="en-GB"/>
              </w:rPr>
              <w:t>Not Disabled</w:t>
            </w:r>
          </w:p>
        </w:tc>
        <w:tc>
          <w:tcPr>
            <w:tcW w:w="1133" w:type="dxa"/>
            <w:hideMark/>
          </w:tcPr>
          <w:p w:rsidR="00F337DA" w:rsidRPr="00F337DA" w:rsidRDefault="00F337DA" w:rsidP="00F337DA">
            <w:pPr>
              <w:jc w:val="center"/>
              <w:rPr>
                <w:rFonts w:eastAsia="Times New Roman"/>
                <w:b/>
                <w:bCs/>
                <w:sz w:val="22"/>
                <w:szCs w:val="22"/>
                <w:lang w:eastAsia="en-GB"/>
              </w:rPr>
            </w:pPr>
            <w:r w:rsidRPr="00F337DA">
              <w:rPr>
                <w:rFonts w:eastAsia="Times New Roman"/>
                <w:b/>
                <w:bCs/>
                <w:sz w:val="22"/>
                <w:szCs w:val="22"/>
                <w:lang w:eastAsia="en-GB"/>
              </w:rPr>
              <w:t>Disabled</w:t>
            </w:r>
          </w:p>
        </w:tc>
        <w:tc>
          <w:tcPr>
            <w:tcW w:w="1800" w:type="dxa"/>
            <w:hideMark/>
          </w:tcPr>
          <w:p w:rsidR="00F337DA" w:rsidRPr="00F337DA" w:rsidRDefault="00F337DA" w:rsidP="00F337DA">
            <w:pPr>
              <w:jc w:val="center"/>
              <w:rPr>
                <w:rFonts w:eastAsia="Times New Roman"/>
                <w:b/>
                <w:bCs/>
                <w:sz w:val="22"/>
                <w:szCs w:val="22"/>
                <w:lang w:eastAsia="en-GB"/>
              </w:rPr>
            </w:pPr>
            <w:r w:rsidRPr="00F337DA">
              <w:rPr>
                <w:rFonts w:eastAsia="Times New Roman"/>
                <w:b/>
                <w:bCs/>
                <w:sz w:val="22"/>
                <w:szCs w:val="22"/>
                <w:lang w:eastAsia="en-GB"/>
              </w:rPr>
              <w:t xml:space="preserve">Disability Null </w:t>
            </w:r>
            <w:r w:rsidRPr="00F337DA">
              <w:rPr>
                <w:rFonts w:eastAsia="Times New Roman"/>
                <w:b/>
                <w:bCs/>
                <w:sz w:val="22"/>
                <w:szCs w:val="22"/>
                <w:lang w:eastAsia="en-GB"/>
              </w:rPr>
              <w:br/>
              <w:t>or Unknown</w:t>
            </w:r>
          </w:p>
        </w:tc>
        <w:tc>
          <w:tcPr>
            <w:tcW w:w="1085" w:type="dxa"/>
            <w:hideMark/>
          </w:tcPr>
          <w:p w:rsidR="00F337DA" w:rsidRPr="00F337DA" w:rsidRDefault="00F337DA" w:rsidP="00F337DA">
            <w:pPr>
              <w:jc w:val="center"/>
              <w:rPr>
                <w:rFonts w:eastAsia="Times New Roman"/>
                <w:b/>
                <w:bCs/>
                <w:sz w:val="22"/>
                <w:szCs w:val="22"/>
                <w:lang w:eastAsia="en-GB"/>
              </w:rPr>
            </w:pPr>
            <w:r w:rsidRPr="00F337DA">
              <w:rPr>
                <w:rFonts w:eastAsia="Times New Roman"/>
                <w:b/>
                <w:bCs/>
                <w:sz w:val="22"/>
                <w:szCs w:val="22"/>
                <w:lang w:eastAsia="en-GB"/>
              </w:rPr>
              <w:t>Total</w:t>
            </w:r>
          </w:p>
        </w:tc>
      </w:tr>
      <w:tr w:rsidR="00F337DA" w:rsidRPr="00F337DA" w:rsidTr="00F77C5F">
        <w:trPr>
          <w:trHeight w:val="300"/>
        </w:trPr>
        <w:tc>
          <w:tcPr>
            <w:tcW w:w="2271" w:type="dxa"/>
            <w:hideMark/>
          </w:tcPr>
          <w:p w:rsidR="00F337DA" w:rsidRPr="00F337DA" w:rsidRDefault="00F337DA" w:rsidP="00F337DA">
            <w:pPr>
              <w:rPr>
                <w:rFonts w:eastAsia="Times New Roman"/>
                <w:b/>
                <w:bCs/>
                <w:sz w:val="22"/>
                <w:szCs w:val="22"/>
                <w:lang w:eastAsia="en-GB"/>
              </w:rPr>
            </w:pPr>
            <w:r w:rsidRPr="00F337DA">
              <w:rPr>
                <w:rFonts w:eastAsia="Times New Roman"/>
                <w:b/>
                <w:bCs/>
                <w:sz w:val="22"/>
                <w:szCs w:val="22"/>
                <w:lang w:eastAsia="en-GB"/>
              </w:rPr>
              <w:t>Shortlisted</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5038</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307</w:t>
            </w:r>
          </w:p>
        </w:tc>
        <w:tc>
          <w:tcPr>
            <w:tcW w:w="1800"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462</w:t>
            </w:r>
          </w:p>
        </w:tc>
        <w:tc>
          <w:tcPr>
            <w:tcW w:w="1085"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5807</w:t>
            </w:r>
          </w:p>
        </w:tc>
      </w:tr>
      <w:tr w:rsidR="00F337DA" w:rsidRPr="00F337DA" w:rsidTr="00F77C5F">
        <w:trPr>
          <w:trHeight w:val="300"/>
        </w:trPr>
        <w:tc>
          <w:tcPr>
            <w:tcW w:w="2271" w:type="dxa"/>
            <w:hideMark/>
          </w:tcPr>
          <w:p w:rsidR="00F337DA" w:rsidRPr="00F337DA" w:rsidRDefault="00F337DA" w:rsidP="00F337DA">
            <w:pPr>
              <w:rPr>
                <w:rFonts w:eastAsia="Times New Roman"/>
                <w:b/>
                <w:bCs/>
                <w:sz w:val="22"/>
                <w:szCs w:val="22"/>
                <w:lang w:eastAsia="en-GB"/>
              </w:rPr>
            </w:pPr>
            <w:r w:rsidRPr="00F337DA">
              <w:rPr>
                <w:rFonts w:eastAsia="Times New Roman"/>
                <w:b/>
                <w:bCs/>
                <w:sz w:val="22"/>
                <w:szCs w:val="22"/>
                <w:lang w:eastAsia="en-GB"/>
              </w:rPr>
              <w:t>Appointed</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1293</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54</w:t>
            </w:r>
          </w:p>
        </w:tc>
        <w:tc>
          <w:tcPr>
            <w:tcW w:w="1800"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334</w:t>
            </w:r>
          </w:p>
        </w:tc>
        <w:tc>
          <w:tcPr>
            <w:tcW w:w="1085"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1681</w:t>
            </w:r>
          </w:p>
        </w:tc>
      </w:tr>
      <w:tr w:rsidR="00F337DA" w:rsidRPr="00F337DA" w:rsidTr="00F77C5F">
        <w:trPr>
          <w:trHeight w:val="399"/>
        </w:trPr>
        <w:tc>
          <w:tcPr>
            <w:tcW w:w="2271" w:type="dxa"/>
            <w:hideMark/>
          </w:tcPr>
          <w:p w:rsidR="00F337DA" w:rsidRPr="00F337DA" w:rsidRDefault="00F337DA" w:rsidP="00F337DA">
            <w:pPr>
              <w:rPr>
                <w:rFonts w:eastAsia="Times New Roman"/>
                <w:b/>
                <w:bCs/>
                <w:sz w:val="22"/>
                <w:szCs w:val="22"/>
                <w:lang w:eastAsia="en-GB"/>
              </w:rPr>
            </w:pPr>
            <w:r w:rsidRPr="00F337DA">
              <w:rPr>
                <w:rFonts w:eastAsia="Times New Roman"/>
                <w:b/>
                <w:bCs/>
                <w:sz w:val="22"/>
                <w:szCs w:val="22"/>
                <w:lang w:eastAsia="en-GB"/>
              </w:rPr>
              <w:t>Shortlisted %</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86.76%</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5.29%</w:t>
            </w:r>
          </w:p>
        </w:tc>
        <w:tc>
          <w:tcPr>
            <w:tcW w:w="1800"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7.96%</w:t>
            </w:r>
          </w:p>
        </w:tc>
        <w:tc>
          <w:tcPr>
            <w:tcW w:w="1085"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100.00%</w:t>
            </w:r>
          </w:p>
        </w:tc>
      </w:tr>
      <w:tr w:rsidR="00F337DA" w:rsidRPr="00F337DA" w:rsidTr="00F77C5F">
        <w:trPr>
          <w:trHeight w:val="297"/>
        </w:trPr>
        <w:tc>
          <w:tcPr>
            <w:tcW w:w="2271" w:type="dxa"/>
            <w:hideMark/>
          </w:tcPr>
          <w:p w:rsidR="00F337DA" w:rsidRPr="00F337DA" w:rsidRDefault="00F337DA" w:rsidP="00F337DA">
            <w:pPr>
              <w:rPr>
                <w:rFonts w:eastAsia="Times New Roman"/>
                <w:b/>
                <w:bCs/>
                <w:sz w:val="22"/>
                <w:szCs w:val="22"/>
                <w:lang w:eastAsia="en-GB"/>
              </w:rPr>
            </w:pPr>
            <w:r w:rsidRPr="00F337DA">
              <w:rPr>
                <w:rFonts w:eastAsia="Times New Roman"/>
                <w:b/>
                <w:bCs/>
                <w:sz w:val="22"/>
                <w:szCs w:val="22"/>
                <w:lang w:eastAsia="en-GB"/>
              </w:rPr>
              <w:t>Appointed %</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76.92%</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3.21%</w:t>
            </w:r>
          </w:p>
        </w:tc>
        <w:tc>
          <w:tcPr>
            <w:tcW w:w="1800"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19.87%</w:t>
            </w:r>
          </w:p>
        </w:tc>
        <w:tc>
          <w:tcPr>
            <w:tcW w:w="1085"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100.00%</w:t>
            </w:r>
          </w:p>
        </w:tc>
      </w:tr>
      <w:tr w:rsidR="00F337DA" w:rsidRPr="00F337DA" w:rsidTr="00F77C5F">
        <w:trPr>
          <w:trHeight w:val="390"/>
        </w:trPr>
        <w:tc>
          <w:tcPr>
            <w:tcW w:w="2271" w:type="dxa"/>
            <w:hideMark/>
          </w:tcPr>
          <w:p w:rsidR="00F337DA" w:rsidRPr="00F337DA" w:rsidRDefault="00F337DA" w:rsidP="00F337DA">
            <w:pPr>
              <w:rPr>
                <w:rFonts w:eastAsia="Times New Roman"/>
                <w:b/>
                <w:bCs/>
                <w:sz w:val="22"/>
                <w:szCs w:val="22"/>
                <w:lang w:eastAsia="en-GB"/>
              </w:rPr>
            </w:pPr>
            <w:r w:rsidRPr="00F337DA">
              <w:rPr>
                <w:rFonts w:eastAsia="Times New Roman"/>
                <w:b/>
                <w:bCs/>
                <w:sz w:val="22"/>
                <w:szCs w:val="22"/>
                <w:lang w:eastAsia="en-GB"/>
              </w:rPr>
              <w:t>likelihood</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25.66%</w:t>
            </w:r>
          </w:p>
        </w:tc>
        <w:tc>
          <w:tcPr>
            <w:tcW w:w="1133"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17.59%</w:t>
            </w:r>
          </w:p>
        </w:tc>
        <w:tc>
          <w:tcPr>
            <w:tcW w:w="1800"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72.29%</w:t>
            </w:r>
          </w:p>
        </w:tc>
        <w:tc>
          <w:tcPr>
            <w:tcW w:w="1085"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28.95%</w:t>
            </w:r>
          </w:p>
        </w:tc>
      </w:tr>
      <w:tr w:rsidR="00F337DA" w:rsidRPr="00F337DA" w:rsidTr="00F77C5F">
        <w:trPr>
          <w:trHeight w:val="300"/>
        </w:trPr>
        <w:tc>
          <w:tcPr>
            <w:tcW w:w="2271" w:type="dxa"/>
            <w:hideMark/>
          </w:tcPr>
          <w:p w:rsidR="00F337DA" w:rsidRPr="00F337DA" w:rsidRDefault="00F337DA" w:rsidP="00F337DA">
            <w:pPr>
              <w:rPr>
                <w:rFonts w:eastAsia="Times New Roman"/>
                <w:b/>
                <w:bCs/>
                <w:sz w:val="22"/>
                <w:szCs w:val="22"/>
                <w:lang w:eastAsia="en-GB"/>
              </w:rPr>
            </w:pPr>
            <w:r w:rsidRPr="00F337DA">
              <w:rPr>
                <w:rFonts w:eastAsia="Times New Roman"/>
                <w:b/>
                <w:bCs/>
                <w:sz w:val="22"/>
                <w:szCs w:val="22"/>
                <w:lang w:eastAsia="en-GB"/>
              </w:rPr>
              <w:t>Relative likelihood</w:t>
            </w:r>
          </w:p>
        </w:tc>
        <w:tc>
          <w:tcPr>
            <w:tcW w:w="1133" w:type="dxa"/>
            <w:noWrap/>
            <w:hideMark/>
          </w:tcPr>
          <w:p w:rsidR="00F337DA" w:rsidRPr="00F337DA" w:rsidRDefault="00F337DA" w:rsidP="00F337DA">
            <w:pPr>
              <w:rPr>
                <w:rFonts w:eastAsia="Times New Roman"/>
                <w:color w:val="000000"/>
                <w:sz w:val="22"/>
                <w:szCs w:val="22"/>
                <w:lang w:eastAsia="en-GB"/>
              </w:rPr>
            </w:pPr>
            <w:r w:rsidRPr="00F337DA">
              <w:rPr>
                <w:rFonts w:eastAsia="Times New Roman"/>
                <w:color w:val="000000"/>
                <w:sz w:val="22"/>
                <w:szCs w:val="22"/>
                <w:lang w:eastAsia="en-GB"/>
              </w:rPr>
              <w:t> </w:t>
            </w:r>
          </w:p>
        </w:tc>
        <w:tc>
          <w:tcPr>
            <w:tcW w:w="1133" w:type="dxa"/>
            <w:noWrap/>
            <w:hideMark/>
          </w:tcPr>
          <w:p w:rsidR="00F337DA" w:rsidRPr="00F337DA" w:rsidRDefault="00F337DA" w:rsidP="00F337DA">
            <w:pPr>
              <w:rPr>
                <w:rFonts w:eastAsia="Times New Roman"/>
                <w:color w:val="000000"/>
                <w:sz w:val="22"/>
                <w:szCs w:val="22"/>
                <w:lang w:eastAsia="en-GB"/>
              </w:rPr>
            </w:pPr>
            <w:r w:rsidRPr="00F337DA">
              <w:rPr>
                <w:rFonts w:eastAsia="Times New Roman"/>
                <w:color w:val="000000"/>
                <w:sz w:val="22"/>
                <w:szCs w:val="22"/>
                <w:lang w:eastAsia="en-GB"/>
              </w:rPr>
              <w:t> </w:t>
            </w:r>
          </w:p>
        </w:tc>
        <w:tc>
          <w:tcPr>
            <w:tcW w:w="1800" w:type="dxa"/>
            <w:noWrap/>
            <w:hideMark/>
          </w:tcPr>
          <w:p w:rsidR="00F337DA" w:rsidRPr="00F337DA" w:rsidRDefault="00F337DA" w:rsidP="00F337DA">
            <w:pPr>
              <w:rPr>
                <w:rFonts w:eastAsia="Times New Roman"/>
                <w:color w:val="000000"/>
                <w:sz w:val="22"/>
                <w:szCs w:val="22"/>
                <w:lang w:eastAsia="en-GB"/>
              </w:rPr>
            </w:pPr>
            <w:r w:rsidRPr="00F337DA">
              <w:rPr>
                <w:rFonts w:eastAsia="Times New Roman"/>
                <w:color w:val="000000"/>
                <w:sz w:val="22"/>
                <w:szCs w:val="22"/>
                <w:lang w:eastAsia="en-GB"/>
              </w:rPr>
              <w:t> </w:t>
            </w:r>
          </w:p>
        </w:tc>
        <w:tc>
          <w:tcPr>
            <w:tcW w:w="1085" w:type="dxa"/>
            <w:noWrap/>
            <w:hideMark/>
          </w:tcPr>
          <w:p w:rsidR="00F337DA" w:rsidRPr="00F337DA" w:rsidRDefault="00F337DA" w:rsidP="00F337DA">
            <w:pPr>
              <w:jc w:val="right"/>
              <w:rPr>
                <w:rFonts w:eastAsia="Times New Roman"/>
                <w:color w:val="000000"/>
                <w:sz w:val="22"/>
                <w:szCs w:val="22"/>
                <w:lang w:eastAsia="en-GB"/>
              </w:rPr>
            </w:pPr>
            <w:r w:rsidRPr="00F337DA">
              <w:rPr>
                <w:rFonts w:eastAsia="Times New Roman"/>
                <w:color w:val="000000"/>
                <w:sz w:val="22"/>
                <w:szCs w:val="22"/>
                <w:lang w:eastAsia="en-GB"/>
              </w:rPr>
              <w:t>1.46</w:t>
            </w:r>
          </w:p>
        </w:tc>
      </w:tr>
    </w:tbl>
    <w:p w:rsidR="00B22C2A" w:rsidRDefault="00B22C2A" w:rsidP="00C77F81"/>
    <w:p w:rsidR="00B22C2A" w:rsidRDefault="00F337DA" w:rsidP="00F41FD4">
      <w:pPr>
        <w:ind w:left="851"/>
      </w:pPr>
      <w:r>
        <w:t xml:space="preserve">The Trust is pleased </w:t>
      </w:r>
      <w:r w:rsidR="002B18B2">
        <w:t>to announce</w:t>
      </w:r>
      <w:r>
        <w:t xml:space="preserve"> that as a consequence of last year’s </w:t>
      </w:r>
      <w:r w:rsidR="002B18B2">
        <w:t>action plan and activity the relative likelihood of disabled candidates being appointed from shortlisting has reduced from 2.23 to 1.46. In 2019 non-disabled candidates were over twice as likely to be appointed from shortlist than candidates who had declared a disability.</w:t>
      </w:r>
    </w:p>
    <w:p w:rsidR="002B18B2" w:rsidRDefault="002B18B2" w:rsidP="00F41FD4">
      <w:pPr>
        <w:ind w:left="851"/>
      </w:pPr>
      <w:r>
        <w:t>In 2020 that figure has reduced to less than one and a half times more like</w:t>
      </w:r>
      <w:r w:rsidR="00CB6186">
        <w:t>ly</w:t>
      </w:r>
      <w:r>
        <w:t>.</w:t>
      </w:r>
    </w:p>
    <w:p w:rsidR="006365BC" w:rsidRDefault="006365BC" w:rsidP="006365BC">
      <w:pPr>
        <w:tabs>
          <w:tab w:val="left" w:pos="2066"/>
        </w:tabs>
      </w:pPr>
    </w:p>
    <w:p w:rsidR="0032737C" w:rsidRDefault="00C77F81" w:rsidP="008773B9">
      <w:pPr>
        <w:pStyle w:val="Heading2"/>
      </w:pPr>
      <w:bookmarkStart w:id="32" w:name="_Toc14081459"/>
      <w:r>
        <w:lastRenderedPageBreak/>
        <w:t>Metric 3</w:t>
      </w:r>
      <w:r>
        <w:tab/>
      </w:r>
      <w:r w:rsidRPr="00F41FD4">
        <w:t>Relative likelihood of Disabled staff compared to non-disabled staff entering the formal capability process, as measured by entry into the formal capability procedure.</w:t>
      </w:r>
      <w:bookmarkEnd w:id="32"/>
    </w:p>
    <w:p w:rsidR="00A3430D" w:rsidRDefault="00C77F81" w:rsidP="00DF7C89">
      <w:pPr>
        <w:pStyle w:val="Heading3"/>
      </w:pPr>
      <w:bookmarkStart w:id="33" w:name="_Toc14081460"/>
      <w:r>
        <w:t>The relative likely hood of</w:t>
      </w:r>
      <w:r w:rsidRPr="00C77F81">
        <w:t xml:space="preserve"> Disabled staff compared to non-disabled staff entering the formal capability process</w:t>
      </w:r>
      <w:r>
        <w:t xml:space="preserve"> is zero. </w:t>
      </w:r>
      <w:r w:rsidR="00A3430D">
        <w:t xml:space="preserve">This is because no staff who have declared a disability entered the formal capability process in 2018/19 or 2019/20 </w:t>
      </w:r>
    </w:p>
    <w:bookmarkEnd w:id="33"/>
    <w:p w:rsidR="00A3430D" w:rsidRDefault="00A3430D" w:rsidP="00A3430D"/>
    <w:tbl>
      <w:tblPr>
        <w:tblStyle w:val="TableGrid"/>
        <w:tblW w:w="7893" w:type="dxa"/>
        <w:tblInd w:w="607" w:type="dxa"/>
        <w:tblLook w:val="06A0" w:firstRow="1" w:lastRow="0" w:firstColumn="1" w:lastColumn="0" w:noHBand="1" w:noVBand="1"/>
      </w:tblPr>
      <w:tblGrid>
        <w:gridCol w:w="3118"/>
        <w:gridCol w:w="1276"/>
        <w:gridCol w:w="1657"/>
        <w:gridCol w:w="1842"/>
      </w:tblGrid>
      <w:tr w:rsidR="007317BB" w:rsidRPr="007317BB" w:rsidTr="00F77C5F">
        <w:trPr>
          <w:trHeight w:val="315"/>
        </w:trPr>
        <w:tc>
          <w:tcPr>
            <w:tcW w:w="3118" w:type="dxa"/>
            <w:noWrap/>
            <w:hideMark/>
          </w:tcPr>
          <w:p w:rsidR="007317BB" w:rsidRPr="007317BB" w:rsidRDefault="007317BB" w:rsidP="007317BB">
            <w:pPr>
              <w:rPr>
                <w:rFonts w:eastAsia="Times New Roman"/>
                <w:b/>
                <w:bCs/>
                <w:color w:val="000000"/>
                <w:lang w:eastAsia="en-GB"/>
              </w:rPr>
            </w:pPr>
            <w:r w:rsidRPr="007317BB">
              <w:rPr>
                <w:rFonts w:eastAsia="Times New Roman"/>
                <w:b/>
                <w:bCs/>
                <w:color w:val="000000"/>
                <w:lang w:eastAsia="en-GB"/>
              </w:rPr>
              <w:t>01/04/2018 - 31/03/2019</w:t>
            </w:r>
          </w:p>
        </w:tc>
        <w:tc>
          <w:tcPr>
            <w:tcW w:w="1276" w:type="dxa"/>
            <w:noWrap/>
            <w:hideMark/>
          </w:tcPr>
          <w:p w:rsidR="007317BB" w:rsidRPr="007317BB" w:rsidRDefault="007317BB" w:rsidP="007317BB">
            <w:pPr>
              <w:jc w:val="center"/>
              <w:rPr>
                <w:rFonts w:eastAsia="Times New Roman"/>
                <w:b/>
                <w:bCs/>
                <w:color w:val="000000"/>
                <w:lang w:eastAsia="en-GB"/>
              </w:rPr>
            </w:pPr>
            <w:r w:rsidRPr="007317BB">
              <w:rPr>
                <w:rFonts w:eastAsia="Times New Roman"/>
                <w:b/>
                <w:bCs/>
                <w:color w:val="000000"/>
                <w:lang w:eastAsia="en-GB"/>
              </w:rPr>
              <w:t>Disabled</w:t>
            </w:r>
          </w:p>
        </w:tc>
        <w:tc>
          <w:tcPr>
            <w:tcW w:w="1657" w:type="dxa"/>
            <w:noWrap/>
            <w:hideMark/>
          </w:tcPr>
          <w:p w:rsidR="007317BB" w:rsidRPr="007317BB" w:rsidRDefault="007317BB" w:rsidP="007317BB">
            <w:pPr>
              <w:jc w:val="center"/>
              <w:rPr>
                <w:rFonts w:eastAsia="Times New Roman"/>
                <w:b/>
                <w:bCs/>
                <w:color w:val="000000"/>
                <w:lang w:eastAsia="en-GB"/>
              </w:rPr>
            </w:pPr>
            <w:r w:rsidRPr="007317BB">
              <w:rPr>
                <w:rFonts w:eastAsia="Times New Roman"/>
                <w:b/>
                <w:bCs/>
                <w:color w:val="000000"/>
                <w:lang w:eastAsia="en-GB"/>
              </w:rPr>
              <w:t>Non-disabled</w:t>
            </w:r>
          </w:p>
        </w:tc>
        <w:tc>
          <w:tcPr>
            <w:tcW w:w="1842" w:type="dxa"/>
            <w:noWrap/>
            <w:hideMark/>
          </w:tcPr>
          <w:p w:rsidR="007317BB" w:rsidRPr="007317BB" w:rsidRDefault="007317BB" w:rsidP="007317BB">
            <w:pPr>
              <w:jc w:val="center"/>
              <w:rPr>
                <w:rFonts w:eastAsia="Times New Roman"/>
                <w:b/>
                <w:bCs/>
                <w:color w:val="000000"/>
                <w:lang w:eastAsia="en-GB"/>
              </w:rPr>
            </w:pPr>
            <w:r w:rsidRPr="007317BB">
              <w:rPr>
                <w:rFonts w:eastAsia="Times New Roman"/>
                <w:b/>
                <w:bCs/>
                <w:color w:val="000000"/>
                <w:lang w:eastAsia="en-GB"/>
              </w:rPr>
              <w:t>Not declared</w:t>
            </w:r>
          </w:p>
        </w:tc>
      </w:tr>
      <w:tr w:rsidR="007317BB" w:rsidRPr="007317BB" w:rsidTr="00F77C5F">
        <w:trPr>
          <w:trHeight w:val="315"/>
        </w:trPr>
        <w:tc>
          <w:tcPr>
            <w:tcW w:w="3118" w:type="dxa"/>
            <w:noWrap/>
            <w:hideMark/>
          </w:tcPr>
          <w:p w:rsidR="007317BB" w:rsidRPr="007317BB" w:rsidRDefault="007317BB" w:rsidP="007317BB">
            <w:pPr>
              <w:rPr>
                <w:rFonts w:eastAsia="Times New Roman"/>
                <w:b/>
                <w:bCs/>
                <w:color w:val="000000"/>
                <w:lang w:eastAsia="en-GB"/>
              </w:rPr>
            </w:pPr>
            <w:r w:rsidRPr="007317BB">
              <w:rPr>
                <w:rFonts w:eastAsia="Times New Roman"/>
                <w:b/>
                <w:bCs/>
                <w:color w:val="000000"/>
                <w:lang w:eastAsia="en-GB"/>
              </w:rPr>
              <w:t>Entry into the formal capability procedure</w:t>
            </w:r>
          </w:p>
        </w:tc>
        <w:tc>
          <w:tcPr>
            <w:tcW w:w="1276"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0</w:t>
            </w:r>
          </w:p>
        </w:tc>
        <w:tc>
          <w:tcPr>
            <w:tcW w:w="1657"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6</w:t>
            </w:r>
          </w:p>
        </w:tc>
        <w:tc>
          <w:tcPr>
            <w:tcW w:w="1842"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11</w:t>
            </w:r>
          </w:p>
        </w:tc>
      </w:tr>
      <w:tr w:rsidR="007317BB" w:rsidRPr="007317BB" w:rsidTr="00F77C5F">
        <w:trPr>
          <w:trHeight w:val="315"/>
        </w:trPr>
        <w:tc>
          <w:tcPr>
            <w:tcW w:w="3118" w:type="dxa"/>
            <w:noWrap/>
            <w:hideMark/>
          </w:tcPr>
          <w:p w:rsidR="007317BB" w:rsidRPr="007317BB" w:rsidRDefault="007317BB" w:rsidP="007317BB">
            <w:pPr>
              <w:rPr>
                <w:rFonts w:eastAsia="Times New Roman"/>
                <w:b/>
                <w:bCs/>
                <w:color w:val="000000"/>
                <w:lang w:eastAsia="en-GB"/>
              </w:rPr>
            </w:pPr>
            <w:r w:rsidRPr="007317BB">
              <w:rPr>
                <w:rFonts w:eastAsia="Times New Roman"/>
                <w:b/>
                <w:bCs/>
                <w:color w:val="000000"/>
                <w:lang w:eastAsia="en-GB"/>
              </w:rPr>
              <w:t xml:space="preserve">Total Number of </w:t>
            </w:r>
            <w:proofErr w:type="gramStart"/>
            <w:r w:rsidRPr="007317BB">
              <w:rPr>
                <w:rFonts w:eastAsia="Times New Roman"/>
                <w:b/>
                <w:bCs/>
                <w:color w:val="000000"/>
                <w:lang w:eastAsia="en-GB"/>
              </w:rPr>
              <w:t>staff</w:t>
            </w:r>
            <w:proofErr w:type="gramEnd"/>
          </w:p>
        </w:tc>
        <w:tc>
          <w:tcPr>
            <w:tcW w:w="1276"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286</w:t>
            </w:r>
          </w:p>
        </w:tc>
        <w:tc>
          <w:tcPr>
            <w:tcW w:w="1657"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5092</w:t>
            </w:r>
          </w:p>
        </w:tc>
        <w:tc>
          <w:tcPr>
            <w:tcW w:w="1842"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2743</w:t>
            </w:r>
          </w:p>
        </w:tc>
      </w:tr>
      <w:tr w:rsidR="007317BB" w:rsidRPr="007317BB" w:rsidTr="00F77C5F">
        <w:trPr>
          <w:trHeight w:val="315"/>
        </w:trPr>
        <w:tc>
          <w:tcPr>
            <w:tcW w:w="3118" w:type="dxa"/>
            <w:noWrap/>
            <w:hideMark/>
          </w:tcPr>
          <w:p w:rsidR="007317BB" w:rsidRPr="007317BB" w:rsidRDefault="007317BB" w:rsidP="007317BB">
            <w:pPr>
              <w:rPr>
                <w:rFonts w:eastAsia="Times New Roman"/>
                <w:b/>
                <w:bCs/>
                <w:color w:val="000000"/>
                <w:lang w:eastAsia="en-GB"/>
              </w:rPr>
            </w:pPr>
            <w:r w:rsidRPr="007317BB">
              <w:rPr>
                <w:rFonts w:eastAsia="Times New Roman"/>
                <w:b/>
                <w:bCs/>
                <w:color w:val="000000"/>
                <w:lang w:eastAsia="en-GB"/>
              </w:rPr>
              <w:t>Likelihood</w:t>
            </w:r>
          </w:p>
        </w:tc>
        <w:tc>
          <w:tcPr>
            <w:tcW w:w="1276"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0</w:t>
            </w:r>
          </w:p>
        </w:tc>
        <w:tc>
          <w:tcPr>
            <w:tcW w:w="1657"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0.00117832</w:t>
            </w:r>
          </w:p>
        </w:tc>
        <w:tc>
          <w:tcPr>
            <w:tcW w:w="1842"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0.00401021</w:t>
            </w:r>
          </w:p>
        </w:tc>
      </w:tr>
      <w:tr w:rsidR="007317BB" w:rsidRPr="007317BB" w:rsidTr="00F77C5F">
        <w:trPr>
          <w:trHeight w:val="315"/>
        </w:trPr>
        <w:tc>
          <w:tcPr>
            <w:tcW w:w="3118" w:type="dxa"/>
            <w:noWrap/>
            <w:hideMark/>
          </w:tcPr>
          <w:p w:rsidR="007317BB" w:rsidRPr="007317BB" w:rsidRDefault="007317BB" w:rsidP="007317BB">
            <w:pPr>
              <w:rPr>
                <w:rFonts w:eastAsia="Times New Roman"/>
                <w:b/>
                <w:bCs/>
                <w:color w:val="000000"/>
                <w:lang w:eastAsia="en-GB"/>
              </w:rPr>
            </w:pPr>
            <w:r w:rsidRPr="007317BB">
              <w:rPr>
                <w:rFonts w:eastAsia="Times New Roman"/>
                <w:b/>
                <w:bCs/>
                <w:color w:val="000000"/>
                <w:lang w:eastAsia="en-GB"/>
              </w:rPr>
              <w:t>RELATIVE Likelihood</w:t>
            </w:r>
          </w:p>
        </w:tc>
        <w:tc>
          <w:tcPr>
            <w:tcW w:w="1276" w:type="dxa"/>
            <w:noWrap/>
            <w:hideMark/>
          </w:tcPr>
          <w:p w:rsidR="007317BB" w:rsidRPr="007317BB" w:rsidRDefault="007317BB" w:rsidP="007317BB">
            <w:pPr>
              <w:rPr>
                <w:rFonts w:eastAsia="Times New Roman"/>
                <w:color w:val="000000"/>
                <w:lang w:eastAsia="en-GB"/>
              </w:rPr>
            </w:pPr>
            <w:r w:rsidRPr="007317BB">
              <w:rPr>
                <w:rFonts w:eastAsia="Times New Roman"/>
                <w:color w:val="000000"/>
                <w:lang w:eastAsia="en-GB"/>
              </w:rPr>
              <w:t> </w:t>
            </w:r>
          </w:p>
        </w:tc>
        <w:tc>
          <w:tcPr>
            <w:tcW w:w="1657"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0</w:t>
            </w:r>
          </w:p>
        </w:tc>
        <w:tc>
          <w:tcPr>
            <w:tcW w:w="1842" w:type="dxa"/>
            <w:noWrap/>
            <w:hideMark/>
          </w:tcPr>
          <w:p w:rsidR="007317BB" w:rsidRPr="007317BB" w:rsidRDefault="007317BB" w:rsidP="007317BB">
            <w:pPr>
              <w:rPr>
                <w:rFonts w:eastAsia="Times New Roman"/>
                <w:color w:val="000000"/>
                <w:lang w:eastAsia="en-GB"/>
              </w:rPr>
            </w:pPr>
            <w:r w:rsidRPr="007317BB">
              <w:rPr>
                <w:rFonts w:eastAsia="Times New Roman"/>
                <w:color w:val="000000"/>
                <w:lang w:eastAsia="en-GB"/>
              </w:rPr>
              <w:t> </w:t>
            </w:r>
          </w:p>
        </w:tc>
      </w:tr>
    </w:tbl>
    <w:p w:rsidR="007317BB" w:rsidRDefault="007317BB" w:rsidP="00A3430D"/>
    <w:tbl>
      <w:tblPr>
        <w:tblStyle w:val="TableGrid"/>
        <w:tblW w:w="7933" w:type="dxa"/>
        <w:tblInd w:w="607" w:type="dxa"/>
        <w:tblLook w:val="06A0" w:firstRow="1" w:lastRow="0" w:firstColumn="1" w:lastColumn="0" w:noHBand="1" w:noVBand="1"/>
      </w:tblPr>
      <w:tblGrid>
        <w:gridCol w:w="2972"/>
        <w:gridCol w:w="1276"/>
        <w:gridCol w:w="1843"/>
        <w:gridCol w:w="1842"/>
      </w:tblGrid>
      <w:tr w:rsidR="007317BB" w:rsidRPr="007317BB" w:rsidTr="00F77C5F">
        <w:trPr>
          <w:trHeight w:val="315"/>
        </w:trPr>
        <w:tc>
          <w:tcPr>
            <w:tcW w:w="2972" w:type="dxa"/>
            <w:noWrap/>
            <w:hideMark/>
          </w:tcPr>
          <w:p w:rsidR="007317BB" w:rsidRPr="007317BB" w:rsidRDefault="007317BB" w:rsidP="007317BB">
            <w:pPr>
              <w:rPr>
                <w:rFonts w:eastAsia="Times New Roman"/>
                <w:b/>
                <w:bCs/>
                <w:color w:val="000000"/>
                <w:lang w:eastAsia="en-GB"/>
              </w:rPr>
            </w:pPr>
            <w:r w:rsidRPr="007317BB">
              <w:rPr>
                <w:rFonts w:eastAsia="Times New Roman"/>
                <w:b/>
                <w:bCs/>
                <w:color w:val="000000"/>
                <w:lang w:eastAsia="en-GB"/>
              </w:rPr>
              <w:t>01/04/2019 - 31/03/2020</w:t>
            </w:r>
          </w:p>
        </w:tc>
        <w:tc>
          <w:tcPr>
            <w:tcW w:w="1276" w:type="dxa"/>
            <w:noWrap/>
            <w:hideMark/>
          </w:tcPr>
          <w:p w:rsidR="007317BB" w:rsidRPr="007317BB" w:rsidRDefault="007317BB" w:rsidP="007317BB">
            <w:pPr>
              <w:rPr>
                <w:rFonts w:eastAsia="Times New Roman"/>
                <w:b/>
                <w:bCs/>
                <w:color w:val="000000"/>
                <w:lang w:eastAsia="en-GB"/>
              </w:rPr>
            </w:pPr>
            <w:r w:rsidRPr="007317BB">
              <w:rPr>
                <w:rFonts w:eastAsia="Times New Roman"/>
                <w:b/>
                <w:bCs/>
                <w:color w:val="000000"/>
                <w:lang w:eastAsia="en-GB"/>
              </w:rPr>
              <w:t>Disabled</w:t>
            </w:r>
          </w:p>
        </w:tc>
        <w:tc>
          <w:tcPr>
            <w:tcW w:w="1843" w:type="dxa"/>
            <w:noWrap/>
            <w:hideMark/>
          </w:tcPr>
          <w:p w:rsidR="007317BB" w:rsidRPr="007317BB" w:rsidRDefault="007317BB" w:rsidP="007317BB">
            <w:pPr>
              <w:rPr>
                <w:rFonts w:eastAsia="Times New Roman"/>
                <w:b/>
                <w:bCs/>
                <w:color w:val="000000"/>
                <w:lang w:eastAsia="en-GB"/>
              </w:rPr>
            </w:pPr>
            <w:r w:rsidRPr="007317BB">
              <w:rPr>
                <w:rFonts w:eastAsia="Times New Roman"/>
                <w:b/>
                <w:bCs/>
                <w:color w:val="000000"/>
                <w:lang w:eastAsia="en-GB"/>
              </w:rPr>
              <w:t>Non-disabled</w:t>
            </w:r>
          </w:p>
        </w:tc>
        <w:tc>
          <w:tcPr>
            <w:tcW w:w="1842" w:type="dxa"/>
            <w:noWrap/>
            <w:hideMark/>
          </w:tcPr>
          <w:p w:rsidR="007317BB" w:rsidRPr="007317BB" w:rsidRDefault="007317BB" w:rsidP="007317BB">
            <w:pPr>
              <w:rPr>
                <w:rFonts w:eastAsia="Times New Roman"/>
                <w:b/>
                <w:bCs/>
                <w:color w:val="000000"/>
                <w:lang w:eastAsia="en-GB"/>
              </w:rPr>
            </w:pPr>
            <w:r w:rsidRPr="007317BB">
              <w:rPr>
                <w:rFonts w:eastAsia="Times New Roman"/>
                <w:b/>
                <w:bCs/>
                <w:color w:val="000000"/>
                <w:lang w:eastAsia="en-GB"/>
              </w:rPr>
              <w:t>Not declared</w:t>
            </w:r>
          </w:p>
        </w:tc>
      </w:tr>
      <w:tr w:rsidR="007317BB" w:rsidRPr="007317BB" w:rsidTr="00F77C5F">
        <w:trPr>
          <w:trHeight w:val="315"/>
        </w:trPr>
        <w:tc>
          <w:tcPr>
            <w:tcW w:w="2972" w:type="dxa"/>
            <w:noWrap/>
            <w:hideMark/>
          </w:tcPr>
          <w:p w:rsidR="007317BB" w:rsidRPr="007317BB" w:rsidRDefault="007317BB" w:rsidP="007317BB">
            <w:pPr>
              <w:rPr>
                <w:rFonts w:eastAsia="Times New Roman"/>
                <w:b/>
                <w:bCs/>
                <w:color w:val="000000"/>
                <w:lang w:eastAsia="en-GB"/>
              </w:rPr>
            </w:pPr>
            <w:r w:rsidRPr="007317BB">
              <w:rPr>
                <w:rFonts w:eastAsia="Times New Roman"/>
                <w:b/>
                <w:bCs/>
                <w:color w:val="000000"/>
                <w:lang w:eastAsia="en-GB"/>
              </w:rPr>
              <w:t>Entry into the formal capability procedure</w:t>
            </w:r>
          </w:p>
        </w:tc>
        <w:tc>
          <w:tcPr>
            <w:tcW w:w="1276"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0</w:t>
            </w:r>
          </w:p>
        </w:tc>
        <w:tc>
          <w:tcPr>
            <w:tcW w:w="1843"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3</w:t>
            </w:r>
          </w:p>
        </w:tc>
        <w:tc>
          <w:tcPr>
            <w:tcW w:w="1842"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1</w:t>
            </w:r>
          </w:p>
        </w:tc>
      </w:tr>
      <w:tr w:rsidR="007317BB" w:rsidRPr="007317BB" w:rsidTr="00F77C5F">
        <w:trPr>
          <w:trHeight w:val="315"/>
        </w:trPr>
        <w:tc>
          <w:tcPr>
            <w:tcW w:w="2972" w:type="dxa"/>
            <w:noWrap/>
            <w:hideMark/>
          </w:tcPr>
          <w:p w:rsidR="007317BB" w:rsidRPr="007317BB" w:rsidRDefault="007317BB" w:rsidP="007317BB">
            <w:pPr>
              <w:rPr>
                <w:rFonts w:eastAsia="Times New Roman"/>
                <w:b/>
                <w:bCs/>
                <w:color w:val="000000"/>
                <w:lang w:eastAsia="en-GB"/>
              </w:rPr>
            </w:pPr>
            <w:r w:rsidRPr="007317BB">
              <w:rPr>
                <w:rFonts w:eastAsia="Times New Roman"/>
                <w:b/>
                <w:bCs/>
                <w:color w:val="000000"/>
                <w:lang w:eastAsia="en-GB"/>
              </w:rPr>
              <w:t xml:space="preserve">Total Number of </w:t>
            </w:r>
            <w:proofErr w:type="gramStart"/>
            <w:r w:rsidRPr="007317BB">
              <w:rPr>
                <w:rFonts w:eastAsia="Times New Roman"/>
                <w:b/>
                <w:bCs/>
                <w:color w:val="000000"/>
                <w:lang w:eastAsia="en-GB"/>
              </w:rPr>
              <w:t>staff</w:t>
            </w:r>
            <w:proofErr w:type="gramEnd"/>
          </w:p>
        </w:tc>
        <w:tc>
          <w:tcPr>
            <w:tcW w:w="1276"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298</w:t>
            </w:r>
          </w:p>
        </w:tc>
        <w:tc>
          <w:tcPr>
            <w:tcW w:w="1843"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5479</w:t>
            </w:r>
          </w:p>
        </w:tc>
        <w:tc>
          <w:tcPr>
            <w:tcW w:w="1842"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2889</w:t>
            </w:r>
          </w:p>
        </w:tc>
      </w:tr>
      <w:tr w:rsidR="007317BB" w:rsidRPr="007317BB" w:rsidTr="00F77C5F">
        <w:trPr>
          <w:trHeight w:val="315"/>
        </w:trPr>
        <w:tc>
          <w:tcPr>
            <w:tcW w:w="2972" w:type="dxa"/>
            <w:noWrap/>
            <w:hideMark/>
          </w:tcPr>
          <w:p w:rsidR="007317BB" w:rsidRPr="007317BB" w:rsidRDefault="007317BB" w:rsidP="007317BB">
            <w:pPr>
              <w:rPr>
                <w:rFonts w:eastAsia="Times New Roman"/>
                <w:b/>
                <w:bCs/>
                <w:color w:val="000000"/>
                <w:lang w:eastAsia="en-GB"/>
              </w:rPr>
            </w:pPr>
            <w:r w:rsidRPr="007317BB">
              <w:rPr>
                <w:rFonts w:eastAsia="Times New Roman"/>
                <w:b/>
                <w:bCs/>
                <w:color w:val="000000"/>
                <w:lang w:eastAsia="en-GB"/>
              </w:rPr>
              <w:t>Likelihood</w:t>
            </w:r>
          </w:p>
        </w:tc>
        <w:tc>
          <w:tcPr>
            <w:tcW w:w="1276"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0</w:t>
            </w:r>
          </w:p>
        </w:tc>
        <w:tc>
          <w:tcPr>
            <w:tcW w:w="1843"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0.00054755</w:t>
            </w:r>
          </w:p>
        </w:tc>
        <w:tc>
          <w:tcPr>
            <w:tcW w:w="1842"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0.00034614</w:t>
            </w:r>
          </w:p>
        </w:tc>
      </w:tr>
      <w:tr w:rsidR="007317BB" w:rsidRPr="007317BB" w:rsidTr="00F77C5F">
        <w:trPr>
          <w:trHeight w:val="315"/>
        </w:trPr>
        <w:tc>
          <w:tcPr>
            <w:tcW w:w="2972" w:type="dxa"/>
            <w:noWrap/>
            <w:hideMark/>
          </w:tcPr>
          <w:p w:rsidR="007317BB" w:rsidRPr="007317BB" w:rsidRDefault="007317BB" w:rsidP="007317BB">
            <w:pPr>
              <w:rPr>
                <w:rFonts w:eastAsia="Times New Roman"/>
                <w:b/>
                <w:bCs/>
                <w:color w:val="000000"/>
                <w:lang w:eastAsia="en-GB"/>
              </w:rPr>
            </w:pPr>
            <w:r w:rsidRPr="007317BB">
              <w:rPr>
                <w:rFonts w:eastAsia="Times New Roman"/>
                <w:b/>
                <w:bCs/>
                <w:color w:val="000000"/>
                <w:lang w:eastAsia="en-GB"/>
              </w:rPr>
              <w:t>RELATIVE Likelihood</w:t>
            </w:r>
          </w:p>
        </w:tc>
        <w:tc>
          <w:tcPr>
            <w:tcW w:w="1276" w:type="dxa"/>
            <w:noWrap/>
            <w:hideMark/>
          </w:tcPr>
          <w:p w:rsidR="007317BB" w:rsidRPr="007317BB" w:rsidRDefault="007317BB" w:rsidP="007317BB">
            <w:pPr>
              <w:rPr>
                <w:rFonts w:eastAsia="Times New Roman"/>
                <w:color w:val="000000"/>
                <w:lang w:eastAsia="en-GB"/>
              </w:rPr>
            </w:pPr>
            <w:r w:rsidRPr="007317BB">
              <w:rPr>
                <w:rFonts w:eastAsia="Times New Roman"/>
                <w:color w:val="000000"/>
                <w:lang w:eastAsia="en-GB"/>
              </w:rPr>
              <w:t> </w:t>
            </w:r>
          </w:p>
        </w:tc>
        <w:tc>
          <w:tcPr>
            <w:tcW w:w="1843" w:type="dxa"/>
            <w:noWrap/>
            <w:hideMark/>
          </w:tcPr>
          <w:p w:rsidR="007317BB" w:rsidRPr="007317BB" w:rsidRDefault="007317BB" w:rsidP="007317BB">
            <w:pPr>
              <w:jc w:val="right"/>
              <w:rPr>
                <w:rFonts w:eastAsia="Times New Roman"/>
                <w:color w:val="000000"/>
                <w:lang w:eastAsia="en-GB"/>
              </w:rPr>
            </w:pPr>
            <w:r w:rsidRPr="007317BB">
              <w:rPr>
                <w:rFonts w:eastAsia="Times New Roman"/>
                <w:color w:val="000000"/>
                <w:lang w:eastAsia="en-GB"/>
              </w:rPr>
              <w:t>0</w:t>
            </w:r>
          </w:p>
        </w:tc>
        <w:tc>
          <w:tcPr>
            <w:tcW w:w="1842" w:type="dxa"/>
            <w:noWrap/>
            <w:hideMark/>
          </w:tcPr>
          <w:p w:rsidR="007317BB" w:rsidRPr="007317BB" w:rsidRDefault="007317BB" w:rsidP="007317BB">
            <w:pPr>
              <w:rPr>
                <w:rFonts w:eastAsia="Times New Roman"/>
                <w:color w:val="000000"/>
                <w:lang w:eastAsia="en-GB"/>
              </w:rPr>
            </w:pPr>
            <w:r w:rsidRPr="007317BB">
              <w:rPr>
                <w:rFonts w:eastAsia="Times New Roman"/>
                <w:color w:val="000000"/>
                <w:lang w:eastAsia="en-GB"/>
              </w:rPr>
              <w:t> </w:t>
            </w:r>
          </w:p>
        </w:tc>
      </w:tr>
    </w:tbl>
    <w:p w:rsidR="00A3430D" w:rsidRPr="00A3430D" w:rsidRDefault="00A3430D" w:rsidP="00A3430D"/>
    <w:p w:rsidR="00C77F81" w:rsidRDefault="00821AE5" w:rsidP="00DF7C89">
      <w:pPr>
        <w:pStyle w:val="Heading3"/>
      </w:pPr>
      <w:r>
        <w:t>The Ill-health Capability Process</w:t>
      </w:r>
      <w:r w:rsidR="000C13E8">
        <w:t>. Whilst this data is not mandatory it is recommended that trusts examine the data and consider any appropriate actions.</w:t>
      </w:r>
    </w:p>
    <w:p w:rsidR="000C13E8" w:rsidRDefault="000C13E8" w:rsidP="000C13E8">
      <w:pPr>
        <w:pStyle w:val="Default"/>
        <w:rPr>
          <w:color w:val="auto"/>
        </w:rPr>
      </w:pPr>
    </w:p>
    <w:p w:rsidR="000C13E8" w:rsidRDefault="000C13E8" w:rsidP="000C13E8">
      <w:pPr>
        <w:pStyle w:val="Default"/>
        <w:numPr>
          <w:ilvl w:val="0"/>
          <w:numId w:val="14"/>
        </w:numPr>
        <w:ind w:left="1418" w:hanging="567"/>
        <w:rPr>
          <w:sz w:val="23"/>
          <w:szCs w:val="23"/>
        </w:rPr>
      </w:pPr>
      <w:r>
        <w:rPr>
          <w:sz w:val="23"/>
          <w:szCs w:val="23"/>
        </w:rPr>
        <w:t xml:space="preserve">A relative likelihood of 1 indicates that there is no difference, i.e. Disabled staff are equally as likely as non-disabled staff to enter </w:t>
      </w:r>
      <w:r w:rsidR="00633B60">
        <w:rPr>
          <w:sz w:val="23"/>
          <w:szCs w:val="23"/>
        </w:rPr>
        <w:t>the</w:t>
      </w:r>
      <w:r>
        <w:rPr>
          <w:sz w:val="23"/>
          <w:szCs w:val="23"/>
        </w:rPr>
        <w:t xml:space="preserve"> capability processes. </w:t>
      </w:r>
    </w:p>
    <w:p w:rsidR="000C13E8" w:rsidRDefault="000C13E8" w:rsidP="000C13E8">
      <w:pPr>
        <w:pStyle w:val="Default"/>
        <w:numPr>
          <w:ilvl w:val="0"/>
          <w:numId w:val="14"/>
        </w:numPr>
        <w:ind w:left="1418" w:hanging="567"/>
        <w:rPr>
          <w:sz w:val="23"/>
          <w:szCs w:val="23"/>
        </w:rPr>
      </w:pPr>
      <w:r>
        <w:rPr>
          <w:sz w:val="23"/>
          <w:szCs w:val="23"/>
        </w:rPr>
        <w:t xml:space="preserve">ii) A relative likelihood </w:t>
      </w:r>
      <w:r>
        <w:rPr>
          <w:b/>
          <w:bCs/>
          <w:sz w:val="23"/>
          <w:szCs w:val="23"/>
        </w:rPr>
        <w:t xml:space="preserve">above </w:t>
      </w:r>
      <w:r>
        <w:rPr>
          <w:sz w:val="23"/>
          <w:szCs w:val="23"/>
        </w:rPr>
        <w:t>1 indicates that Disabled staff are more likely to enter capability processes than non-disabled staff: e.g. a likelihood ratio of 2 indicates that Disabled staff are twice (2 times) as likely to enter a formal capability process compared to non-disabled staff.</w:t>
      </w:r>
    </w:p>
    <w:p w:rsidR="00FB4DCD" w:rsidRPr="00340B45" w:rsidRDefault="000C13E8" w:rsidP="00FB4DCD">
      <w:pPr>
        <w:pStyle w:val="Default"/>
        <w:numPr>
          <w:ilvl w:val="0"/>
          <w:numId w:val="14"/>
        </w:numPr>
        <w:ind w:left="1418" w:hanging="567"/>
        <w:rPr>
          <w:sz w:val="23"/>
          <w:szCs w:val="23"/>
        </w:rPr>
      </w:pPr>
      <w:r>
        <w:rPr>
          <w:rFonts w:ascii="Calibri" w:hAnsi="Calibri" w:cs="Calibri"/>
          <w:sz w:val="23"/>
          <w:szCs w:val="23"/>
        </w:rPr>
        <w:t xml:space="preserve">iii) </w:t>
      </w:r>
      <w:r>
        <w:rPr>
          <w:sz w:val="23"/>
          <w:szCs w:val="23"/>
        </w:rPr>
        <w:t xml:space="preserve">A relative likelihood </w:t>
      </w:r>
      <w:r>
        <w:rPr>
          <w:b/>
          <w:bCs/>
          <w:sz w:val="23"/>
          <w:szCs w:val="23"/>
        </w:rPr>
        <w:t xml:space="preserve">below </w:t>
      </w:r>
      <w:r>
        <w:rPr>
          <w:sz w:val="23"/>
          <w:szCs w:val="23"/>
        </w:rPr>
        <w:t xml:space="preserve">1 indicates that Disabled staff are less likely to enter </w:t>
      </w:r>
      <w:r w:rsidR="00633B60">
        <w:rPr>
          <w:sz w:val="23"/>
          <w:szCs w:val="23"/>
        </w:rPr>
        <w:t xml:space="preserve">the </w:t>
      </w:r>
      <w:r>
        <w:rPr>
          <w:sz w:val="23"/>
          <w:szCs w:val="23"/>
        </w:rPr>
        <w:t>capability processes compared to non-disabled staff: e.g. a likelihood ratio of 0.5 indicates Disabled staff are half (0.5 times) as likely to enter a formal capability process compared to non-disabled staff.</w:t>
      </w:r>
    </w:p>
    <w:p w:rsidR="00FB4DCD" w:rsidRDefault="00FB4DCD" w:rsidP="00FB4DCD">
      <w:pPr>
        <w:pStyle w:val="Default"/>
        <w:rPr>
          <w:sz w:val="23"/>
          <w:szCs w:val="23"/>
        </w:rPr>
      </w:pPr>
    </w:p>
    <w:tbl>
      <w:tblPr>
        <w:tblStyle w:val="TableGrid"/>
        <w:tblW w:w="8375" w:type="dxa"/>
        <w:tblInd w:w="607" w:type="dxa"/>
        <w:tblLook w:val="06A0" w:firstRow="1" w:lastRow="0" w:firstColumn="1" w:lastColumn="0" w:noHBand="1" w:noVBand="1"/>
      </w:tblPr>
      <w:tblGrid>
        <w:gridCol w:w="3217"/>
        <w:gridCol w:w="1484"/>
        <w:gridCol w:w="1870"/>
        <w:gridCol w:w="1804"/>
      </w:tblGrid>
      <w:tr w:rsidR="00633B60" w:rsidRPr="00633B60" w:rsidTr="00F77C5F">
        <w:trPr>
          <w:trHeight w:val="315"/>
        </w:trPr>
        <w:tc>
          <w:tcPr>
            <w:tcW w:w="3217" w:type="dxa"/>
            <w:noWrap/>
            <w:hideMark/>
          </w:tcPr>
          <w:p w:rsidR="00633B60" w:rsidRPr="00633B60" w:rsidRDefault="00633B60" w:rsidP="00633B60">
            <w:pPr>
              <w:rPr>
                <w:rFonts w:eastAsia="Times New Roman"/>
                <w:b/>
                <w:bCs/>
                <w:color w:val="000000"/>
                <w:lang w:eastAsia="en-GB"/>
              </w:rPr>
            </w:pPr>
            <w:r w:rsidRPr="00633B60">
              <w:rPr>
                <w:rFonts w:eastAsia="Times New Roman"/>
                <w:b/>
                <w:bCs/>
                <w:color w:val="000000"/>
                <w:lang w:eastAsia="en-GB"/>
              </w:rPr>
              <w:t>2019</w:t>
            </w:r>
          </w:p>
        </w:tc>
        <w:tc>
          <w:tcPr>
            <w:tcW w:w="1484" w:type="dxa"/>
            <w:noWrap/>
            <w:hideMark/>
          </w:tcPr>
          <w:p w:rsidR="00633B60" w:rsidRPr="00633B60" w:rsidRDefault="00633B60" w:rsidP="00633B60">
            <w:pPr>
              <w:rPr>
                <w:rFonts w:eastAsia="Times New Roman"/>
                <w:b/>
                <w:bCs/>
                <w:color w:val="000000"/>
                <w:lang w:eastAsia="en-GB"/>
              </w:rPr>
            </w:pPr>
            <w:r w:rsidRPr="00633B60">
              <w:rPr>
                <w:rFonts w:eastAsia="Times New Roman"/>
                <w:b/>
                <w:bCs/>
                <w:color w:val="000000"/>
                <w:lang w:eastAsia="en-GB"/>
              </w:rPr>
              <w:t>Disabled</w:t>
            </w:r>
          </w:p>
        </w:tc>
        <w:tc>
          <w:tcPr>
            <w:tcW w:w="1870" w:type="dxa"/>
            <w:noWrap/>
            <w:hideMark/>
          </w:tcPr>
          <w:p w:rsidR="00633B60" w:rsidRPr="00633B60" w:rsidRDefault="00633B60" w:rsidP="00633B60">
            <w:pPr>
              <w:rPr>
                <w:rFonts w:eastAsia="Times New Roman"/>
                <w:b/>
                <w:bCs/>
                <w:color w:val="000000"/>
                <w:lang w:eastAsia="en-GB"/>
              </w:rPr>
            </w:pPr>
            <w:r w:rsidRPr="00633B60">
              <w:rPr>
                <w:rFonts w:eastAsia="Times New Roman"/>
                <w:b/>
                <w:bCs/>
                <w:color w:val="000000"/>
                <w:lang w:eastAsia="en-GB"/>
              </w:rPr>
              <w:t>Non-disabled</w:t>
            </w:r>
          </w:p>
        </w:tc>
        <w:tc>
          <w:tcPr>
            <w:tcW w:w="1804" w:type="dxa"/>
            <w:noWrap/>
            <w:hideMark/>
          </w:tcPr>
          <w:p w:rsidR="00633B60" w:rsidRPr="00633B60" w:rsidRDefault="00633B60" w:rsidP="00633B60">
            <w:pPr>
              <w:rPr>
                <w:rFonts w:eastAsia="Times New Roman"/>
                <w:b/>
                <w:bCs/>
                <w:color w:val="000000"/>
                <w:lang w:eastAsia="en-GB"/>
              </w:rPr>
            </w:pPr>
            <w:r w:rsidRPr="00633B60">
              <w:rPr>
                <w:rFonts w:eastAsia="Times New Roman"/>
                <w:b/>
                <w:bCs/>
                <w:color w:val="000000"/>
                <w:lang w:eastAsia="en-GB"/>
              </w:rPr>
              <w:t>Not declared</w:t>
            </w:r>
          </w:p>
        </w:tc>
      </w:tr>
      <w:tr w:rsidR="00633B60" w:rsidRPr="00633B60" w:rsidTr="00F77C5F">
        <w:trPr>
          <w:trHeight w:val="315"/>
        </w:trPr>
        <w:tc>
          <w:tcPr>
            <w:tcW w:w="3217" w:type="dxa"/>
            <w:noWrap/>
            <w:hideMark/>
          </w:tcPr>
          <w:p w:rsidR="00633B60" w:rsidRPr="00633B60" w:rsidRDefault="00633B60" w:rsidP="00633B60">
            <w:pPr>
              <w:rPr>
                <w:rFonts w:eastAsia="Times New Roman"/>
                <w:b/>
                <w:bCs/>
                <w:color w:val="000000"/>
                <w:lang w:eastAsia="en-GB"/>
              </w:rPr>
            </w:pPr>
            <w:r w:rsidRPr="00633B60">
              <w:rPr>
                <w:rFonts w:eastAsia="Times New Roman"/>
                <w:b/>
                <w:bCs/>
                <w:color w:val="000000"/>
                <w:lang w:eastAsia="en-GB"/>
              </w:rPr>
              <w:t>Case upheld - terminated</w:t>
            </w:r>
          </w:p>
        </w:tc>
        <w:tc>
          <w:tcPr>
            <w:tcW w:w="1484" w:type="dxa"/>
            <w:noWrap/>
            <w:hideMark/>
          </w:tcPr>
          <w:p w:rsidR="00633B60" w:rsidRPr="00633B60" w:rsidRDefault="00633B60" w:rsidP="00633B60">
            <w:pPr>
              <w:jc w:val="right"/>
              <w:rPr>
                <w:rFonts w:eastAsia="Times New Roman"/>
                <w:color w:val="000000"/>
                <w:lang w:eastAsia="en-GB"/>
              </w:rPr>
            </w:pPr>
            <w:r w:rsidRPr="00633B60">
              <w:rPr>
                <w:rFonts w:eastAsia="Times New Roman"/>
                <w:color w:val="000000"/>
                <w:lang w:eastAsia="en-GB"/>
              </w:rPr>
              <w:t>3</w:t>
            </w:r>
          </w:p>
        </w:tc>
        <w:tc>
          <w:tcPr>
            <w:tcW w:w="1870" w:type="dxa"/>
            <w:noWrap/>
            <w:hideMark/>
          </w:tcPr>
          <w:p w:rsidR="00633B60" w:rsidRPr="00633B60" w:rsidRDefault="00633B60" w:rsidP="00633B60">
            <w:pPr>
              <w:jc w:val="right"/>
              <w:rPr>
                <w:rFonts w:eastAsia="Times New Roman"/>
                <w:color w:val="000000"/>
                <w:lang w:eastAsia="en-GB"/>
              </w:rPr>
            </w:pPr>
            <w:r w:rsidRPr="00633B60">
              <w:rPr>
                <w:rFonts w:eastAsia="Times New Roman"/>
                <w:color w:val="000000"/>
                <w:lang w:eastAsia="en-GB"/>
              </w:rPr>
              <w:t>6</w:t>
            </w:r>
          </w:p>
        </w:tc>
        <w:tc>
          <w:tcPr>
            <w:tcW w:w="1804" w:type="dxa"/>
            <w:noWrap/>
            <w:hideMark/>
          </w:tcPr>
          <w:p w:rsidR="00633B60" w:rsidRPr="00633B60" w:rsidRDefault="00633B60" w:rsidP="00633B60">
            <w:pPr>
              <w:jc w:val="right"/>
              <w:rPr>
                <w:rFonts w:eastAsia="Times New Roman"/>
                <w:color w:val="000000"/>
                <w:lang w:eastAsia="en-GB"/>
              </w:rPr>
            </w:pPr>
            <w:r w:rsidRPr="00633B60">
              <w:rPr>
                <w:rFonts w:eastAsia="Times New Roman"/>
                <w:color w:val="000000"/>
                <w:lang w:eastAsia="en-GB"/>
              </w:rPr>
              <w:t>8</w:t>
            </w:r>
          </w:p>
        </w:tc>
      </w:tr>
      <w:tr w:rsidR="00633B60" w:rsidRPr="00633B60" w:rsidTr="00F77C5F">
        <w:trPr>
          <w:trHeight w:val="315"/>
        </w:trPr>
        <w:tc>
          <w:tcPr>
            <w:tcW w:w="3217" w:type="dxa"/>
            <w:noWrap/>
            <w:hideMark/>
          </w:tcPr>
          <w:p w:rsidR="00633B60" w:rsidRPr="00633B60" w:rsidRDefault="00633B60" w:rsidP="00633B60">
            <w:pPr>
              <w:rPr>
                <w:rFonts w:eastAsia="Times New Roman"/>
                <w:b/>
                <w:bCs/>
                <w:color w:val="000000"/>
                <w:lang w:eastAsia="en-GB"/>
              </w:rPr>
            </w:pPr>
            <w:r w:rsidRPr="00633B60">
              <w:rPr>
                <w:rFonts w:eastAsia="Times New Roman"/>
                <w:b/>
                <w:bCs/>
                <w:color w:val="000000"/>
                <w:lang w:eastAsia="en-GB"/>
              </w:rPr>
              <w:t xml:space="preserve">Total Number of </w:t>
            </w:r>
            <w:proofErr w:type="gramStart"/>
            <w:r w:rsidRPr="00633B60">
              <w:rPr>
                <w:rFonts w:eastAsia="Times New Roman"/>
                <w:b/>
                <w:bCs/>
                <w:color w:val="000000"/>
                <w:lang w:eastAsia="en-GB"/>
              </w:rPr>
              <w:t>staff</w:t>
            </w:r>
            <w:proofErr w:type="gramEnd"/>
          </w:p>
        </w:tc>
        <w:tc>
          <w:tcPr>
            <w:tcW w:w="1484" w:type="dxa"/>
            <w:noWrap/>
            <w:hideMark/>
          </w:tcPr>
          <w:p w:rsidR="00633B60" w:rsidRPr="00633B60" w:rsidRDefault="00633B60" w:rsidP="00633B60">
            <w:pPr>
              <w:jc w:val="right"/>
              <w:rPr>
                <w:rFonts w:eastAsia="Times New Roman"/>
                <w:color w:val="000000"/>
                <w:lang w:eastAsia="en-GB"/>
              </w:rPr>
            </w:pPr>
            <w:r w:rsidRPr="00633B60">
              <w:rPr>
                <w:rFonts w:eastAsia="Times New Roman"/>
                <w:color w:val="000000"/>
                <w:lang w:eastAsia="en-GB"/>
              </w:rPr>
              <w:t>286</w:t>
            </w:r>
          </w:p>
        </w:tc>
        <w:tc>
          <w:tcPr>
            <w:tcW w:w="1870" w:type="dxa"/>
            <w:noWrap/>
            <w:hideMark/>
          </w:tcPr>
          <w:p w:rsidR="00633B60" w:rsidRPr="00633B60" w:rsidRDefault="00633B60" w:rsidP="00633B60">
            <w:pPr>
              <w:jc w:val="right"/>
              <w:rPr>
                <w:rFonts w:eastAsia="Times New Roman"/>
                <w:color w:val="000000"/>
                <w:lang w:eastAsia="en-GB"/>
              </w:rPr>
            </w:pPr>
            <w:r w:rsidRPr="00633B60">
              <w:rPr>
                <w:rFonts w:eastAsia="Times New Roman"/>
                <w:color w:val="000000"/>
                <w:lang w:eastAsia="en-GB"/>
              </w:rPr>
              <w:t>5092</w:t>
            </w:r>
          </w:p>
        </w:tc>
        <w:tc>
          <w:tcPr>
            <w:tcW w:w="1804" w:type="dxa"/>
            <w:noWrap/>
            <w:hideMark/>
          </w:tcPr>
          <w:p w:rsidR="00633B60" w:rsidRPr="00633B60" w:rsidRDefault="00633B60" w:rsidP="00633B60">
            <w:pPr>
              <w:jc w:val="right"/>
              <w:rPr>
                <w:rFonts w:eastAsia="Times New Roman"/>
                <w:color w:val="000000"/>
                <w:lang w:eastAsia="en-GB"/>
              </w:rPr>
            </w:pPr>
            <w:r w:rsidRPr="00633B60">
              <w:rPr>
                <w:rFonts w:eastAsia="Times New Roman"/>
                <w:color w:val="000000"/>
                <w:lang w:eastAsia="en-GB"/>
              </w:rPr>
              <w:t>2743</w:t>
            </w:r>
          </w:p>
        </w:tc>
      </w:tr>
      <w:tr w:rsidR="00633B60" w:rsidRPr="00633B60" w:rsidTr="00F77C5F">
        <w:trPr>
          <w:trHeight w:val="315"/>
        </w:trPr>
        <w:tc>
          <w:tcPr>
            <w:tcW w:w="3217" w:type="dxa"/>
            <w:noWrap/>
            <w:hideMark/>
          </w:tcPr>
          <w:p w:rsidR="00633B60" w:rsidRPr="00633B60" w:rsidRDefault="00633B60" w:rsidP="00633B60">
            <w:pPr>
              <w:rPr>
                <w:rFonts w:eastAsia="Times New Roman"/>
                <w:b/>
                <w:bCs/>
                <w:color w:val="000000"/>
                <w:lang w:eastAsia="en-GB"/>
              </w:rPr>
            </w:pPr>
            <w:r w:rsidRPr="00633B60">
              <w:rPr>
                <w:rFonts w:eastAsia="Times New Roman"/>
                <w:b/>
                <w:bCs/>
                <w:color w:val="000000"/>
                <w:lang w:eastAsia="en-GB"/>
              </w:rPr>
              <w:t>Likelihood</w:t>
            </w:r>
          </w:p>
        </w:tc>
        <w:tc>
          <w:tcPr>
            <w:tcW w:w="1484" w:type="dxa"/>
            <w:noWrap/>
            <w:hideMark/>
          </w:tcPr>
          <w:p w:rsidR="00633B60" w:rsidRPr="00633B60" w:rsidRDefault="00633B60" w:rsidP="00633B60">
            <w:pPr>
              <w:jc w:val="right"/>
              <w:rPr>
                <w:rFonts w:eastAsia="Times New Roman"/>
                <w:color w:val="000000"/>
                <w:lang w:eastAsia="en-GB"/>
              </w:rPr>
            </w:pPr>
            <w:r w:rsidRPr="00633B60">
              <w:rPr>
                <w:rFonts w:eastAsia="Times New Roman"/>
                <w:color w:val="000000"/>
                <w:lang w:eastAsia="en-GB"/>
              </w:rPr>
              <w:t>0.01048951</w:t>
            </w:r>
          </w:p>
        </w:tc>
        <w:tc>
          <w:tcPr>
            <w:tcW w:w="1870" w:type="dxa"/>
            <w:noWrap/>
            <w:hideMark/>
          </w:tcPr>
          <w:p w:rsidR="00633B60" w:rsidRPr="00633B60" w:rsidRDefault="00633B60" w:rsidP="00633B60">
            <w:pPr>
              <w:jc w:val="right"/>
              <w:rPr>
                <w:rFonts w:eastAsia="Times New Roman"/>
                <w:color w:val="000000"/>
                <w:lang w:eastAsia="en-GB"/>
              </w:rPr>
            </w:pPr>
            <w:r w:rsidRPr="00633B60">
              <w:rPr>
                <w:rFonts w:eastAsia="Times New Roman"/>
                <w:color w:val="000000"/>
                <w:lang w:eastAsia="en-GB"/>
              </w:rPr>
              <w:t>0.00117832</w:t>
            </w:r>
          </w:p>
        </w:tc>
        <w:tc>
          <w:tcPr>
            <w:tcW w:w="1804" w:type="dxa"/>
            <w:noWrap/>
            <w:hideMark/>
          </w:tcPr>
          <w:p w:rsidR="00633B60" w:rsidRPr="00633B60" w:rsidRDefault="00633B60" w:rsidP="00633B60">
            <w:pPr>
              <w:jc w:val="right"/>
              <w:rPr>
                <w:rFonts w:eastAsia="Times New Roman"/>
                <w:color w:val="000000"/>
                <w:lang w:eastAsia="en-GB"/>
              </w:rPr>
            </w:pPr>
            <w:r w:rsidRPr="00633B60">
              <w:rPr>
                <w:rFonts w:eastAsia="Times New Roman"/>
                <w:color w:val="000000"/>
                <w:lang w:eastAsia="en-GB"/>
              </w:rPr>
              <w:t>0.00291651</w:t>
            </w:r>
          </w:p>
        </w:tc>
      </w:tr>
      <w:tr w:rsidR="00633B60" w:rsidRPr="00633B60" w:rsidTr="00F77C5F">
        <w:trPr>
          <w:trHeight w:val="315"/>
        </w:trPr>
        <w:tc>
          <w:tcPr>
            <w:tcW w:w="3217" w:type="dxa"/>
            <w:noWrap/>
            <w:hideMark/>
          </w:tcPr>
          <w:p w:rsidR="00633B60" w:rsidRPr="00633B60" w:rsidRDefault="00633B60" w:rsidP="00633B60">
            <w:pPr>
              <w:rPr>
                <w:rFonts w:eastAsia="Times New Roman"/>
                <w:b/>
                <w:bCs/>
                <w:color w:val="000000"/>
                <w:lang w:eastAsia="en-GB"/>
              </w:rPr>
            </w:pPr>
            <w:r w:rsidRPr="00633B60">
              <w:rPr>
                <w:rFonts w:eastAsia="Times New Roman"/>
                <w:b/>
                <w:bCs/>
                <w:color w:val="000000"/>
                <w:lang w:eastAsia="en-GB"/>
              </w:rPr>
              <w:t>RELATIVE Likelihood</w:t>
            </w:r>
          </w:p>
        </w:tc>
        <w:tc>
          <w:tcPr>
            <w:tcW w:w="1484" w:type="dxa"/>
            <w:noWrap/>
            <w:hideMark/>
          </w:tcPr>
          <w:p w:rsidR="00633B60" w:rsidRPr="00633B60" w:rsidRDefault="00633B60" w:rsidP="00633B60">
            <w:pPr>
              <w:rPr>
                <w:rFonts w:eastAsia="Times New Roman"/>
                <w:color w:val="000000"/>
                <w:lang w:eastAsia="en-GB"/>
              </w:rPr>
            </w:pPr>
            <w:r w:rsidRPr="00633B60">
              <w:rPr>
                <w:rFonts w:eastAsia="Times New Roman"/>
                <w:color w:val="000000"/>
                <w:lang w:eastAsia="en-GB"/>
              </w:rPr>
              <w:t> </w:t>
            </w:r>
          </w:p>
        </w:tc>
        <w:tc>
          <w:tcPr>
            <w:tcW w:w="1870" w:type="dxa"/>
            <w:noWrap/>
            <w:hideMark/>
          </w:tcPr>
          <w:p w:rsidR="00633B60" w:rsidRPr="00633B60" w:rsidRDefault="00633B60" w:rsidP="00633B60">
            <w:pPr>
              <w:jc w:val="right"/>
              <w:rPr>
                <w:rFonts w:eastAsia="Times New Roman"/>
                <w:color w:val="000000"/>
                <w:lang w:eastAsia="en-GB"/>
              </w:rPr>
            </w:pPr>
            <w:r w:rsidRPr="00633B60">
              <w:rPr>
                <w:rFonts w:eastAsia="Times New Roman"/>
                <w:color w:val="000000"/>
                <w:lang w:eastAsia="en-GB"/>
              </w:rPr>
              <w:t>8.9020979</w:t>
            </w:r>
          </w:p>
        </w:tc>
        <w:tc>
          <w:tcPr>
            <w:tcW w:w="1804" w:type="dxa"/>
            <w:noWrap/>
            <w:hideMark/>
          </w:tcPr>
          <w:p w:rsidR="00633B60" w:rsidRPr="00633B60" w:rsidRDefault="00633B60" w:rsidP="00633B60">
            <w:pPr>
              <w:rPr>
                <w:rFonts w:eastAsia="Times New Roman"/>
                <w:color w:val="000000"/>
                <w:lang w:eastAsia="en-GB"/>
              </w:rPr>
            </w:pPr>
            <w:r w:rsidRPr="00633B60">
              <w:rPr>
                <w:rFonts w:eastAsia="Times New Roman"/>
                <w:color w:val="000000"/>
                <w:lang w:eastAsia="en-GB"/>
              </w:rPr>
              <w:t> </w:t>
            </w:r>
          </w:p>
        </w:tc>
      </w:tr>
    </w:tbl>
    <w:p w:rsidR="00821AE5" w:rsidRDefault="00821AE5" w:rsidP="00821AE5"/>
    <w:p w:rsidR="00FB4DCD" w:rsidRDefault="00FB4DCD" w:rsidP="00821AE5"/>
    <w:tbl>
      <w:tblPr>
        <w:tblStyle w:val="TableGrid"/>
        <w:tblW w:w="8642" w:type="dxa"/>
        <w:tblInd w:w="607" w:type="dxa"/>
        <w:tblLook w:val="06A0" w:firstRow="1" w:lastRow="0" w:firstColumn="1" w:lastColumn="0" w:noHBand="1" w:noVBand="1"/>
      </w:tblPr>
      <w:tblGrid>
        <w:gridCol w:w="3217"/>
        <w:gridCol w:w="1751"/>
        <w:gridCol w:w="1870"/>
        <w:gridCol w:w="1804"/>
      </w:tblGrid>
      <w:tr w:rsidR="00FB4DCD" w:rsidRPr="00FB4DCD" w:rsidTr="00F77C5F">
        <w:trPr>
          <w:trHeight w:val="315"/>
        </w:trPr>
        <w:tc>
          <w:tcPr>
            <w:tcW w:w="3217" w:type="dxa"/>
            <w:noWrap/>
            <w:hideMark/>
          </w:tcPr>
          <w:p w:rsidR="00FB4DCD" w:rsidRPr="00FB4DCD" w:rsidRDefault="00FB4DCD" w:rsidP="00FB4DCD">
            <w:pPr>
              <w:rPr>
                <w:rFonts w:eastAsia="Times New Roman"/>
                <w:b/>
                <w:bCs/>
                <w:color w:val="000000"/>
                <w:lang w:eastAsia="en-GB"/>
              </w:rPr>
            </w:pPr>
            <w:r w:rsidRPr="00FB4DCD">
              <w:rPr>
                <w:rFonts w:eastAsia="Times New Roman"/>
                <w:b/>
                <w:bCs/>
                <w:color w:val="000000"/>
                <w:lang w:eastAsia="en-GB"/>
              </w:rPr>
              <w:lastRenderedPageBreak/>
              <w:t>2020</w:t>
            </w:r>
          </w:p>
        </w:tc>
        <w:tc>
          <w:tcPr>
            <w:tcW w:w="1751" w:type="dxa"/>
            <w:noWrap/>
            <w:hideMark/>
          </w:tcPr>
          <w:p w:rsidR="00FB4DCD" w:rsidRPr="00FB4DCD" w:rsidRDefault="00FB4DCD" w:rsidP="00FB4DCD">
            <w:pPr>
              <w:rPr>
                <w:rFonts w:eastAsia="Times New Roman"/>
                <w:b/>
                <w:bCs/>
                <w:color w:val="000000"/>
                <w:lang w:eastAsia="en-GB"/>
              </w:rPr>
            </w:pPr>
            <w:r w:rsidRPr="00FB4DCD">
              <w:rPr>
                <w:rFonts w:eastAsia="Times New Roman"/>
                <w:b/>
                <w:bCs/>
                <w:color w:val="000000"/>
                <w:lang w:eastAsia="en-GB"/>
              </w:rPr>
              <w:t>Disabled</w:t>
            </w:r>
          </w:p>
        </w:tc>
        <w:tc>
          <w:tcPr>
            <w:tcW w:w="1870" w:type="dxa"/>
            <w:noWrap/>
            <w:hideMark/>
          </w:tcPr>
          <w:p w:rsidR="00FB4DCD" w:rsidRPr="00FB4DCD" w:rsidRDefault="00FB4DCD" w:rsidP="00FB4DCD">
            <w:pPr>
              <w:rPr>
                <w:rFonts w:eastAsia="Times New Roman"/>
                <w:b/>
                <w:bCs/>
                <w:color w:val="000000"/>
                <w:lang w:eastAsia="en-GB"/>
              </w:rPr>
            </w:pPr>
            <w:r w:rsidRPr="00FB4DCD">
              <w:rPr>
                <w:rFonts w:eastAsia="Times New Roman"/>
                <w:b/>
                <w:bCs/>
                <w:color w:val="000000"/>
                <w:lang w:eastAsia="en-GB"/>
              </w:rPr>
              <w:t>Non-disabled</w:t>
            </w:r>
          </w:p>
        </w:tc>
        <w:tc>
          <w:tcPr>
            <w:tcW w:w="1804" w:type="dxa"/>
            <w:noWrap/>
            <w:hideMark/>
          </w:tcPr>
          <w:p w:rsidR="00FB4DCD" w:rsidRPr="00FB4DCD" w:rsidRDefault="00FB4DCD" w:rsidP="00FB4DCD">
            <w:pPr>
              <w:rPr>
                <w:rFonts w:eastAsia="Times New Roman"/>
                <w:b/>
                <w:bCs/>
                <w:color w:val="000000"/>
                <w:lang w:eastAsia="en-GB"/>
              </w:rPr>
            </w:pPr>
            <w:r w:rsidRPr="00FB4DCD">
              <w:rPr>
                <w:rFonts w:eastAsia="Times New Roman"/>
                <w:b/>
                <w:bCs/>
                <w:color w:val="000000"/>
                <w:lang w:eastAsia="en-GB"/>
              </w:rPr>
              <w:t>Not declared</w:t>
            </w:r>
          </w:p>
        </w:tc>
      </w:tr>
      <w:tr w:rsidR="00FB4DCD" w:rsidRPr="00FB4DCD" w:rsidTr="00F77C5F">
        <w:trPr>
          <w:trHeight w:val="315"/>
        </w:trPr>
        <w:tc>
          <w:tcPr>
            <w:tcW w:w="3217" w:type="dxa"/>
            <w:noWrap/>
            <w:hideMark/>
          </w:tcPr>
          <w:p w:rsidR="00FB4DCD" w:rsidRPr="00FB4DCD" w:rsidRDefault="00FB4DCD" w:rsidP="00FB4DCD">
            <w:pPr>
              <w:rPr>
                <w:rFonts w:eastAsia="Times New Roman"/>
                <w:b/>
                <w:bCs/>
                <w:color w:val="000000"/>
                <w:lang w:eastAsia="en-GB"/>
              </w:rPr>
            </w:pPr>
            <w:r w:rsidRPr="00FB4DCD">
              <w:rPr>
                <w:rFonts w:eastAsia="Times New Roman"/>
                <w:b/>
                <w:bCs/>
                <w:color w:val="000000"/>
                <w:lang w:eastAsia="en-GB"/>
              </w:rPr>
              <w:t>Case upheld - terminated</w:t>
            </w:r>
          </w:p>
        </w:tc>
        <w:tc>
          <w:tcPr>
            <w:tcW w:w="1751" w:type="dxa"/>
            <w:noWrap/>
            <w:hideMark/>
          </w:tcPr>
          <w:p w:rsidR="00FB4DCD" w:rsidRPr="00FB4DCD" w:rsidRDefault="00FB4DCD" w:rsidP="00FB4DCD">
            <w:pPr>
              <w:jc w:val="right"/>
              <w:rPr>
                <w:rFonts w:eastAsia="Times New Roman"/>
                <w:color w:val="000000"/>
                <w:lang w:eastAsia="en-GB"/>
              </w:rPr>
            </w:pPr>
            <w:r w:rsidRPr="00FB4DCD">
              <w:rPr>
                <w:rFonts w:eastAsia="Times New Roman"/>
                <w:color w:val="000000"/>
                <w:lang w:eastAsia="en-GB"/>
              </w:rPr>
              <w:t>2</w:t>
            </w:r>
          </w:p>
        </w:tc>
        <w:tc>
          <w:tcPr>
            <w:tcW w:w="1870" w:type="dxa"/>
            <w:noWrap/>
            <w:hideMark/>
          </w:tcPr>
          <w:p w:rsidR="00FB4DCD" w:rsidRPr="00FB4DCD" w:rsidRDefault="00FB4DCD" w:rsidP="00FB4DCD">
            <w:pPr>
              <w:jc w:val="right"/>
              <w:rPr>
                <w:rFonts w:eastAsia="Times New Roman"/>
                <w:color w:val="000000"/>
                <w:lang w:eastAsia="en-GB"/>
              </w:rPr>
            </w:pPr>
            <w:r w:rsidRPr="00FB4DCD">
              <w:rPr>
                <w:rFonts w:eastAsia="Times New Roman"/>
                <w:color w:val="000000"/>
                <w:lang w:eastAsia="en-GB"/>
              </w:rPr>
              <w:t>5</w:t>
            </w:r>
          </w:p>
        </w:tc>
        <w:tc>
          <w:tcPr>
            <w:tcW w:w="1804" w:type="dxa"/>
            <w:noWrap/>
            <w:hideMark/>
          </w:tcPr>
          <w:p w:rsidR="00FB4DCD" w:rsidRPr="00FB4DCD" w:rsidRDefault="00FB4DCD" w:rsidP="00FB4DCD">
            <w:pPr>
              <w:jc w:val="right"/>
              <w:rPr>
                <w:rFonts w:eastAsia="Times New Roman"/>
                <w:color w:val="000000"/>
                <w:lang w:eastAsia="en-GB"/>
              </w:rPr>
            </w:pPr>
            <w:r w:rsidRPr="00FB4DCD">
              <w:rPr>
                <w:rFonts w:eastAsia="Times New Roman"/>
                <w:color w:val="000000"/>
                <w:lang w:eastAsia="en-GB"/>
              </w:rPr>
              <w:t>4</w:t>
            </w:r>
          </w:p>
        </w:tc>
      </w:tr>
      <w:tr w:rsidR="00FB4DCD" w:rsidRPr="00FB4DCD" w:rsidTr="00F77C5F">
        <w:trPr>
          <w:trHeight w:val="315"/>
        </w:trPr>
        <w:tc>
          <w:tcPr>
            <w:tcW w:w="3217" w:type="dxa"/>
            <w:noWrap/>
            <w:hideMark/>
          </w:tcPr>
          <w:p w:rsidR="00FB4DCD" w:rsidRPr="00FB4DCD" w:rsidRDefault="00FB4DCD" w:rsidP="00FB4DCD">
            <w:pPr>
              <w:rPr>
                <w:rFonts w:eastAsia="Times New Roman"/>
                <w:b/>
                <w:bCs/>
                <w:color w:val="000000"/>
                <w:lang w:eastAsia="en-GB"/>
              </w:rPr>
            </w:pPr>
            <w:r w:rsidRPr="00FB4DCD">
              <w:rPr>
                <w:rFonts w:eastAsia="Times New Roman"/>
                <w:b/>
                <w:bCs/>
                <w:color w:val="000000"/>
                <w:lang w:eastAsia="en-GB"/>
              </w:rPr>
              <w:t xml:space="preserve">Total Number of </w:t>
            </w:r>
            <w:proofErr w:type="gramStart"/>
            <w:r w:rsidRPr="00FB4DCD">
              <w:rPr>
                <w:rFonts w:eastAsia="Times New Roman"/>
                <w:b/>
                <w:bCs/>
                <w:color w:val="000000"/>
                <w:lang w:eastAsia="en-GB"/>
              </w:rPr>
              <w:t>staff</w:t>
            </w:r>
            <w:proofErr w:type="gramEnd"/>
          </w:p>
        </w:tc>
        <w:tc>
          <w:tcPr>
            <w:tcW w:w="1751" w:type="dxa"/>
            <w:noWrap/>
            <w:hideMark/>
          </w:tcPr>
          <w:p w:rsidR="00FB4DCD" w:rsidRPr="00FB4DCD" w:rsidRDefault="00FB4DCD" w:rsidP="00FB4DCD">
            <w:pPr>
              <w:jc w:val="right"/>
              <w:rPr>
                <w:rFonts w:eastAsia="Times New Roman"/>
                <w:color w:val="000000"/>
                <w:lang w:eastAsia="en-GB"/>
              </w:rPr>
            </w:pPr>
            <w:r w:rsidRPr="00FB4DCD">
              <w:rPr>
                <w:rFonts w:eastAsia="Times New Roman"/>
                <w:color w:val="000000"/>
                <w:lang w:eastAsia="en-GB"/>
              </w:rPr>
              <w:t>298</w:t>
            </w:r>
          </w:p>
        </w:tc>
        <w:tc>
          <w:tcPr>
            <w:tcW w:w="1870" w:type="dxa"/>
            <w:noWrap/>
            <w:hideMark/>
          </w:tcPr>
          <w:p w:rsidR="00FB4DCD" w:rsidRPr="00FB4DCD" w:rsidRDefault="00FB4DCD" w:rsidP="00FB4DCD">
            <w:pPr>
              <w:jc w:val="right"/>
              <w:rPr>
                <w:rFonts w:eastAsia="Times New Roman"/>
                <w:color w:val="000000"/>
                <w:lang w:eastAsia="en-GB"/>
              </w:rPr>
            </w:pPr>
            <w:r w:rsidRPr="00FB4DCD">
              <w:rPr>
                <w:rFonts w:eastAsia="Times New Roman"/>
                <w:color w:val="000000"/>
                <w:lang w:eastAsia="en-GB"/>
              </w:rPr>
              <w:t>5479</w:t>
            </w:r>
          </w:p>
        </w:tc>
        <w:tc>
          <w:tcPr>
            <w:tcW w:w="1804" w:type="dxa"/>
            <w:noWrap/>
            <w:hideMark/>
          </w:tcPr>
          <w:p w:rsidR="00FB4DCD" w:rsidRPr="00FB4DCD" w:rsidRDefault="00FB4DCD" w:rsidP="00FB4DCD">
            <w:pPr>
              <w:jc w:val="right"/>
              <w:rPr>
                <w:rFonts w:eastAsia="Times New Roman"/>
                <w:color w:val="000000"/>
                <w:lang w:eastAsia="en-GB"/>
              </w:rPr>
            </w:pPr>
            <w:r w:rsidRPr="00FB4DCD">
              <w:rPr>
                <w:rFonts w:eastAsia="Times New Roman"/>
                <w:color w:val="000000"/>
                <w:lang w:eastAsia="en-GB"/>
              </w:rPr>
              <w:t>2889</w:t>
            </w:r>
          </w:p>
        </w:tc>
      </w:tr>
      <w:tr w:rsidR="00FB4DCD" w:rsidRPr="00FB4DCD" w:rsidTr="00F77C5F">
        <w:trPr>
          <w:trHeight w:val="315"/>
        </w:trPr>
        <w:tc>
          <w:tcPr>
            <w:tcW w:w="3217" w:type="dxa"/>
            <w:noWrap/>
            <w:hideMark/>
          </w:tcPr>
          <w:p w:rsidR="00FB4DCD" w:rsidRPr="00FB4DCD" w:rsidRDefault="00FB4DCD" w:rsidP="00FB4DCD">
            <w:pPr>
              <w:rPr>
                <w:rFonts w:eastAsia="Times New Roman"/>
                <w:b/>
                <w:bCs/>
                <w:color w:val="000000"/>
                <w:lang w:eastAsia="en-GB"/>
              </w:rPr>
            </w:pPr>
            <w:r w:rsidRPr="00FB4DCD">
              <w:rPr>
                <w:rFonts w:eastAsia="Times New Roman"/>
                <w:b/>
                <w:bCs/>
                <w:color w:val="000000"/>
                <w:lang w:eastAsia="en-GB"/>
              </w:rPr>
              <w:t>Likelihood</w:t>
            </w:r>
          </w:p>
        </w:tc>
        <w:tc>
          <w:tcPr>
            <w:tcW w:w="1751" w:type="dxa"/>
            <w:noWrap/>
            <w:hideMark/>
          </w:tcPr>
          <w:p w:rsidR="00FB4DCD" w:rsidRPr="00FB4DCD" w:rsidRDefault="00FB4DCD" w:rsidP="00FB4DCD">
            <w:pPr>
              <w:jc w:val="right"/>
              <w:rPr>
                <w:rFonts w:eastAsia="Times New Roman"/>
                <w:color w:val="000000"/>
                <w:lang w:eastAsia="en-GB"/>
              </w:rPr>
            </w:pPr>
            <w:r w:rsidRPr="00FB4DCD">
              <w:rPr>
                <w:rFonts w:eastAsia="Times New Roman"/>
                <w:color w:val="000000"/>
                <w:lang w:eastAsia="en-GB"/>
              </w:rPr>
              <w:t>0.006711409</w:t>
            </w:r>
          </w:p>
        </w:tc>
        <w:tc>
          <w:tcPr>
            <w:tcW w:w="1870" w:type="dxa"/>
            <w:noWrap/>
            <w:hideMark/>
          </w:tcPr>
          <w:p w:rsidR="00FB4DCD" w:rsidRPr="00FB4DCD" w:rsidRDefault="00FB4DCD" w:rsidP="00FB4DCD">
            <w:pPr>
              <w:jc w:val="right"/>
              <w:rPr>
                <w:rFonts w:eastAsia="Times New Roman"/>
                <w:color w:val="000000"/>
                <w:lang w:eastAsia="en-GB"/>
              </w:rPr>
            </w:pPr>
            <w:r w:rsidRPr="00FB4DCD">
              <w:rPr>
                <w:rFonts w:eastAsia="Times New Roman"/>
                <w:color w:val="000000"/>
                <w:lang w:eastAsia="en-GB"/>
              </w:rPr>
              <w:t>0.00091258</w:t>
            </w:r>
          </w:p>
        </w:tc>
        <w:tc>
          <w:tcPr>
            <w:tcW w:w="1804" w:type="dxa"/>
            <w:noWrap/>
            <w:hideMark/>
          </w:tcPr>
          <w:p w:rsidR="00FB4DCD" w:rsidRPr="00FB4DCD" w:rsidRDefault="00FB4DCD" w:rsidP="00FB4DCD">
            <w:pPr>
              <w:jc w:val="right"/>
              <w:rPr>
                <w:rFonts w:eastAsia="Times New Roman"/>
                <w:color w:val="000000"/>
                <w:lang w:eastAsia="en-GB"/>
              </w:rPr>
            </w:pPr>
            <w:r w:rsidRPr="00FB4DCD">
              <w:rPr>
                <w:rFonts w:eastAsia="Times New Roman"/>
                <w:color w:val="000000"/>
                <w:lang w:eastAsia="en-GB"/>
              </w:rPr>
              <w:t>0.00138456</w:t>
            </w:r>
          </w:p>
        </w:tc>
      </w:tr>
      <w:tr w:rsidR="00FB4DCD" w:rsidRPr="00FB4DCD" w:rsidTr="00F77C5F">
        <w:trPr>
          <w:trHeight w:val="315"/>
        </w:trPr>
        <w:tc>
          <w:tcPr>
            <w:tcW w:w="3217" w:type="dxa"/>
            <w:noWrap/>
            <w:hideMark/>
          </w:tcPr>
          <w:p w:rsidR="00FB4DCD" w:rsidRPr="00FB4DCD" w:rsidRDefault="00FB4DCD" w:rsidP="00FB4DCD">
            <w:pPr>
              <w:rPr>
                <w:rFonts w:eastAsia="Times New Roman"/>
                <w:b/>
                <w:bCs/>
                <w:color w:val="000000"/>
                <w:lang w:eastAsia="en-GB"/>
              </w:rPr>
            </w:pPr>
            <w:r w:rsidRPr="00FB4DCD">
              <w:rPr>
                <w:rFonts w:eastAsia="Times New Roman"/>
                <w:b/>
                <w:bCs/>
                <w:color w:val="000000"/>
                <w:lang w:eastAsia="en-GB"/>
              </w:rPr>
              <w:t>RELATIVE Likelihood</w:t>
            </w:r>
          </w:p>
        </w:tc>
        <w:tc>
          <w:tcPr>
            <w:tcW w:w="1751" w:type="dxa"/>
            <w:noWrap/>
            <w:hideMark/>
          </w:tcPr>
          <w:p w:rsidR="00FB4DCD" w:rsidRPr="00FB4DCD" w:rsidRDefault="00FB4DCD" w:rsidP="00FB4DCD">
            <w:pPr>
              <w:rPr>
                <w:rFonts w:eastAsia="Times New Roman"/>
                <w:color w:val="000000"/>
                <w:lang w:eastAsia="en-GB"/>
              </w:rPr>
            </w:pPr>
            <w:r w:rsidRPr="00FB4DCD">
              <w:rPr>
                <w:rFonts w:eastAsia="Times New Roman"/>
                <w:color w:val="000000"/>
                <w:lang w:eastAsia="en-GB"/>
              </w:rPr>
              <w:t> </w:t>
            </w:r>
          </w:p>
        </w:tc>
        <w:tc>
          <w:tcPr>
            <w:tcW w:w="1870" w:type="dxa"/>
            <w:noWrap/>
            <w:hideMark/>
          </w:tcPr>
          <w:p w:rsidR="00FB4DCD" w:rsidRPr="00FB4DCD" w:rsidRDefault="00FB4DCD" w:rsidP="00FB4DCD">
            <w:pPr>
              <w:jc w:val="right"/>
              <w:rPr>
                <w:rFonts w:eastAsia="Times New Roman"/>
                <w:color w:val="000000"/>
                <w:lang w:eastAsia="en-GB"/>
              </w:rPr>
            </w:pPr>
            <w:r w:rsidRPr="00FB4DCD">
              <w:rPr>
                <w:rFonts w:eastAsia="Times New Roman"/>
                <w:color w:val="000000"/>
                <w:lang w:eastAsia="en-GB"/>
              </w:rPr>
              <w:t>7.35436242</w:t>
            </w:r>
          </w:p>
        </w:tc>
        <w:tc>
          <w:tcPr>
            <w:tcW w:w="1804" w:type="dxa"/>
            <w:noWrap/>
            <w:hideMark/>
          </w:tcPr>
          <w:p w:rsidR="00FB4DCD" w:rsidRPr="00FB4DCD" w:rsidRDefault="00FB4DCD" w:rsidP="00FB4DCD">
            <w:pPr>
              <w:rPr>
                <w:rFonts w:eastAsia="Times New Roman"/>
                <w:color w:val="000000"/>
                <w:lang w:eastAsia="en-GB"/>
              </w:rPr>
            </w:pPr>
            <w:r w:rsidRPr="00FB4DCD">
              <w:rPr>
                <w:rFonts w:eastAsia="Times New Roman"/>
                <w:color w:val="000000"/>
                <w:lang w:eastAsia="en-GB"/>
              </w:rPr>
              <w:t> </w:t>
            </w:r>
          </w:p>
        </w:tc>
      </w:tr>
    </w:tbl>
    <w:p w:rsidR="00821AE5" w:rsidRPr="00821AE5" w:rsidRDefault="00821AE5" w:rsidP="00821AE5"/>
    <w:p w:rsidR="00FB4DCD" w:rsidRDefault="00FB4DCD" w:rsidP="00F77C5F">
      <w:pPr>
        <w:ind w:left="851"/>
      </w:pPr>
      <w:r>
        <w:t>In 2019/20 respectively, disabled staff were 9 times and over 7 times more likely to have their employment terminated following an ill health capability process than staff who had not declared a disability.</w:t>
      </w:r>
    </w:p>
    <w:p w:rsidR="00FB4DCD" w:rsidRDefault="00FB4DCD" w:rsidP="00FB4DCD">
      <w:pPr>
        <w:ind w:left="851"/>
      </w:pPr>
    </w:p>
    <w:tbl>
      <w:tblPr>
        <w:tblStyle w:val="TableGrid"/>
        <w:tblW w:w="7957" w:type="dxa"/>
        <w:tblInd w:w="607" w:type="dxa"/>
        <w:tblLook w:val="06A0" w:firstRow="1" w:lastRow="0" w:firstColumn="1" w:lastColumn="0" w:noHBand="1" w:noVBand="1"/>
      </w:tblPr>
      <w:tblGrid>
        <w:gridCol w:w="2803"/>
        <w:gridCol w:w="1480"/>
        <w:gridCol w:w="1870"/>
        <w:gridCol w:w="1804"/>
      </w:tblGrid>
      <w:tr w:rsidR="00FB4DCD" w:rsidRPr="00FB4DCD" w:rsidTr="00F77C5F">
        <w:trPr>
          <w:trHeight w:val="315"/>
        </w:trPr>
        <w:tc>
          <w:tcPr>
            <w:tcW w:w="2803" w:type="dxa"/>
            <w:noWrap/>
            <w:hideMark/>
          </w:tcPr>
          <w:p w:rsidR="00FB4DCD" w:rsidRPr="00FB4DCD" w:rsidRDefault="00FB4DCD" w:rsidP="00FB4DCD">
            <w:pPr>
              <w:rPr>
                <w:rFonts w:eastAsia="Times New Roman"/>
                <w:b/>
                <w:bCs/>
                <w:color w:val="000000"/>
                <w:lang w:eastAsia="en-GB"/>
              </w:rPr>
            </w:pPr>
            <w:r w:rsidRPr="00FB4DCD">
              <w:rPr>
                <w:rFonts w:eastAsia="Times New Roman"/>
                <w:b/>
                <w:bCs/>
                <w:color w:val="000000"/>
                <w:lang w:eastAsia="en-GB"/>
              </w:rPr>
              <w:t>2019</w:t>
            </w:r>
          </w:p>
        </w:tc>
        <w:tc>
          <w:tcPr>
            <w:tcW w:w="1480" w:type="dxa"/>
            <w:noWrap/>
            <w:hideMark/>
          </w:tcPr>
          <w:p w:rsidR="00FB4DCD" w:rsidRPr="00FB4DCD" w:rsidRDefault="00FB4DCD" w:rsidP="00FB4DCD">
            <w:pPr>
              <w:rPr>
                <w:rFonts w:eastAsia="Times New Roman"/>
                <w:b/>
                <w:bCs/>
                <w:color w:val="000000"/>
                <w:lang w:eastAsia="en-GB"/>
              </w:rPr>
            </w:pPr>
            <w:r w:rsidRPr="00FB4DCD">
              <w:rPr>
                <w:rFonts w:eastAsia="Times New Roman"/>
                <w:b/>
                <w:bCs/>
                <w:color w:val="000000"/>
                <w:lang w:eastAsia="en-GB"/>
              </w:rPr>
              <w:t>Disabled</w:t>
            </w:r>
          </w:p>
        </w:tc>
        <w:tc>
          <w:tcPr>
            <w:tcW w:w="1870" w:type="dxa"/>
            <w:noWrap/>
            <w:hideMark/>
          </w:tcPr>
          <w:p w:rsidR="00FB4DCD" w:rsidRPr="00FB4DCD" w:rsidRDefault="00FB4DCD" w:rsidP="00FB4DCD">
            <w:pPr>
              <w:rPr>
                <w:rFonts w:eastAsia="Times New Roman"/>
                <w:b/>
                <w:bCs/>
                <w:color w:val="000000"/>
                <w:lang w:eastAsia="en-GB"/>
              </w:rPr>
            </w:pPr>
            <w:r w:rsidRPr="00FB4DCD">
              <w:rPr>
                <w:rFonts w:eastAsia="Times New Roman"/>
                <w:b/>
                <w:bCs/>
                <w:color w:val="000000"/>
                <w:lang w:eastAsia="en-GB"/>
              </w:rPr>
              <w:t>Non-disabled</w:t>
            </w:r>
          </w:p>
        </w:tc>
        <w:tc>
          <w:tcPr>
            <w:tcW w:w="1804" w:type="dxa"/>
            <w:noWrap/>
            <w:hideMark/>
          </w:tcPr>
          <w:p w:rsidR="00FB4DCD" w:rsidRPr="00FB4DCD" w:rsidRDefault="00FB4DCD" w:rsidP="00FB4DCD">
            <w:pPr>
              <w:rPr>
                <w:rFonts w:eastAsia="Times New Roman"/>
                <w:b/>
                <w:bCs/>
                <w:color w:val="000000"/>
                <w:lang w:eastAsia="en-GB"/>
              </w:rPr>
            </w:pPr>
            <w:r w:rsidRPr="00FB4DCD">
              <w:rPr>
                <w:rFonts w:eastAsia="Times New Roman"/>
                <w:b/>
                <w:bCs/>
                <w:color w:val="000000"/>
                <w:lang w:eastAsia="en-GB"/>
              </w:rPr>
              <w:t>Not declared</w:t>
            </w:r>
          </w:p>
        </w:tc>
      </w:tr>
      <w:tr w:rsidR="00FB4DCD" w:rsidRPr="00FB4DCD" w:rsidTr="00F77C5F">
        <w:trPr>
          <w:trHeight w:val="315"/>
        </w:trPr>
        <w:tc>
          <w:tcPr>
            <w:tcW w:w="2803" w:type="dxa"/>
            <w:noWrap/>
            <w:hideMark/>
          </w:tcPr>
          <w:p w:rsidR="00FB4DCD" w:rsidRPr="00FB4DCD" w:rsidRDefault="00FB4DCD" w:rsidP="00FB4DCD">
            <w:pPr>
              <w:rPr>
                <w:rFonts w:eastAsia="Times New Roman"/>
                <w:b/>
                <w:bCs/>
                <w:color w:val="000000"/>
                <w:lang w:eastAsia="en-GB"/>
              </w:rPr>
            </w:pPr>
            <w:r w:rsidRPr="00FB4DCD">
              <w:rPr>
                <w:rFonts w:eastAsia="Times New Roman"/>
                <w:b/>
                <w:bCs/>
                <w:color w:val="000000"/>
                <w:lang w:eastAsia="en-GB"/>
              </w:rPr>
              <w:t>Redeployed</w:t>
            </w:r>
          </w:p>
        </w:tc>
        <w:tc>
          <w:tcPr>
            <w:tcW w:w="1480" w:type="dxa"/>
            <w:noWrap/>
            <w:hideMark/>
          </w:tcPr>
          <w:p w:rsidR="00FB4DCD" w:rsidRPr="00FB4DCD" w:rsidRDefault="00FB4DCD" w:rsidP="00FB4DCD">
            <w:pPr>
              <w:jc w:val="right"/>
              <w:rPr>
                <w:rFonts w:eastAsia="Times New Roman"/>
                <w:color w:val="000000"/>
                <w:lang w:eastAsia="en-GB"/>
              </w:rPr>
            </w:pPr>
            <w:r w:rsidRPr="00FB4DCD">
              <w:rPr>
                <w:rFonts w:eastAsia="Times New Roman"/>
                <w:color w:val="000000"/>
                <w:lang w:eastAsia="en-GB"/>
              </w:rPr>
              <w:t>0</w:t>
            </w:r>
          </w:p>
        </w:tc>
        <w:tc>
          <w:tcPr>
            <w:tcW w:w="1870" w:type="dxa"/>
            <w:noWrap/>
            <w:hideMark/>
          </w:tcPr>
          <w:p w:rsidR="00FB4DCD" w:rsidRPr="00FB4DCD" w:rsidRDefault="00FB4DCD" w:rsidP="00FB4DCD">
            <w:pPr>
              <w:jc w:val="right"/>
              <w:rPr>
                <w:rFonts w:eastAsia="Times New Roman"/>
                <w:color w:val="000000"/>
                <w:lang w:eastAsia="en-GB"/>
              </w:rPr>
            </w:pPr>
            <w:r w:rsidRPr="00FB4DCD">
              <w:rPr>
                <w:rFonts w:eastAsia="Times New Roman"/>
                <w:color w:val="000000"/>
                <w:lang w:eastAsia="en-GB"/>
              </w:rPr>
              <w:t>4</w:t>
            </w:r>
          </w:p>
        </w:tc>
        <w:tc>
          <w:tcPr>
            <w:tcW w:w="1804" w:type="dxa"/>
            <w:noWrap/>
            <w:hideMark/>
          </w:tcPr>
          <w:p w:rsidR="00FB4DCD" w:rsidRPr="00FB4DCD" w:rsidRDefault="00FB4DCD" w:rsidP="00FB4DCD">
            <w:pPr>
              <w:jc w:val="right"/>
              <w:rPr>
                <w:rFonts w:eastAsia="Times New Roman"/>
                <w:color w:val="000000"/>
                <w:lang w:eastAsia="en-GB"/>
              </w:rPr>
            </w:pPr>
            <w:r w:rsidRPr="00FB4DCD">
              <w:rPr>
                <w:rFonts w:eastAsia="Times New Roman"/>
                <w:color w:val="000000"/>
                <w:lang w:eastAsia="en-GB"/>
              </w:rPr>
              <w:t>3</w:t>
            </w:r>
          </w:p>
        </w:tc>
      </w:tr>
    </w:tbl>
    <w:p w:rsidR="00FB4DCD" w:rsidRDefault="00FB4DCD" w:rsidP="00FB4DCD">
      <w:pPr>
        <w:ind w:left="851"/>
      </w:pPr>
    </w:p>
    <w:p w:rsidR="00C77F81" w:rsidRDefault="00C77F81" w:rsidP="00C77F81"/>
    <w:tbl>
      <w:tblPr>
        <w:tblStyle w:val="TableGrid"/>
        <w:tblW w:w="7827" w:type="dxa"/>
        <w:tblInd w:w="607" w:type="dxa"/>
        <w:tblLook w:val="06A0" w:firstRow="1" w:lastRow="0" w:firstColumn="1" w:lastColumn="0" w:noHBand="1" w:noVBand="1"/>
      </w:tblPr>
      <w:tblGrid>
        <w:gridCol w:w="2803"/>
        <w:gridCol w:w="1350"/>
        <w:gridCol w:w="1870"/>
        <w:gridCol w:w="1804"/>
      </w:tblGrid>
      <w:tr w:rsidR="00FB4DCD" w:rsidRPr="00FB4DCD" w:rsidTr="00F77C5F">
        <w:trPr>
          <w:trHeight w:val="315"/>
        </w:trPr>
        <w:tc>
          <w:tcPr>
            <w:tcW w:w="2803" w:type="dxa"/>
            <w:noWrap/>
            <w:hideMark/>
          </w:tcPr>
          <w:p w:rsidR="00FB4DCD" w:rsidRPr="00FB4DCD" w:rsidRDefault="00FB4DCD" w:rsidP="00FB4DCD">
            <w:pPr>
              <w:rPr>
                <w:rFonts w:eastAsia="Times New Roman"/>
                <w:b/>
                <w:bCs/>
                <w:color w:val="000000"/>
                <w:lang w:eastAsia="en-GB"/>
              </w:rPr>
            </w:pPr>
            <w:r w:rsidRPr="00FB4DCD">
              <w:rPr>
                <w:rFonts w:eastAsia="Times New Roman"/>
                <w:b/>
                <w:bCs/>
                <w:color w:val="000000"/>
                <w:lang w:eastAsia="en-GB"/>
              </w:rPr>
              <w:t>2020</w:t>
            </w:r>
          </w:p>
        </w:tc>
        <w:tc>
          <w:tcPr>
            <w:tcW w:w="1350" w:type="dxa"/>
            <w:noWrap/>
            <w:hideMark/>
          </w:tcPr>
          <w:p w:rsidR="00FB4DCD" w:rsidRPr="00FB4DCD" w:rsidRDefault="00FB4DCD" w:rsidP="00FB4DCD">
            <w:pPr>
              <w:rPr>
                <w:rFonts w:eastAsia="Times New Roman"/>
                <w:b/>
                <w:bCs/>
                <w:color w:val="000000"/>
                <w:lang w:eastAsia="en-GB"/>
              </w:rPr>
            </w:pPr>
            <w:r w:rsidRPr="00FB4DCD">
              <w:rPr>
                <w:rFonts w:eastAsia="Times New Roman"/>
                <w:b/>
                <w:bCs/>
                <w:color w:val="000000"/>
                <w:lang w:eastAsia="en-GB"/>
              </w:rPr>
              <w:t>Disabled</w:t>
            </w:r>
          </w:p>
        </w:tc>
        <w:tc>
          <w:tcPr>
            <w:tcW w:w="1870" w:type="dxa"/>
            <w:noWrap/>
            <w:hideMark/>
          </w:tcPr>
          <w:p w:rsidR="00FB4DCD" w:rsidRPr="00FB4DCD" w:rsidRDefault="00FB4DCD" w:rsidP="00FB4DCD">
            <w:pPr>
              <w:rPr>
                <w:rFonts w:eastAsia="Times New Roman"/>
                <w:b/>
                <w:bCs/>
                <w:color w:val="000000"/>
                <w:lang w:eastAsia="en-GB"/>
              </w:rPr>
            </w:pPr>
            <w:r w:rsidRPr="00FB4DCD">
              <w:rPr>
                <w:rFonts w:eastAsia="Times New Roman"/>
                <w:b/>
                <w:bCs/>
                <w:color w:val="000000"/>
                <w:lang w:eastAsia="en-GB"/>
              </w:rPr>
              <w:t>Non-disabled</w:t>
            </w:r>
          </w:p>
        </w:tc>
        <w:tc>
          <w:tcPr>
            <w:tcW w:w="1804" w:type="dxa"/>
            <w:noWrap/>
            <w:hideMark/>
          </w:tcPr>
          <w:p w:rsidR="00FB4DCD" w:rsidRPr="00FB4DCD" w:rsidRDefault="00FB4DCD" w:rsidP="00FB4DCD">
            <w:pPr>
              <w:rPr>
                <w:rFonts w:eastAsia="Times New Roman"/>
                <w:b/>
                <w:bCs/>
                <w:color w:val="000000"/>
                <w:lang w:eastAsia="en-GB"/>
              </w:rPr>
            </w:pPr>
            <w:r w:rsidRPr="00FB4DCD">
              <w:rPr>
                <w:rFonts w:eastAsia="Times New Roman"/>
                <w:b/>
                <w:bCs/>
                <w:color w:val="000000"/>
                <w:lang w:eastAsia="en-GB"/>
              </w:rPr>
              <w:t>Not declared</w:t>
            </w:r>
          </w:p>
        </w:tc>
      </w:tr>
      <w:tr w:rsidR="00FB4DCD" w:rsidRPr="00FB4DCD" w:rsidTr="00F77C5F">
        <w:trPr>
          <w:trHeight w:val="315"/>
        </w:trPr>
        <w:tc>
          <w:tcPr>
            <w:tcW w:w="2803" w:type="dxa"/>
            <w:noWrap/>
            <w:hideMark/>
          </w:tcPr>
          <w:p w:rsidR="00FB4DCD" w:rsidRPr="00FB4DCD" w:rsidRDefault="00FB4DCD" w:rsidP="00FB4DCD">
            <w:pPr>
              <w:rPr>
                <w:rFonts w:eastAsia="Times New Roman"/>
                <w:b/>
                <w:bCs/>
                <w:color w:val="000000"/>
                <w:lang w:eastAsia="en-GB"/>
              </w:rPr>
            </w:pPr>
            <w:r w:rsidRPr="00FB4DCD">
              <w:rPr>
                <w:rFonts w:eastAsia="Times New Roman"/>
                <w:b/>
                <w:bCs/>
                <w:color w:val="000000"/>
                <w:lang w:eastAsia="en-GB"/>
              </w:rPr>
              <w:t>Redeployed</w:t>
            </w:r>
          </w:p>
        </w:tc>
        <w:tc>
          <w:tcPr>
            <w:tcW w:w="1350" w:type="dxa"/>
            <w:noWrap/>
            <w:hideMark/>
          </w:tcPr>
          <w:p w:rsidR="00FB4DCD" w:rsidRPr="00FB4DCD" w:rsidRDefault="00FB4DCD" w:rsidP="00FB4DCD">
            <w:pPr>
              <w:jc w:val="right"/>
              <w:rPr>
                <w:rFonts w:eastAsia="Times New Roman"/>
                <w:color w:val="000000"/>
                <w:lang w:eastAsia="en-GB"/>
              </w:rPr>
            </w:pPr>
            <w:r w:rsidRPr="00FB4DCD">
              <w:rPr>
                <w:rFonts w:eastAsia="Times New Roman"/>
                <w:color w:val="000000"/>
                <w:lang w:eastAsia="en-GB"/>
              </w:rPr>
              <w:t>0</w:t>
            </w:r>
          </w:p>
        </w:tc>
        <w:tc>
          <w:tcPr>
            <w:tcW w:w="1870" w:type="dxa"/>
            <w:noWrap/>
            <w:hideMark/>
          </w:tcPr>
          <w:p w:rsidR="00FB4DCD" w:rsidRPr="00FB4DCD" w:rsidRDefault="00FB4DCD" w:rsidP="00FB4DCD">
            <w:pPr>
              <w:jc w:val="right"/>
              <w:rPr>
                <w:rFonts w:eastAsia="Times New Roman"/>
                <w:color w:val="000000"/>
                <w:lang w:eastAsia="en-GB"/>
              </w:rPr>
            </w:pPr>
            <w:r w:rsidRPr="00FB4DCD">
              <w:rPr>
                <w:rFonts w:eastAsia="Times New Roman"/>
                <w:color w:val="000000"/>
                <w:lang w:eastAsia="en-GB"/>
              </w:rPr>
              <w:t>8</w:t>
            </w:r>
          </w:p>
        </w:tc>
        <w:tc>
          <w:tcPr>
            <w:tcW w:w="1804" w:type="dxa"/>
            <w:noWrap/>
            <w:hideMark/>
          </w:tcPr>
          <w:p w:rsidR="00FB4DCD" w:rsidRPr="00FB4DCD" w:rsidRDefault="00FB4DCD" w:rsidP="00FB4DCD">
            <w:pPr>
              <w:jc w:val="right"/>
              <w:rPr>
                <w:rFonts w:eastAsia="Times New Roman"/>
                <w:color w:val="000000"/>
                <w:lang w:eastAsia="en-GB"/>
              </w:rPr>
            </w:pPr>
            <w:r w:rsidRPr="00FB4DCD">
              <w:rPr>
                <w:rFonts w:eastAsia="Times New Roman"/>
                <w:color w:val="000000"/>
                <w:lang w:eastAsia="en-GB"/>
              </w:rPr>
              <w:t>3</w:t>
            </w:r>
          </w:p>
        </w:tc>
      </w:tr>
    </w:tbl>
    <w:p w:rsidR="00FB4DCD" w:rsidRDefault="00FB4DCD" w:rsidP="00C77F81"/>
    <w:p w:rsidR="00FB4DCD" w:rsidRDefault="00FB4DCD" w:rsidP="00AB3263">
      <w:pPr>
        <w:ind w:left="851"/>
      </w:pPr>
      <w:r>
        <w:t xml:space="preserve">In 2019 7 </w:t>
      </w:r>
      <w:bookmarkStart w:id="34" w:name="_Hlk47365051"/>
      <w:r>
        <w:t xml:space="preserve">staff were redeployed </w:t>
      </w:r>
      <w:bookmarkEnd w:id="34"/>
      <w:r>
        <w:t>as a consequence of Ill-health capability processes</w:t>
      </w:r>
      <w:r w:rsidR="00AB3263">
        <w:t xml:space="preserve"> and in 2020 11 staff were redeployed none of them were disabled.</w:t>
      </w:r>
    </w:p>
    <w:p w:rsidR="00A575AB" w:rsidRPr="00A575AB" w:rsidRDefault="00A575AB" w:rsidP="008773B9">
      <w:pPr>
        <w:pStyle w:val="Heading2"/>
      </w:pPr>
      <w:bookmarkStart w:id="35" w:name="_Toc14081462"/>
      <w:r w:rsidRPr="00A575AB">
        <w:t>Metric 4</w:t>
      </w:r>
      <w:bookmarkEnd w:id="35"/>
    </w:p>
    <w:p w:rsidR="00A575AB" w:rsidRDefault="00A575AB" w:rsidP="00DF7C89">
      <w:pPr>
        <w:pStyle w:val="Heading3"/>
      </w:pPr>
      <w:bookmarkStart w:id="36" w:name="_Toc14081463"/>
      <w:r>
        <w:t>a) Percentage of Disabled staff compared to non-disabled staff experiencing harassment, bullying or abuse from:</w:t>
      </w:r>
      <w:r>
        <w:br/>
      </w:r>
      <w:proofErr w:type="spellStart"/>
      <w:r>
        <w:t>i</w:t>
      </w:r>
      <w:proofErr w:type="spellEnd"/>
      <w:r>
        <w:t>. Patients/service users, their relatives or other members of the public</w:t>
      </w:r>
      <w:r>
        <w:br/>
        <w:t>ii. Managers</w:t>
      </w:r>
      <w:r>
        <w:br/>
        <w:t>iii. Other colleagues</w:t>
      </w:r>
      <w:bookmarkEnd w:id="36"/>
    </w:p>
    <w:p w:rsidR="0007037B" w:rsidRDefault="0007037B" w:rsidP="0007037B"/>
    <w:p w:rsidR="0007037B" w:rsidRPr="0007037B" w:rsidRDefault="0007037B" w:rsidP="0007037B">
      <w:pPr>
        <w:ind w:left="851"/>
      </w:pPr>
      <w:r>
        <w:rPr>
          <w:noProof/>
        </w:rPr>
        <w:lastRenderedPageBreak/>
        <w:drawing>
          <wp:inline distT="0" distB="0" distL="0" distR="0" wp14:anchorId="379FEFFA" wp14:editId="6C3992B1">
            <wp:extent cx="5533902" cy="3378835"/>
            <wp:effectExtent l="0" t="0" r="0" b="0"/>
            <wp:docPr id="9" name="Chart 9" descr="The proportion of disabled staff reporting Harassment, bullying or abuse from patients, relatives or public has increased over the last year and EKHUFT remains between 4% and 6% higher than our benchmark group."/>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3EBC" w:rsidRDefault="00913EBC" w:rsidP="00913EBC"/>
    <w:p w:rsidR="0007037B" w:rsidRPr="00913EBC" w:rsidRDefault="0007037B" w:rsidP="00FA46CB">
      <w:pPr>
        <w:ind w:left="851"/>
      </w:pPr>
      <w:r>
        <w:t xml:space="preserve">The proportion of disabled staff reporting </w:t>
      </w:r>
      <w:r w:rsidRPr="0007037B">
        <w:t>Harassment, bullying or abuse from</w:t>
      </w:r>
      <w:r w:rsidR="00FA46CB">
        <w:t xml:space="preserve"> p</w:t>
      </w:r>
      <w:r w:rsidRPr="0007037B">
        <w:t>atients, relatives or public</w:t>
      </w:r>
      <w:r w:rsidR="00FA46CB">
        <w:t xml:space="preserve"> has increased over the last year and EKHUFT remains between 4% and 6% higher than our benchmark group</w:t>
      </w:r>
      <w:r w:rsidR="00F77C5F">
        <w:t>.</w:t>
      </w:r>
    </w:p>
    <w:p w:rsidR="00913EBC" w:rsidRDefault="0007037B" w:rsidP="00913EBC">
      <w:pPr>
        <w:ind w:left="851"/>
      </w:pPr>
      <w:r>
        <w:rPr>
          <w:noProof/>
        </w:rPr>
        <w:drawing>
          <wp:inline distT="0" distB="0" distL="0" distR="0" wp14:anchorId="41606698" wp14:editId="40E12B7D">
            <wp:extent cx="5468587" cy="3656330"/>
            <wp:effectExtent l="0" t="0" r="0" b="1270"/>
            <wp:docPr id="10" name="Chart 10" descr="There has been a very satisfying drop in the level of disabled staff reporting harassment, bullying or abuse from managers. The difference between EKHUFT and our benchmark group has reduced considerably during the last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3EBC" w:rsidRDefault="00913EBC" w:rsidP="00913EBC"/>
    <w:p w:rsidR="00FA46CB" w:rsidRDefault="00FA46CB" w:rsidP="00FA46CB">
      <w:pPr>
        <w:ind w:left="851"/>
      </w:pPr>
      <w:r>
        <w:lastRenderedPageBreak/>
        <w:t>There has been a very satisfying drop in the level of disabled staff reporting h</w:t>
      </w:r>
      <w:r w:rsidRPr="00FA46CB">
        <w:t xml:space="preserve">arassment, bullying or abuse from </w:t>
      </w:r>
      <w:r>
        <w:t>m</w:t>
      </w:r>
      <w:r w:rsidRPr="00FA46CB">
        <w:t>anager</w:t>
      </w:r>
      <w:r>
        <w:t>s. The difference between EKHUFT and our benchmark group has reduced considerably during the last year</w:t>
      </w:r>
    </w:p>
    <w:p w:rsidR="00FA46CB" w:rsidRDefault="00FA46CB" w:rsidP="00913EBC"/>
    <w:p w:rsidR="00913EBC" w:rsidRPr="00913EBC" w:rsidRDefault="0007037B" w:rsidP="00913EBC">
      <w:pPr>
        <w:ind w:left="851"/>
      </w:pPr>
      <w:r>
        <w:rPr>
          <w:noProof/>
        </w:rPr>
        <w:drawing>
          <wp:inline distT="0" distB="0" distL="0" distR="0" wp14:anchorId="3C752DFF" wp14:editId="30EA242E">
            <wp:extent cx="5467985" cy="2896870"/>
            <wp:effectExtent l="0" t="0" r="0" b="0"/>
            <wp:docPr id="11" name="Chart 11" descr="The levels of reported harassment, bullying or abuse from colleagues remains consist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3EBC" w:rsidRDefault="00FA46CB" w:rsidP="00913EBC">
      <w:pPr>
        <w:pStyle w:val="Heading3"/>
        <w:numPr>
          <w:ilvl w:val="0"/>
          <w:numId w:val="0"/>
        </w:numPr>
        <w:ind w:left="851"/>
      </w:pPr>
      <w:bookmarkStart w:id="37" w:name="_Toc14081464"/>
      <w:r>
        <w:t>The levels of reported h</w:t>
      </w:r>
      <w:r w:rsidRPr="00FA46CB">
        <w:t>arassment, bullying or abuse from</w:t>
      </w:r>
      <w:r>
        <w:t xml:space="preserve"> colleagues remains consistent</w:t>
      </w:r>
    </w:p>
    <w:p w:rsidR="00913EBC" w:rsidRDefault="00913EBC" w:rsidP="00913EBC"/>
    <w:p w:rsidR="00A575AB" w:rsidRDefault="00A575AB" w:rsidP="00DF7C89">
      <w:pPr>
        <w:pStyle w:val="Heading3"/>
      </w:pPr>
      <w:bookmarkStart w:id="38" w:name="_Toc14081465"/>
      <w:bookmarkEnd w:id="37"/>
      <w:r>
        <w:t>b) Percentage of Disabled staff compared to non-disabled staff saying that the last time they experienced harassment, bullying or abuse at work, they or a colleague reported it.</w:t>
      </w:r>
      <w:bookmarkEnd w:id="38"/>
    </w:p>
    <w:p w:rsidR="00FA46CB" w:rsidRDefault="00FA46CB" w:rsidP="00FA46CB"/>
    <w:p w:rsidR="00FA46CB" w:rsidRPr="00FA46CB" w:rsidRDefault="00FA46CB" w:rsidP="00B833E0">
      <w:pPr>
        <w:ind w:left="851"/>
      </w:pPr>
      <w:r>
        <w:rPr>
          <w:noProof/>
        </w:rPr>
        <w:lastRenderedPageBreak/>
        <w:drawing>
          <wp:inline distT="0" distB="0" distL="0" distR="0" wp14:anchorId="7C6D227B" wp14:editId="412AA4A0">
            <wp:extent cx="5543550" cy="4010025"/>
            <wp:effectExtent l="0" t="0" r="0" b="0"/>
            <wp:docPr id="12" name="Chart 12" descr="There has been a small but uncharacteristic drop in the proportion of disabled staff saying that the last time they experienced harassment, bullying or abuse at work, they or a colleague reported i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3EBC" w:rsidRDefault="00913EBC" w:rsidP="00913EBC"/>
    <w:p w:rsidR="00913EBC" w:rsidRPr="00913EBC" w:rsidRDefault="00B833E0" w:rsidP="00B833E0">
      <w:pPr>
        <w:ind w:left="851"/>
      </w:pPr>
      <w:r>
        <w:t xml:space="preserve">There has been a small but uncharacteristic drop in the proportion of disabled staff </w:t>
      </w:r>
      <w:r w:rsidRPr="00B833E0">
        <w:t>saying that the last time they experienced harassment, bullying or abuse at work, they or a colleague reported it.</w:t>
      </w:r>
    </w:p>
    <w:p w:rsidR="006614DA" w:rsidRDefault="006614DA">
      <w:pPr>
        <w:spacing w:after="200" w:line="276" w:lineRule="auto"/>
        <w:rPr>
          <w:rFonts w:eastAsiaTheme="majorEastAsia"/>
          <w:b/>
          <w:bCs/>
        </w:rPr>
      </w:pPr>
      <w:bookmarkStart w:id="39" w:name="_Toc14081466"/>
      <w:r>
        <w:br w:type="page"/>
      </w:r>
    </w:p>
    <w:p w:rsidR="00A575AB" w:rsidRPr="00680A90" w:rsidRDefault="00A575AB" w:rsidP="008773B9">
      <w:pPr>
        <w:pStyle w:val="Heading2"/>
      </w:pPr>
      <w:r w:rsidRPr="00680A90">
        <w:lastRenderedPageBreak/>
        <w:t>Metric 5</w:t>
      </w:r>
      <w:bookmarkEnd w:id="39"/>
      <w:r w:rsidRPr="00680A90">
        <w:t xml:space="preserve"> </w:t>
      </w:r>
    </w:p>
    <w:p w:rsidR="00A575AB" w:rsidRDefault="00A575AB" w:rsidP="00DF7C89">
      <w:pPr>
        <w:pStyle w:val="Heading3"/>
      </w:pPr>
      <w:bookmarkStart w:id="40" w:name="_Toc14081467"/>
      <w:r>
        <w:t>Percentage of Disabled staff compared to non-disabled staff believing that the Trust provides equal opportunities for career progression or promotion.</w:t>
      </w:r>
      <w:bookmarkEnd w:id="40"/>
    </w:p>
    <w:p w:rsidR="00B833E0" w:rsidRPr="00B833E0" w:rsidRDefault="00B833E0" w:rsidP="00B833E0"/>
    <w:p w:rsidR="00B833E0" w:rsidRDefault="00B833E0" w:rsidP="00B833E0">
      <w:pPr>
        <w:ind w:left="851"/>
      </w:pPr>
      <w:r>
        <w:rPr>
          <w:noProof/>
        </w:rPr>
        <w:drawing>
          <wp:inline distT="0" distB="0" distL="0" distR="0" wp14:anchorId="01FDBF96" wp14:editId="7EAB98C2">
            <wp:extent cx="5379522" cy="3657600"/>
            <wp:effectExtent l="0" t="0" r="0" b="0"/>
            <wp:docPr id="13" name="Chart 13" descr="There has been a pleasing improvement in the numbers of disabled staff believing that the Trust provides equal opportunities for career progression or promo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33E0" w:rsidRPr="00B833E0" w:rsidRDefault="00B833E0" w:rsidP="00B833E0"/>
    <w:p w:rsidR="00680A90" w:rsidRDefault="00B833E0" w:rsidP="00680A90">
      <w:r>
        <w:t>There has been a pleasing improvement in the numbers of disabled staff believing that the Trust provides equal opportunities for career progression or promotion</w:t>
      </w:r>
    </w:p>
    <w:p w:rsidR="00680A90" w:rsidRDefault="00680A90" w:rsidP="00680A90"/>
    <w:p w:rsidR="006614DA" w:rsidRDefault="006614DA">
      <w:pPr>
        <w:spacing w:after="200" w:line="276" w:lineRule="auto"/>
        <w:rPr>
          <w:rFonts w:eastAsiaTheme="majorEastAsia"/>
          <w:b/>
          <w:bCs/>
        </w:rPr>
      </w:pPr>
      <w:bookmarkStart w:id="41" w:name="_Toc14081468"/>
      <w:r>
        <w:br w:type="page"/>
      </w:r>
    </w:p>
    <w:p w:rsidR="00680A90" w:rsidRPr="00680A90" w:rsidRDefault="00680A90" w:rsidP="008773B9">
      <w:pPr>
        <w:pStyle w:val="Heading2"/>
      </w:pPr>
      <w:r w:rsidRPr="00680A90">
        <w:lastRenderedPageBreak/>
        <w:t>Metric 6</w:t>
      </w:r>
      <w:bookmarkEnd w:id="41"/>
    </w:p>
    <w:p w:rsidR="00680A90" w:rsidRDefault="00680A90" w:rsidP="00DF7C89">
      <w:pPr>
        <w:pStyle w:val="Heading3"/>
      </w:pPr>
      <w:bookmarkStart w:id="42" w:name="_Toc14081469"/>
      <w:r>
        <w:t>Percentage of Disabled staff compared to non-disabled staff saying that they have felt pressure from their manager to come to work, despite not feeling well enough to perform their duties.</w:t>
      </w:r>
      <w:bookmarkEnd w:id="42"/>
    </w:p>
    <w:p w:rsidR="00680A90" w:rsidRDefault="00680A90" w:rsidP="00680A90"/>
    <w:p w:rsidR="006614DA" w:rsidRDefault="006614DA" w:rsidP="006614DA">
      <w:pPr>
        <w:ind w:left="851"/>
      </w:pPr>
      <w:r>
        <w:rPr>
          <w:noProof/>
        </w:rPr>
        <w:drawing>
          <wp:inline distT="0" distB="0" distL="0" distR="0" wp14:anchorId="3154E96B" wp14:editId="01F056A3">
            <wp:extent cx="5510151" cy="4361815"/>
            <wp:effectExtent l="0" t="0" r="0" b="635"/>
            <wp:docPr id="14" name="Chart 14" descr="Percentage of Disabled staff saying that they have felt pressure from their manager to come to work, despite not feeling well enough to perform their duties has reduced considerably."/>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0A90" w:rsidRDefault="006614DA" w:rsidP="00680A90">
      <w:r>
        <w:t xml:space="preserve"> </w:t>
      </w:r>
    </w:p>
    <w:p w:rsidR="006614DA" w:rsidRDefault="006614DA" w:rsidP="006614DA">
      <w:pPr>
        <w:ind w:left="851"/>
      </w:pPr>
      <w:r w:rsidRPr="006614DA">
        <w:t>Percentage of Disabled staff saying that they have felt pressure from their manager to come to work, despite not feeling well enough to perform their duties</w:t>
      </w:r>
      <w:r>
        <w:t xml:space="preserve"> has reduced considerably</w:t>
      </w:r>
      <w:r w:rsidRPr="006614DA">
        <w:t>.</w:t>
      </w:r>
    </w:p>
    <w:p w:rsidR="006614DA" w:rsidRDefault="006614DA">
      <w:pPr>
        <w:spacing w:after="200" w:line="276" w:lineRule="auto"/>
      </w:pPr>
      <w:r>
        <w:br w:type="page"/>
      </w:r>
    </w:p>
    <w:p w:rsidR="00680A90" w:rsidRPr="00680A90" w:rsidRDefault="00680A90" w:rsidP="008773B9">
      <w:pPr>
        <w:pStyle w:val="Heading2"/>
      </w:pPr>
      <w:bookmarkStart w:id="43" w:name="_Toc14081470"/>
      <w:r w:rsidRPr="00680A90">
        <w:lastRenderedPageBreak/>
        <w:t>Metric 7</w:t>
      </w:r>
      <w:bookmarkEnd w:id="43"/>
    </w:p>
    <w:p w:rsidR="00680A90" w:rsidRDefault="00680A90" w:rsidP="00DF7C89">
      <w:pPr>
        <w:pStyle w:val="Heading3"/>
      </w:pPr>
      <w:bookmarkStart w:id="44" w:name="_Toc14081471"/>
      <w:r>
        <w:t>Percentage of Disabled staff compared to non-disabled staff saying that they are satisfied with the extent to which their organisation values their work.</w:t>
      </w:r>
      <w:bookmarkEnd w:id="44"/>
    </w:p>
    <w:p w:rsidR="00680A90" w:rsidRDefault="00680A90" w:rsidP="00680A90"/>
    <w:p w:rsidR="00680A90" w:rsidRDefault="006614DA" w:rsidP="006614DA">
      <w:pPr>
        <w:ind w:left="851"/>
      </w:pPr>
      <w:r>
        <w:rPr>
          <w:noProof/>
        </w:rPr>
        <w:drawing>
          <wp:inline distT="0" distB="0" distL="0" distR="0" wp14:anchorId="08E5D5F3" wp14:editId="5D4F14E9">
            <wp:extent cx="5545777" cy="3733800"/>
            <wp:effectExtent l="0" t="0" r="0" b="0"/>
            <wp:docPr id="15" name="Chart 15" descr="The percentage of Disabled staff staff saying that they are satisfied with the extent to which their organisation values their work is another area which has seen significant improvement during the last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614DA" w:rsidRDefault="006614DA" w:rsidP="006614DA">
      <w:pPr>
        <w:ind w:left="851"/>
      </w:pPr>
      <w:bookmarkStart w:id="45" w:name="_Toc14081472"/>
    </w:p>
    <w:p w:rsidR="006614DA" w:rsidRDefault="006614DA" w:rsidP="006614DA">
      <w:pPr>
        <w:ind w:left="851"/>
      </w:pPr>
      <w:r>
        <w:t>The p</w:t>
      </w:r>
      <w:r w:rsidRPr="006614DA">
        <w:t>ercentage of Disabled staff staff saying that they are satisfied with the extent to which their organisation values their work</w:t>
      </w:r>
      <w:r>
        <w:t xml:space="preserve"> is another area which has seen significant improvement during the last year</w:t>
      </w:r>
      <w:r w:rsidRPr="006614DA">
        <w:t>.</w:t>
      </w:r>
    </w:p>
    <w:p w:rsidR="00B10377" w:rsidRDefault="00B10377">
      <w:pPr>
        <w:spacing w:after="200" w:line="276" w:lineRule="auto"/>
        <w:rPr>
          <w:rFonts w:eastAsiaTheme="majorEastAsia"/>
          <w:b/>
          <w:bCs/>
        </w:rPr>
      </w:pPr>
      <w:r>
        <w:br w:type="page"/>
      </w:r>
    </w:p>
    <w:p w:rsidR="00680A90" w:rsidRPr="00680A90" w:rsidRDefault="00680A90" w:rsidP="008773B9">
      <w:pPr>
        <w:pStyle w:val="Heading2"/>
      </w:pPr>
      <w:r w:rsidRPr="00680A90">
        <w:lastRenderedPageBreak/>
        <w:t>Metric 8</w:t>
      </w:r>
      <w:bookmarkEnd w:id="45"/>
    </w:p>
    <w:p w:rsidR="00680A90" w:rsidRDefault="00680A90" w:rsidP="00DF7C89">
      <w:pPr>
        <w:pStyle w:val="Heading3"/>
      </w:pPr>
      <w:bookmarkStart w:id="46" w:name="_Toc14081473"/>
      <w:r>
        <w:t>Percentage of Disabled staff saying that their employer has made adequate adjustment(s) to enable them to carry out their work.</w:t>
      </w:r>
      <w:bookmarkEnd w:id="46"/>
    </w:p>
    <w:p w:rsidR="00B10377" w:rsidRPr="00B10377" w:rsidRDefault="00B10377" w:rsidP="00B10377"/>
    <w:p w:rsidR="00B25367" w:rsidRPr="00B25367" w:rsidRDefault="00B10377" w:rsidP="00B10377">
      <w:pPr>
        <w:ind w:left="851"/>
      </w:pPr>
      <w:r>
        <w:rPr>
          <w:noProof/>
        </w:rPr>
        <w:drawing>
          <wp:inline distT="0" distB="0" distL="0" distR="0" wp14:anchorId="25DB6CDD" wp14:editId="1936C5B2">
            <wp:extent cx="5153025" cy="3070267"/>
            <wp:effectExtent l="0" t="0" r="0" b="0"/>
            <wp:docPr id="16" name="Chart 16" descr="80% Disabled staff said that their employer had made adequate adjustment(s) to enable them to carry out their work in the 2018 survey that had increased to 74.0% in 2019 higher than the benchmark aver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80A90" w:rsidRDefault="00680A90" w:rsidP="00DF7C89">
      <w:pPr>
        <w:pStyle w:val="Heading3"/>
      </w:pPr>
      <w:bookmarkStart w:id="47" w:name="_Toc14081474"/>
      <w:r w:rsidRPr="00680A90">
        <w:t xml:space="preserve">64.80% Disabled staff </w:t>
      </w:r>
      <w:r>
        <w:t>said</w:t>
      </w:r>
      <w:r w:rsidRPr="00680A90">
        <w:t xml:space="preserve"> that their employer ha</w:t>
      </w:r>
      <w:r w:rsidR="00B10377">
        <w:t>d</w:t>
      </w:r>
      <w:r w:rsidRPr="00680A90">
        <w:t xml:space="preserve"> made adequate adjustment(s) to enable them to carry out their work</w:t>
      </w:r>
      <w:r w:rsidR="00B10377">
        <w:t xml:space="preserve"> in the 2018 survey that had increased to 74.0% in 2019 higher than the benchmark average</w:t>
      </w:r>
      <w:r w:rsidRPr="00680A90">
        <w:t>.</w:t>
      </w:r>
      <w:bookmarkEnd w:id="47"/>
      <w:r w:rsidRPr="00680A90">
        <w:tab/>
      </w:r>
    </w:p>
    <w:p w:rsidR="00680A90" w:rsidRDefault="00680A90" w:rsidP="00680A90"/>
    <w:p w:rsidR="00680A90" w:rsidRPr="00B7424A" w:rsidRDefault="00680A90" w:rsidP="008773B9">
      <w:pPr>
        <w:pStyle w:val="Heading2"/>
        <w:rPr>
          <w:b/>
        </w:rPr>
      </w:pPr>
      <w:bookmarkStart w:id="48" w:name="_Toc14081475"/>
      <w:r w:rsidRPr="00475604">
        <w:t>Metric 9 a)</w:t>
      </w:r>
      <w:r>
        <w:t xml:space="preserve"> </w:t>
      </w:r>
      <w:r w:rsidR="00475604">
        <w:tab/>
      </w:r>
      <w:r w:rsidRPr="00B7424A">
        <w:t>The staff engagement score for Disabled staff, compared to non-disabled staff and the overall engagement score for the organisation.</w:t>
      </w:r>
      <w:bookmarkEnd w:id="48"/>
    </w:p>
    <w:p w:rsidR="00475604" w:rsidRDefault="00475604" w:rsidP="00475604"/>
    <w:p w:rsidR="00475604" w:rsidRDefault="00B10377" w:rsidP="00B10377">
      <w:pPr>
        <w:ind w:left="851"/>
      </w:pPr>
      <w:r>
        <w:rPr>
          <w:noProof/>
        </w:rPr>
        <w:lastRenderedPageBreak/>
        <w:drawing>
          <wp:inline distT="0" distB="0" distL="0" distR="0" wp14:anchorId="7EE23FDC" wp14:editId="76ACCD17">
            <wp:extent cx="5474335" cy="3117273"/>
            <wp:effectExtent l="0" t="0" r="0" b="6985"/>
            <wp:docPr id="17" name="Chart 17" descr="Our disabled staff engagement score has improved but remains lower than our benchmark group aver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10377" w:rsidRDefault="00B10377" w:rsidP="00B10377">
      <w:pPr>
        <w:ind w:left="851"/>
      </w:pPr>
      <w:r>
        <w:t>Our disabled staff engagement score has improved but remains lower than our benchmark group average.</w:t>
      </w:r>
    </w:p>
    <w:p w:rsidR="00475604" w:rsidRDefault="00475604" w:rsidP="00DF7C89">
      <w:pPr>
        <w:pStyle w:val="Heading3"/>
      </w:pPr>
      <w:bookmarkStart w:id="49" w:name="_Toc14081476"/>
      <w:r w:rsidRPr="00475604">
        <w:rPr>
          <w:b/>
        </w:rPr>
        <w:t>Metric 9 b)</w:t>
      </w:r>
      <w:r>
        <w:t xml:space="preserve"> </w:t>
      </w:r>
      <w:r>
        <w:tab/>
        <w:t>Has your Trust taken action to facilitate the voices of Disabled staff in your organisation to be heard? (Yes) or (No)</w:t>
      </w:r>
      <w:bookmarkEnd w:id="49"/>
      <w:r w:rsidR="00B10377">
        <w:t xml:space="preserve"> </w:t>
      </w:r>
      <w:r w:rsidR="00B10377" w:rsidRPr="00B10377">
        <w:rPr>
          <w:b/>
        </w:rPr>
        <w:t>YES</w:t>
      </w:r>
    </w:p>
    <w:p w:rsidR="00BC1F76" w:rsidRDefault="00475604" w:rsidP="00DF7C89">
      <w:pPr>
        <w:pStyle w:val="Heading3"/>
      </w:pPr>
      <w:bookmarkStart w:id="50" w:name="_Toc14081477"/>
      <w:r>
        <w:t xml:space="preserve">EKHUFT </w:t>
      </w:r>
      <w:r w:rsidRPr="00475604">
        <w:t xml:space="preserve">Has </w:t>
      </w:r>
      <w:r w:rsidR="00B7424A" w:rsidRPr="00475604">
        <w:t>acted</w:t>
      </w:r>
      <w:r w:rsidRPr="00475604">
        <w:t xml:space="preserve"> to facilitate t</w:t>
      </w:r>
      <w:r>
        <w:t xml:space="preserve">he voices of Disabled staff in </w:t>
      </w:r>
      <w:r w:rsidRPr="00475604">
        <w:t>our organisation to be heard</w:t>
      </w:r>
      <w:r>
        <w:t xml:space="preserve">. We encourage and support staff to join the Disabled Staff Council (DSC), which meets once every two months. The Chair of the DSC attends the Equality, Diversity and Inclusion Steering Group </w:t>
      </w:r>
      <w:r w:rsidR="00BC1F76">
        <w:t>(EDISG) w</w:t>
      </w:r>
      <w:r>
        <w:t xml:space="preserve">hich includes </w:t>
      </w:r>
      <w:r w:rsidR="00BC1F76">
        <w:t>Chief Nurse and Director of Quality (Dep. Chair)</w:t>
      </w:r>
      <w:bookmarkEnd w:id="50"/>
    </w:p>
    <w:p w:rsidR="00BC1F76" w:rsidRDefault="00BC1F76" w:rsidP="00DF7C89">
      <w:pPr>
        <w:pStyle w:val="Style1"/>
        <w:numPr>
          <w:ilvl w:val="0"/>
          <w:numId w:val="10"/>
        </w:numPr>
      </w:pPr>
      <w:r>
        <w:t>Director of Communications</w:t>
      </w:r>
    </w:p>
    <w:p w:rsidR="00BC1F76" w:rsidRDefault="00BC1F76" w:rsidP="00DF7C89">
      <w:pPr>
        <w:pStyle w:val="Style1"/>
        <w:numPr>
          <w:ilvl w:val="0"/>
          <w:numId w:val="10"/>
        </w:numPr>
      </w:pPr>
      <w:r>
        <w:t xml:space="preserve">Director of Human Resources (Chair) </w:t>
      </w:r>
    </w:p>
    <w:p w:rsidR="00BC1F76" w:rsidRDefault="00BC1F76" w:rsidP="00DF7C89">
      <w:pPr>
        <w:pStyle w:val="Style1"/>
        <w:numPr>
          <w:ilvl w:val="0"/>
          <w:numId w:val="10"/>
        </w:numPr>
      </w:pPr>
      <w:r>
        <w:t>Director of Estates and Facilities</w:t>
      </w:r>
    </w:p>
    <w:p w:rsidR="00BC1F76" w:rsidRDefault="00BC1F76" w:rsidP="00DF7C89">
      <w:pPr>
        <w:pStyle w:val="Style1"/>
        <w:numPr>
          <w:ilvl w:val="0"/>
          <w:numId w:val="10"/>
        </w:numPr>
      </w:pPr>
      <w:r>
        <w:t xml:space="preserve">Head of Patient Experience </w:t>
      </w:r>
    </w:p>
    <w:p w:rsidR="00475604" w:rsidRDefault="00BC1F76" w:rsidP="00DF7C89">
      <w:pPr>
        <w:pStyle w:val="Style1"/>
        <w:numPr>
          <w:ilvl w:val="0"/>
          <w:numId w:val="10"/>
        </w:numPr>
      </w:pPr>
      <w:r>
        <w:t>Healthwatch representative</w:t>
      </w:r>
    </w:p>
    <w:p w:rsidR="00BC1F76" w:rsidRPr="00BC1F76" w:rsidRDefault="00BC1F76" w:rsidP="00DF7C89">
      <w:pPr>
        <w:pStyle w:val="Style1"/>
      </w:pPr>
      <w:r w:rsidRPr="00BC1F76">
        <w:t>The meetings of the EDISG are reported through the Strategic Workforce Committee and the Quality Committee to the Board of Directors.</w:t>
      </w:r>
    </w:p>
    <w:p w:rsidR="00BC1F76" w:rsidRDefault="00BC1F76" w:rsidP="00DF7C89">
      <w:pPr>
        <w:pStyle w:val="Style1"/>
      </w:pPr>
    </w:p>
    <w:p w:rsidR="00CC157C" w:rsidRPr="00B7424A" w:rsidRDefault="00BC1F76" w:rsidP="008773B9">
      <w:pPr>
        <w:pStyle w:val="Heading2"/>
        <w:rPr>
          <w:b/>
        </w:rPr>
      </w:pPr>
      <w:bookmarkStart w:id="51" w:name="_Toc14081478"/>
      <w:r w:rsidRPr="00BC1F76">
        <w:t xml:space="preserve">Metric 10 </w:t>
      </w:r>
      <w:r w:rsidRPr="00B7424A">
        <w:t>Percentage difference between the organisation’s Board voting membership and its organisation’s overall workforce, disaggregated:</w:t>
      </w:r>
    </w:p>
    <w:p w:rsidR="00BC1F76" w:rsidRPr="00B7424A" w:rsidRDefault="00BC1F76" w:rsidP="00CC157C">
      <w:pPr>
        <w:ind w:left="1134"/>
      </w:pPr>
      <w:r w:rsidRPr="00B7424A">
        <w:t>•</w:t>
      </w:r>
      <w:r w:rsidR="00CC157C" w:rsidRPr="00B7424A">
        <w:tab/>
      </w:r>
      <w:r w:rsidRPr="00B7424A">
        <w:t>By voting membership of the Board.</w:t>
      </w:r>
      <w:r w:rsidRPr="00B7424A">
        <w:br/>
        <w:t>•</w:t>
      </w:r>
      <w:r w:rsidR="00CC157C" w:rsidRPr="00B7424A">
        <w:tab/>
      </w:r>
      <w:r w:rsidRPr="00B7424A">
        <w:t>By Executive membership of the Board.</w:t>
      </w:r>
      <w:bookmarkEnd w:id="51"/>
    </w:p>
    <w:p w:rsidR="006642F8" w:rsidRPr="006642F8" w:rsidRDefault="006642F8" w:rsidP="006642F8"/>
    <w:p w:rsidR="00BC1F76" w:rsidRDefault="00BC1F76" w:rsidP="00BC1F76"/>
    <w:tbl>
      <w:tblPr>
        <w:tblStyle w:val="TableGrid"/>
        <w:tblW w:w="7300" w:type="dxa"/>
        <w:tblInd w:w="607" w:type="dxa"/>
        <w:tblLook w:val="04A0" w:firstRow="1" w:lastRow="0" w:firstColumn="1" w:lastColumn="0" w:noHBand="0" w:noVBand="1"/>
      </w:tblPr>
      <w:tblGrid>
        <w:gridCol w:w="2580"/>
        <w:gridCol w:w="1780"/>
        <w:gridCol w:w="1980"/>
        <w:gridCol w:w="960"/>
      </w:tblGrid>
      <w:tr w:rsidR="00F77C5F" w:rsidRPr="00F77C5F" w:rsidTr="00F77C5F">
        <w:trPr>
          <w:trHeight w:val="300"/>
        </w:trPr>
        <w:tc>
          <w:tcPr>
            <w:tcW w:w="2580" w:type="dxa"/>
            <w:noWrap/>
            <w:vAlign w:val="center"/>
            <w:hideMark/>
          </w:tcPr>
          <w:p w:rsidR="00F77C5F" w:rsidRPr="00F77C5F" w:rsidRDefault="00F77C5F" w:rsidP="00F77C5F">
            <w:pPr>
              <w:rPr>
                <w:b/>
                <w:bCs/>
              </w:rPr>
            </w:pPr>
            <w:r w:rsidRPr="00F77C5F">
              <w:rPr>
                <w:b/>
                <w:bCs/>
              </w:rPr>
              <w:t>Numbers of Disabled staff</w:t>
            </w:r>
          </w:p>
        </w:tc>
        <w:tc>
          <w:tcPr>
            <w:tcW w:w="1780" w:type="dxa"/>
            <w:noWrap/>
            <w:vAlign w:val="center"/>
            <w:hideMark/>
          </w:tcPr>
          <w:p w:rsidR="00F77C5F" w:rsidRPr="00F77C5F" w:rsidRDefault="00F77C5F" w:rsidP="00F77C5F">
            <w:pPr>
              <w:rPr>
                <w:b/>
                <w:bCs/>
              </w:rPr>
            </w:pPr>
            <w:r w:rsidRPr="00F77C5F">
              <w:rPr>
                <w:b/>
                <w:bCs/>
              </w:rPr>
              <w:t>Exec Membership</w:t>
            </w:r>
          </w:p>
        </w:tc>
        <w:tc>
          <w:tcPr>
            <w:tcW w:w="1980" w:type="dxa"/>
            <w:noWrap/>
            <w:vAlign w:val="center"/>
            <w:hideMark/>
          </w:tcPr>
          <w:p w:rsidR="00F77C5F" w:rsidRPr="00F77C5F" w:rsidRDefault="00F77C5F" w:rsidP="00F77C5F">
            <w:pPr>
              <w:rPr>
                <w:b/>
                <w:bCs/>
              </w:rPr>
            </w:pPr>
            <w:r w:rsidRPr="00F77C5F">
              <w:rPr>
                <w:b/>
                <w:bCs/>
              </w:rPr>
              <w:t>Voting Membership</w:t>
            </w:r>
          </w:p>
        </w:tc>
        <w:tc>
          <w:tcPr>
            <w:tcW w:w="960" w:type="dxa"/>
            <w:noWrap/>
            <w:vAlign w:val="center"/>
            <w:hideMark/>
          </w:tcPr>
          <w:p w:rsidR="00F77C5F" w:rsidRPr="00F77C5F" w:rsidRDefault="00F77C5F" w:rsidP="00F77C5F">
            <w:pPr>
              <w:rPr>
                <w:b/>
                <w:bCs/>
              </w:rPr>
            </w:pPr>
            <w:r w:rsidRPr="00F77C5F">
              <w:rPr>
                <w:b/>
                <w:bCs/>
              </w:rPr>
              <w:t>Trust</w:t>
            </w:r>
          </w:p>
        </w:tc>
      </w:tr>
      <w:tr w:rsidR="00F77C5F" w:rsidRPr="00F77C5F" w:rsidTr="00F77C5F">
        <w:trPr>
          <w:trHeight w:val="300"/>
        </w:trPr>
        <w:tc>
          <w:tcPr>
            <w:tcW w:w="2580" w:type="dxa"/>
            <w:noWrap/>
            <w:vAlign w:val="center"/>
            <w:hideMark/>
          </w:tcPr>
          <w:p w:rsidR="00F77C5F" w:rsidRPr="00F77C5F" w:rsidRDefault="00F77C5F" w:rsidP="00F77C5F">
            <w:pPr>
              <w:rPr>
                <w:b/>
                <w:bCs/>
              </w:rPr>
            </w:pPr>
            <w:r w:rsidRPr="00F77C5F">
              <w:rPr>
                <w:b/>
                <w:bCs/>
              </w:rPr>
              <w:t>No</w:t>
            </w:r>
          </w:p>
        </w:tc>
        <w:tc>
          <w:tcPr>
            <w:tcW w:w="1780" w:type="dxa"/>
            <w:noWrap/>
            <w:vAlign w:val="center"/>
            <w:hideMark/>
          </w:tcPr>
          <w:p w:rsidR="00F77C5F" w:rsidRPr="00F77C5F" w:rsidRDefault="00F77C5F" w:rsidP="00F77C5F">
            <w:r w:rsidRPr="00F77C5F">
              <w:t>4</w:t>
            </w:r>
          </w:p>
        </w:tc>
        <w:tc>
          <w:tcPr>
            <w:tcW w:w="1980" w:type="dxa"/>
            <w:noWrap/>
            <w:vAlign w:val="center"/>
            <w:hideMark/>
          </w:tcPr>
          <w:p w:rsidR="00F77C5F" w:rsidRPr="00F77C5F" w:rsidRDefault="00F77C5F" w:rsidP="00F77C5F">
            <w:r w:rsidRPr="00F77C5F">
              <w:t>8</w:t>
            </w:r>
          </w:p>
        </w:tc>
        <w:tc>
          <w:tcPr>
            <w:tcW w:w="960" w:type="dxa"/>
            <w:noWrap/>
            <w:vAlign w:val="center"/>
            <w:hideMark/>
          </w:tcPr>
          <w:p w:rsidR="00F77C5F" w:rsidRPr="00F77C5F" w:rsidRDefault="00F77C5F" w:rsidP="00F77C5F">
            <w:r w:rsidRPr="00F77C5F">
              <w:t>5431</w:t>
            </w:r>
          </w:p>
        </w:tc>
      </w:tr>
      <w:tr w:rsidR="00F77C5F" w:rsidRPr="00F77C5F" w:rsidTr="00F77C5F">
        <w:trPr>
          <w:trHeight w:val="300"/>
        </w:trPr>
        <w:tc>
          <w:tcPr>
            <w:tcW w:w="2580" w:type="dxa"/>
            <w:noWrap/>
            <w:vAlign w:val="center"/>
            <w:hideMark/>
          </w:tcPr>
          <w:p w:rsidR="00F77C5F" w:rsidRPr="00F77C5F" w:rsidRDefault="00F77C5F" w:rsidP="00F77C5F">
            <w:pPr>
              <w:rPr>
                <w:b/>
                <w:bCs/>
              </w:rPr>
            </w:pPr>
            <w:r w:rsidRPr="00F77C5F">
              <w:rPr>
                <w:b/>
                <w:bCs/>
              </w:rPr>
              <w:lastRenderedPageBreak/>
              <w:t>Not Declared</w:t>
            </w:r>
          </w:p>
        </w:tc>
        <w:tc>
          <w:tcPr>
            <w:tcW w:w="1780" w:type="dxa"/>
            <w:noWrap/>
            <w:vAlign w:val="center"/>
            <w:hideMark/>
          </w:tcPr>
          <w:p w:rsidR="00F77C5F" w:rsidRPr="00F77C5F" w:rsidRDefault="00F77C5F" w:rsidP="00F77C5F">
            <w:r w:rsidRPr="00F77C5F">
              <w:t>3</w:t>
            </w:r>
          </w:p>
        </w:tc>
        <w:tc>
          <w:tcPr>
            <w:tcW w:w="1980" w:type="dxa"/>
            <w:noWrap/>
            <w:vAlign w:val="center"/>
            <w:hideMark/>
          </w:tcPr>
          <w:p w:rsidR="00F77C5F" w:rsidRPr="00F77C5F" w:rsidRDefault="00F77C5F" w:rsidP="00F77C5F">
            <w:r w:rsidRPr="00F77C5F">
              <w:t>6</w:t>
            </w:r>
          </w:p>
        </w:tc>
        <w:tc>
          <w:tcPr>
            <w:tcW w:w="960" w:type="dxa"/>
            <w:noWrap/>
            <w:vAlign w:val="center"/>
            <w:hideMark/>
          </w:tcPr>
          <w:p w:rsidR="00F77C5F" w:rsidRPr="00F77C5F" w:rsidRDefault="00F77C5F" w:rsidP="00F77C5F">
            <w:r w:rsidRPr="00F77C5F">
              <w:t>2876</w:t>
            </w:r>
          </w:p>
        </w:tc>
      </w:tr>
      <w:tr w:rsidR="00F77C5F" w:rsidRPr="00F77C5F" w:rsidTr="00F77C5F">
        <w:trPr>
          <w:trHeight w:val="300"/>
        </w:trPr>
        <w:tc>
          <w:tcPr>
            <w:tcW w:w="2580" w:type="dxa"/>
            <w:noWrap/>
            <w:vAlign w:val="center"/>
            <w:hideMark/>
          </w:tcPr>
          <w:p w:rsidR="00F77C5F" w:rsidRPr="00F77C5F" w:rsidRDefault="00F77C5F" w:rsidP="00F77C5F">
            <w:pPr>
              <w:rPr>
                <w:b/>
                <w:bCs/>
              </w:rPr>
            </w:pPr>
            <w:r w:rsidRPr="00F77C5F">
              <w:rPr>
                <w:b/>
                <w:bCs/>
              </w:rPr>
              <w:t>Yes</w:t>
            </w:r>
          </w:p>
        </w:tc>
        <w:tc>
          <w:tcPr>
            <w:tcW w:w="1780" w:type="dxa"/>
            <w:noWrap/>
            <w:vAlign w:val="center"/>
            <w:hideMark/>
          </w:tcPr>
          <w:p w:rsidR="00F77C5F" w:rsidRPr="00F77C5F" w:rsidRDefault="00F77C5F" w:rsidP="00F77C5F">
            <w:r w:rsidRPr="00F77C5F">
              <w:t> </w:t>
            </w:r>
          </w:p>
        </w:tc>
        <w:tc>
          <w:tcPr>
            <w:tcW w:w="1980" w:type="dxa"/>
            <w:noWrap/>
            <w:vAlign w:val="center"/>
            <w:hideMark/>
          </w:tcPr>
          <w:p w:rsidR="00F77C5F" w:rsidRPr="00F77C5F" w:rsidRDefault="00F77C5F" w:rsidP="00F77C5F">
            <w:r w:rsidRPr="00F77C5F">
              <w:t>1</w:t>
            </w:r>
          </w:p>
        </w:tc>
        <w:tc>
          <w:tcPr>
            <w:tcW w:w="960" w:type="dxa"/>
            <w:noWrap/>
            <w:vAlign w:val="center"/>
            <w:hideMark/>
          </w:tcPr>
          <w:p w:rsidR="00F77C5F" w:rsidRPr="00F77C5F" w:rsidRDefault="00F77C5F" w:rsidP="00F77C5F">
            <w:r w:rsidRPr="00F77C5F">
              <w:t>295</w:t>
            </w:r>
          </w:p>
        </w:tc>
      </w:tr>
      <w:tr w:rsidR="00F77C5F" w:rsidRPr="00F77C5F" w:rsidTr="00F77C5F">
        <w:trPr>
          <w:trHeight w:val="300"/>
        </w:trPr>
        <w:tc>
          <w:tcPr>
            <w:tcW w:w="2580" w:type="dxa"/>
            <w:noWrap/>
            <w:vAlign w:val="center"/>
            <w:hideMark/>
          </w:tcPr>
          <w:p w:rsidR="00F77C5F" w:rsidRPr="00F77C5F" w:rsidRDefault="00F77C5F" w:rsidP="00F77C5F">
            <w:pPr>
              <w:rPr>
                <w:b/>
                <w:bCs/>
              </w:rPr>
            </w:pPr>
            <w:r w:rsidRPr="00F77C5F">
              <w:rPr>
                <w:b/>
                <w:bCs/>
              </w:rPr>
              <w:t>Grand Total</w:t>
            </w:r>
          </w:p>
        </w:tc>
        <w:tc>
          <w:tcPr>
            <w:tcW w:w="1780" w:type="dxa"/>
            <w:noWrap/>
            <w:vAlign w:val="center"/>
            <w:hideMark/>
          </w:tcPr>
          <w:p w:rsidR="00F77C5F" w:rsidRPr="00F77C5F" w:rsidRDefault="00F77C5F" w:rsidP="00F77C5F">
            <w:r w:rsidRPr="00F77C5F">
              <w:t>7</w:t>
            </w:r>
          </w:p>
        </w:tc>
        <w:tc>
          <w:tcPr>
            <w:tcW w:w="1980" w:type="dxa"/>
            <w:noWrap/>
            <w:vAlign w:val="center"/>
            <w:hideMark/>
          </w:tcPr>
          <w:p w:rsidR="00F77C5F" w:rsidRPr="00F77C5F" w:rsidRDefault="00F77C5F" w:rsidP="00F77C5F">
            <w:r w:rsidRPr="00F77C5F">
              <w:t>15</w:t>
            </w:r>
          </w:p>
        </w:tc>
        <w:tc>
          <w:tcPr>
            <w:tcW w:w="960" w:type="dxa"/>
            <w:noWrap/>
            <w:vAlign w:val="center"/>
            <w:hideMark/>
          </w:tcPr>
          <w:p w:rsidR="00F77C5F" w:rsidRPr="00F77C5F" w:rsidRDefault="00F77C5F" w:rsidP="00F77C5F">
            <w:r w:rsidRPr="00F77C5F">
              <w:t>8602</w:t>
            </w:r>
          </w:p>
        </w:tc>
      </w:tr>
    </w:tbl>
    <w:p w:rsidR="00F77C5F" w:rsidRDefault="00F77C5F" w:rsidP="00CC157C">
      <w:pPr>
        <w:ind w:left="851"/>
      </w:pPr>
    </w:p>
    <w:tbl>
      <w:tblPr>
        <w:tblStyle w:val="TableGrid"/>
        <w:tblW w:w="7370" w:type="dxa"/>
        <w:tblInd w:w="607" w:type="dxa"/>
        <w:tblLook w:val="04A0" w:firstRow="1" w:lastRow="0" w:firstColumn="1" w:lastColumn="0" w:noHBand="0" w:noVBand="1"/>
      </w:tblPr>
      <w:tblGrid>
        <w:gridCol w:w="2580"/>
        <w:gridCol w:w="1780"/>
        <w:gridCol w:w="1980"/>
        <w:gridCol w:w="1030"/>
      </w:tblGrid>
      <w:tr w:rsidR="00F77C5F" w:rsidRPr="00F77C5F" w:rsidTr="00F77C5F">
        <w:trPr>
          <w:trHeight w:val="300"/>
        </w:trPr>
        <w:tc>
          <w:tcPr>
            <w:tcW w:w="2580" w:type="dxa"/>
            <w:noWrap/>
            <w:hideMark/>
          </w:tcPr>
          <w:p w:rsidR="00F77C5F" w:rsidRPr="00F77C5F" w:rsidRDefault="00F77C5F" w:rsidP="00F77C5F">
            <w:pPr>
              <w:rPr>
                <w:b/>
                <w:bCs/>
              </w:rPr>
            </w:pPr>
            <w:r w:rsidRPr="00F77C5F">
              <w:rPr>
                <w:b/>
                <w:bCs/>
              </w:rPr>
              <w:t>% of Disabled Staff</w:t>
            </w:r>
          </w:p>
        </w:tc>
        <w:tc>
          <w:tcPr>
            <w:tcW w:w="1780" w:type="dxa"/>
            <w:noWrap/>
            <w:hideMark/>
          </w:tcPr>
          <w:p w:rsidR="00F77C5F" w:rsidRPr="00F77C5F" w:rsidRDefault="00F77C5F" w:rsidP="00F77C5F">
            <w:pPr>
              <w:ind w:left="-1"/>
              <w:rPr>
                <w:b/>
                <w:bCs/>
              </w:rPr>
            </w:pPr>
            <w:r w:rsidRPr="00F77C5F">
              <w:rPr>
                <w:b/>
                <w:bCs/>
              </w:rPr>
              <w:t>Exec Membership</w:t>
            </w:r>
          </w:p>
        </w:tc>
        <w:tc>
          <w:tcPr>
            <w:tcW w:w="1980" w:type="dxa"/>
            <w:noWrap/>
            <w:hideMark/>
          </w:tcPr>
          <w:p w:rsidR="00F77C5F" w:rsidRPr="00F77C5F" w:rsidRDefault="00F77C5F" w:rsidP="00F77C5F">
            <w:pPr>
              <w:ind w:left="67"/>
              <w:rPr>
                <w:b/>
                <w:bCs/>
              </w:rPr>
            </w:pPr>
            <w:r w:rsidRPr="00F77C5F">
              <w:rPr>
                <w:b/>
                <w:bCs/>
              </w:rPr>
              <w:t>Voting Membership</w:t>
            </w:r>
          </w:p>
        </w:tc>
        <w:tc>
          <w:tcPr>
            <w:tcW w:w="1030" w:type="dxa"/>
            <w:noWrap/>
            <w:hideMark/>
          </w:tcPr>
          <w:p w:rsidR="00F77C5F" w:rsidRPr="00F77C5F" w:rsidRDefault="00F77C5F" w:rsidP="00F77C5F">
            <w:pPr>
              <w:rPr>
                <w:b/>
                <w:bCs/>
              </w:rPr>
            </w:pPr>
            <w:r w:rsidRPr="00F77C5F">
              <w:rPr>
                <w:b/>
                <w:bCs/>
              </w:rPr>
              <w:t>Trust</w:t>
            </w:r>
          </w:p>
        </w:tc>
      </w:tr>
      <w:tr w:rsidR="00F77C5F" w:rsidRPr="00F77C5F" w:rsidTr="00F77C5F">
        <w:trPr>
          <w:trHeight w:val="300"/>
        </w:trPr>
        <w:tc>
          <w:tcPr>
            <w:tcW w:w="2580" w:type="dxa"/>
            <w:noWrap/>
            <w:hideMark/>
          </w:tcPr>
          <w:p w:rsidR="00F77C5F" w:rsidRPr="00F77C5F" w:rsidRDefault="00F77C5F" w:rsidP="00F77C5F">
            <w:pPr>
              <w:rPr>
                <w:b/>
                <w:bCs/>
              </w:rPr>
            </w:pPr>
            <w:r w:rsidRPr="00F77C5F">
              <w:rPr>
                <w:b/>
                <w:bCs/>
              </w:rPr>
              <w:t>No</w:t>
            </w:r>
          </w:p>
        </w:tc>
        <w:tc>
          <w:tcPr>
            <w:tcW w:w="1780" w:type="dxa"/>
            <w:noWrap/>
            <w:hideMark/>
          </w:tcPr>
          <w:p w:rsidR="00F77C5F" w:rsidRPr="00F77C5F" w:rsidRDefault="00F77C5F" w:rsidP="00F77C5F">
            <w:pPr>
              <w:ind w:left="-1"/>
            </w:pPr>
            <w:r w:rsidRPr="00F77C5F">
              <w:t>57.14%</w:t>
            </w:r>
          </w:p>
        </w:tc>
        <w:tc>
          <w:tcPr>
            <w:tcW w:w="1980" w:type="dxa"/>
            <w:noWrap/>
            <w:hideMark/>
          </w:tcPr>
          <w:p w:rsidR="00F77C5F" w:rsidRPr="00F77C5F" w:rsidRDefault="00F77C5F" w:rsidP="00F77C5F">
            <w:pPr>
              <w:ind w:left="67"/>
            </w:pPr>
            <w:r w:rsidRPr="00F77C5F">
              <w:t>53.33%</w:t>
            </w:r>
          </w:p>
        </w:tc>
        <w:tc>
          <w:tcPr>
            <w:tcW w:w="1030" w:type="dxa"/>
            <w:noWrap/>
            <w:hideMark/>
          </w:tcPr>
          <w:p w:rsidR="00F77C5F" w:rsidRPr="00F77C5F" w:rsidRDefault="00F77C5F" w:rsidP="00F77C5F">
            <w:r w:rsidRPr="00F77C5F">
              <w:t>63.14%</w:t>
            </w:r>
          </w:p>
        </w:tc>
      </w:tr>
      <w:tr w:rsidR="00F77C5F" w:rsidRPr="00F77C5F" w:rsidTr="00F77C5F">
        <w:trPr>
          <w:trHeight w:val="300"/>
        </w:trPr>
        <w:tc>
          <w:tcPr>
            <w:tcW w:w="2580" w:type="dxa"/>
            <w:noWrap/>
            <w:hideMark/>
          </w:tcPr>
          <w:p w:rsidR="00F77C5F" w:rsidRPr="00F77C5F" w:rsidRDefault="00F77C5F" w:rsidP="00F77C5F">
            <w:pPr>
              <w:rPr>
                <w:b/>
                <w:bCs/>
              </w:rPr>
            </w:pPr>
            <w:r w:rsidRPr="00F77C5F">
              <w:rPr>
                <w:b/>
                <w:bCs/>
              </w:rPr>
              <w:t>Not Declared</w:t>
            </w:r>
          </w:p>
        </w:tc>
        <w:tc>
          <w:tcPr>
            <w:tcW w:w="1780" w:type="dxa"/>
            <w:noWrap/>
            <w:hideMark/>
          </w:tcPr>
          <w:p w:rsidR="00F77C5F" w:rsidRPr="00F77C5F" w:rsidRDefault="00F77C5F" w:rsidP="00F77C5F">
            <w:pPr>
              <w:ind w:left="-1"/>
            </w:pPr>
            <w:r w:rsidRPr="00F77C5F">
              <w:t>42.86%</w:t>
            </w:r>
          </w:p>
        </w:tc>
        <w:tc>
          <w:tcPr>
            <w:tcW w:w="1980" w:type="dxa"/>
            <w:noWrap/>
            <w:hideMark/>
          </w:tcPr>
          <w:p w:rsidR="00F77C5F" w:rsidRPr="00F77C5F" w:rsidRDefault="00F77C5F" w:rsidP="00F77C5F">
            <w:pPr>
              <w:ind w:left="67"/>
            </w:pPr>
            <w:r w:rsidRPr="00F77C5F">
              <w:t>40.00%</w:t>
            </w:r>
          </w:p>
        </w:tc>
        <w:tc>
          <w:tcPr>
            <w:tcW w:w="1030" w:type="dxa"/>
            <w:noWrap/>
            <w:hideMark/>
          </w:tcPr>
          <w:p w:rsidR="00F77C5F" w:rsidRPr="00F77C5F" w:rsidRDefault="00F77C5F" w:rsidP="00F77C5F">
            <w:r w:rsidRPr="00F77C5F">
              <w:t>33.43%</w:t>
            </w:r>
          </w:p>
        </w:tc>
      </w:tr>
      <w:tr w:rsidR="00F77C5F" w:rsidRPr="00F77C5F" w:rsidTr="00F77C5F">
        <w:trPr>
          <w:trHeight w:val="300"/>
        </w:trPr>
        <w:tc>
          <w:tcPr>
            <w:tcW w:w="2580" w:type="dxa"/>
            <w:noWrap/>
            <w:hideMark/>
          </w:tcPr>
          <w:p w:rsidR="00F77C5F" w:rsidRPr="00F77C5F" w:rsidRDefault="00F77C5F" w:rsidP="00F77C5F">
            <w:pPr>
              <w:rPr>
                <w:b/>
                <w:bCs/>
              </w:rPr>
            </w:pPr>
            <w:r w:rsidRPr="00F77C5F">
              <w:rPr>
                <w:b/>
                <w:bCs/>
              </w:rPr>
              <w:t>Yes</w:t>
            </w:r>
          </w:p>
        </w:tc>
        <w:tc>
          <w:tcPr>
            <w:tcW w:w="1780" w:type="dxa"/>
            <w:noWrap/>
            <w:hideMark/>
          </w:tcPr>
          <w:p w:rsidR="00F77C5F" w:rsidRPr="00F77C5F" w:rsidRDefault="00F77C5F" w:rsidP="00F77C5F">
            <w:pPr>
              <w:ind w:left="-1"/>
            </w:pPr>
            <w:r w:rsidRPr="00F77C5F">
              <w:t>0.00%</w:t>
            </w:r>
          </w:p>
        </w:tc>
        <w:tc>
          <w:tcPr>
            <w:tcW w:w="1980" w:type="dxa"/>
            <w:noWrap/>
            <w:hideMark/>
          </w:tcPr>
          <w:p w:rsidR="00F77C5F" w:rsidRPr="00F77C5F" w:rsidRDefault="00F77C5F" w:rsidP="00F77C5F">
            <w:pPr>
              <w:ind w:left="67"/>
            </w:pPr>
            <w:r w:rsidRPr="00F77C5F">
              <w:t>6.67%</w:t>
            </w:r>
          </w:p>
        </w:tc>
        <w:tc>
          <w:tcPr>
            <w:tcW w:w="1030" w:type="dxa"/>
            <w:noWrap/>
            <w:hideMark/>
          </w:tcPr>
          <w:p w:rsidR="00F77C5F" w:rsidRPr="00F77C5F" w:rsidRDefault="00F77C5F" w:rsidP="00F77C5F">
            <w:r w:rsidRPr="00F77C5F">
              <w:t>3.43%</w:t>
            </w:r>
          </w:p>
        </w:tc>
      </w:tr>
    </w:tbl>
    <w:p w:rsidR="00F77C5F" w:rsidRDefault="00F77C5F" w:rsidP="00CC157C">
      <w:pPr>
        <w:ind w:left="851"/>
      </w:pPr>
    </w:p>
    <w:tbl>
      <w:tblPr>
        <w:tblStyle w:val="TableGrid"/>
        <w:tblW w:w="7300" w:type="dxa"/>
        <w:tblInd w:w="607" w:type="dxa"/>
        <w:tblLook w:val="04A0" w:firstRow="1" w:lastRow="0" w:firstColumn="1" w:lastColumn="0" w:noHBand="0" w:noVBand="1"/>
      </w:tblPr>
      <w:tblGrid>
        <w:gridCol w:w="2970"/>
        <w:gridCol w:w="2050"/>
        <w:gridCol w:w="2280"/>
      </w:tblGrid>
      <w:tr w:rsidR="00F77C5F" w:rsidRPr="00F77C5F" w:rsidTr="00F77C5F">
        <w:trPr>
          <w:trHeight w:val="300"/>
        </w:trPr>
        <w:tc>
          <w:tcPr>
            <w:tcW w:w="2970" w:type="dxa"/>
            <w:noWrap/>
            <w:hideMark/>
          </w:tcPr>
          <w:p w:rsidR="00F77C5F" w:rsidRPr="00F77C5F" w:rsidRDefault="00F77C5F" w:rsidP="00F77C5F">
            <w:pPr>
              <w:ind w:left="25"/>
              <w:rPr>
                <w:b/>
                <w:bCs/>
              </w:rPr>
            </w:pPr>
            <w:r w:rsidRPr="00F77C5F">
              <w:rPr>
                <w:b/>
                <w:bCs/>
              </w:rPr>
              <w:t>% difference</w:t>
            </w:r>
          </w:p>
        </w:tc>
        <w:tc>
          <w:tcPr>
            <w:tcW w:w="2050" w:type="dxa"/>
            <w:noWrap/>
            <w:hideMark/>
          </w:tcPr>
          <w:p w:rsidR="00F77C5F" w:rsidRPr="00F77C5F" w:rsidRDefault="00F77C5F" w:rsidP="00F77C5F">
            <w:pPr>
              <w:rPr>
                <w:b/>
                <w:bCs/>
              </w:rPr>
            </w:pPr>
            <w:r w:rsidRPr="00F77C5F">
              <w:rPr>
                <w:b/>
                <w:bCs/>
              </w:rPr>
              <w:t>Exec Membership</w:t>
            </w:r>
          </w:p>
        </w:tc>
        <w:tc>
          <w:tcPr>
            <w:tcW w:w="2280" w:type="dxa"/>
            <w:noWrap/>
            <w:hideMark/>
          </w:tcPr>
          <w:p w:rsidR="00F77C5F" w:rsidRPr="00F77C5F" w:rsidRDefault="00F77C5F" w:rsidP="00F77C5F">
            <w:pPr>
              <w:ind w:left="49"/>
              <w:rPr>
                <w:b/>
                <w:bCs/>
              </w:rPr>
            </w:pPr>
            <w:r w:rsidRPr="00F77C5F">
              <w:rPr>
                <w:b/>
                <w:bCs/>
              </w:rPr>
              <w:t>Voting Membership</w:t>
            </w:r>
          </w:p>
        </w:tc>
      </w:tr>
      <w:tr w:rsidR="00F77C5F" w:rsidRPr="00F77C5F" w:rsidTr="00F77C5F">
        <w:trPr>
          <w:trHeight w:val="300"/>
        </w:trPr>
        <w:tc>
          <w:tcPr>
            <w:tcW w:w="2970" w:type="dxa"/>
            <w:noWrap/>
            <w:hideMark/>
          </w:tcPr>
          <w:p w:rsidR="00F77C5F" w:rsidRPr="00F77C5F" w:rsidRDefault="00F77C5F" w:rsidP="00F77C5F">
            <w:pPr>
              <w:ind w:left="25"/>
              <w:rPr>
                <w:b/>
                <w:bCs/>
              </w:rPr>
            </w:pPr>
            <w:r w:rsidRPr="00F77C5F">
              <w:rPr>
                <w:b/>
                <w:bCs/>
              </w:rPr>
              <w:t>No</w:t>
            </w:r>
          </w:p>
        </w:tc>
        <w:tc>
          <w:tcPr>
            <w:tcW w:w="2050" w:type="dxa"/>
            <w:noWrap/>
            <w:hideMark/>
          </w:tcPr>
          <w:p w:rsidR="00F77C5F" w:rsidRPr="00F77C5F" w:rsidRDefault="00F77C5F" w:rsidP="00F77C5F">
            <w:r w:rsidRPr="00F77C5F">
              <w:t>-5.99%</w:t>
            </w:r>
          </w:p>
        </w:tc>
        <w:tc>
          <w:tcPr>
            <w:tcW w:w="2280" w:type="dxa"/>
            <w:noWrap/>
            <w:hideMark/>
          </w:tcPr>
          <w:p w:rsidR="00F77C5F" w:rsidRPr="00F77C5F" w:rsidRDefault="00F77C5F" w:rsidP="00F77C5F">
            <w:pPr>
              <w:ind w:left="49"/>
            </w:pPr>
            <w:r w:rsidRPr="00F77C5F">
              <w:t>-9.80%</w:t>
            </w:r>
          </w:p>
        </w:tc>
      </w:tr>
      <w:tr w:rsidR="00F77C5F" w:rsidRPr="00F77C5F" w:rsidTr="00F77C5F">
        <w:trPr>
          <w:trHeight w:val="300"/>
        </w:trPr>
        <w:tc>
          <w:tcPr>
            <w:tcW w:w="2970" w:type="dxa"/>
            <w:noWrap/>
            <w:hideMark/>
          </w:tcPr>
          <w:p w:rsidR="00F77C5F" w:rsidRPr="00F77C5F" w:rsidRDefault="00F77C5F" w:rsidP="00F77C5F">
            <w:pPr>
              <w:ind w:left="25"/>
              <w:rPr>
                <w:b/>
                <w:bCs/>
              </w:rPr>
            </w:pPr>
            <w:r w:rsidRPr="00F77C5F">
              <w:rPr>
                <w:b/>
                <w:bCs/>
              </w:rPr>
              <w:t>Not Declared</w:t>
            </w:r>
          </w:p>
        </w:tc>
        <w:tc>
          <w:tcPr>
            <w:tcW w:w="2050" w:type="dxa"/>
            <w:noWrap/>
            <w:hideMark/>
          </w:tcPr>
          <w:p w:rsidR="00F77C5F" w:rsidRPr="00F77C5F" w:rsidRDefault="00F77C5F" w:rsidP="00F77C5F">
            <w:r w:rsidRPr="00F77C5F">
              <w:t>9.42%</w:t>
            </w:r>
          </w:p>
        </w:tc>
        <w:tc>
          <w:tcPr>
            <w:tcW w:w="2280" w:type="dxa"/>
            <w:noWrap/>
            <w:hideMark/>
          </w:tcPr>
          <w:p w:rsidR="00F77C5F" w:rsidRPr="00F77C5F" w:rsidRDefault="00F77C5F" w:rsidP="00F77C5F">
            <w:pPr>
              <w:ind w:left="49"/>
            </w:pPr>
            <w:r w:rsidRPr="00F77C5F">
              <w:t>6.57%</w:t>
            </w:r>
          </w:p>
        </w:tc>
      </w:tr>
      <w:tr w:rsidR="00F77C5F" w:rsidRPr="00F77C5F" w:rsidTr="00F77C5F">
        <w:trPr>
          <w:trHeight w:val="300"/>
        </w:trPr>
        <w:tc>
          <w:tcPr>
            <w:tcW w:w="2970" w:type="dxa"/>
            <w:noWrap/>
            <w:hideMark/>
          </w:tcPr>
          <w:p w:rsidR="00F77C5F" w:rsidRPr="00F77C5F" w:rsidRDefault="00F77C5F" w:rsidP="00F77C5F">
            <w:pPr>
              <w:ind w:left="25"/>
              <w:rPr>
                <w:b/>
                <w:bCs/>
              </w:rPr>
            </w:pPr>
            <w:r w:rsidRPr="00F77C5F">
              <w:rPr>
                <w:b/>
                <w:bCs/>
              </w:rPr>
              <w:t>Yes</w:t>
            </w:r>
          </w:p>
        </w:tc>
        <w:tc>
          <w:tcPr>
            <w:tcW w:w="2050" w:type="dxa"/>
            <w:noWrap/>
            <w:hideMark/>
          </w:tcPr>
          <w:p w:rsidR="00F77C5F" w:rsidRPr="00F77C5F" w:rsidRDefault="00F77C5F" w:rsidP="00F77C5F">
            <w:r w:rsidRPr="00F77C5F">
              <w:t>-3.43%</w:t>
            </w:r>
          </w:p>
        </w:tc>
        <w:tc>
          <w:tcPr>
            <w:tcW w:w="2280" w:type="dxa"/>
            <w:noWrap/>
            <w:hideMark/>
          </w:tcPr>
          <w:p w:rsidR="00F77C5F" w:rsidRPr="00F77C5F" w:rsidRDefault="00F77C5F" w:rsidP="00F77C5F">
            <w:pPr>
              <w:ind w:left="49"/>
            </w:pPr>
            <w:r w:rsidRPr="00F77C5F">
              <w:t>3.24%</w:t>
            </w:r>
          </w:p>
        </w:tc>
      </w:tr>
    </w:tbl>
    <w:p w:rsidR="00F77C5F" w:rsidRDefault="00F77C5F" w:rsidP="00CC157C">
      <w:pPr>
        <w:ind w:left="851"/>
      </w:pPr>
    </w:p>
    <w:p w:rsidR="00CC157C" w:rsidRDefault="00CC157C" w:rsidP="00CC157C">
      <w:pPr>
        <w:ind w:left="851"/>
      </w:pPr>
      <w:r>
        <w:t>Note:</w:t>
      </w:r>
    </w:p>
    <w:p w:rsidR="00CC157C" w:rsidRDefault="00CC157C" w:rsidP="00CC157C">
      <w:pPr>
        <w:ind w:left="851"/>
      </w:pPr>
      <w:r>
        <w:t>Foundation Trusts may also want to consider the disability</w:t>
      </w:r>
    </w:p>
    <w:p w:rsidR="00CC157C" w:rsidRDefault="00CC157C" w:rsidP="00CC157C">
      <w:pPr>
        <w:ind w:left="851"/>
      </w:pPr>
      <w:r>
        <w:t>status of Trust governors, and whether they are broadly</w:t>
      </w:r>
    </w:p>
    <w:p w:rsidR="00340B45" w:rsidRDefault="00CC157C" w:rsidP="00CC157C">
      <w:pPr>
        <w:ind w:left="851"/>
      </w:pPr>
      <w:r>
        <w:t>representative of the local population.</w:t>
      </w:r>
    </w:p>
    <w:p w:rsidR="00340B45" w:rsidRDefault="00340B45">
      <w:pPr>
        <w:spacing w:after="200" w:line="276" w:lineRule="auto"/>
      </w:pPr>
      <w:r>
        <w:br w:type="page"/>
      </w:r>
    </w:p>
    <w:p w:rsidR="00E74B5E" w:rsidRDefault="00E74B5E" w:rsidP="008773B9">
      <w:pPr>
        <w:pStyle w:val="Heading1"/>
      </w:pPr>
      <w:bookmarkStart w:id="52" w:name="_Toc47416515"/>
      <w:bookmarkStart w:id="53" w:name="_GoBack"/>
      <w:bookmarkEnd w:id="53"/>
      <w:r w:rsidRPr="00E74B5E">
        <w:lastRenderedPageBreak/>
        <w:t>Recommended Actions</w:t>
      </w:r>
      <w:bookmarkEnd w:id="52"/>
    </w:p>
    <w:p w:rsidR="00E74B5E" w:rsidRPr="00E74B5E" w:rsidRDefault="00E74B5E" w:rsidP="00DF7C89">
      <w:pPr>
        <w:pStyle w:val="Style1"/>
      </w:pPr>
      <w:r>
        <w:t xml:space="preserve">The following actions are designed to address the most significant </w:t>
      </w:r>
      <w:r w:rsidR="00814D43">
        <w:t>issues from</w:t>
      </w:r>
      <w:r>
        <w:t xml:space="preserve"> the WDES metrics and to compliment </w:t>
      </w:r>
      <w:r w:rsidR="00814D43">
        <w:t>the recommended Actions from the Workforce Race Equality Standard (WRES).</w:t>
      </w:r>
    </w:p>
    <w:p w:rsidR="00B1326C" w:rsidRDefault="00B1326C" w:rsidP="00CE6667">
      <w:pPr>
        <w:rPr>
          <w:rFonts w:eastAsiaTheme="majorEastAsia"/>
          <w:bCs/>
        </w:rPr>
      </w:pPr>
    </w:p>
    <w:p w:rsidR="006E50B8" w:rsidRDefault="002A2855" w:rsidP="00D321BB">
      <w:pPr>
        <w:widowControl w:val="0"/>
        <w:rPr>
          <w:rFonts w:eastAsiaTheme="majorEastAsia"/>
          <w:bCs/>
        </w:rPr>
      </w:pPr>
      <w:r w:rsidRPr="002A2855">
        <w:rPr>
          <w:noProof/>
        </w:rPr>
        <w:drawing>
          <wp:inline distT="0" distB="0" distL="0" distR="0">
            <wp:extent cx="6120130" cy="3509599"/>
            <wp:effectExtent l="0" t="0" r="0" b="0"/>
            <wp:docPr id="2" name="Picture 2" descr="Actions include: continuous training for managers, new campaign highlighting trust policy to protect staff experiencing bulling and harassment, work with KPMG, publicity campaign to increase awareness of protected characteristics, research inclusive disability leave policy and review disability confident process and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3509599"/>
                    </a:xfrm>
                    <a:prstGeom prst="rect">
                      <a:avLst/>
                    </a:prstGeom>
                    <a:noFill/>
                    <a:ln>
                      <a:noFill/>
                    </a:ln>
                  </pic:spPr>
                </pic:pic>
              </a:graphicData>
            </a:graphic>
          </wp:inline>
        </w:drawing>
      </w:r>
    </w:p>
    <w:p w:rsidR="007245B5" w:rsidRDefault="007245B5" w:rsidP="00D321BB">
      <w:pPr>
        <w:widowControl w:val="0"/>
        <w:spacing w:after="200" w:line="276" w:lineRule="auto"/>
      </w:pPr>
    </w:p>
    <w:p w:rsidR="00AF259B" w:rsidRDefault="00AF259B" w:rsidP="00D321BB">
      <w:pPr>
        <w:widowControl w:val="0"/>
        <w:spacing w:after="200" w:line="276" w:lineRule="auto"/>
      </w:pPr>
      <w:r>
        <w:rPr>
          <w:noProof/>
        </w:rPr>
        <w:drawing>
          <wp:inline distT="0" distB="0" distL="0" distR="0" wp14:anchorId="2817E0EE">
            <wp:extent cx="3651885" cy="1615440"/>
            <wp:effectExtent l="0" t="0" r="5715" b="3810"/>
            <wp:docPr id="3" name="Picture 3" descr="Colour key for action work stream. The RAG shows training for managers is underway, the KPMG work is also underway. All other actions have not st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1885" cy="1615440"/>
                    </a:xfrm>
                    <a:prstGeom prst="rect">
                      <a:avLst/>
                    </a:prstGeom>
                    <a:noFill/>
                  </pic:spPr>
                </pic:pic>
              </a:graphicData>
            </a:graphic>
          </wp:inline>
        </w:drawing>
      </w:r>
    </w:p>
    <w:p w:rsidR="00CE6667" w:rsidRDefault="00F26B3F" w:rsidP="008773B9">
      <w:pPr>
        <w:pStyle w:val="Heading1"/>
      </w:pPr>
      <w:bookmarkStart w:id="54" w:name="_Toc47416516"/>
      <w:bookmarkStart w:id="55" w:name="_Hlk50026649"/>
      <w:r>
        <w:lastRenderedPageBreak/>
        <w:t>Next Steps</w:t>
      </w:r>
      <w:bookmarkEnd w:id="54"/>
    </w:p>
    <w:p w:rsidR="00814D43" w:rsidRPr="004F6C51" w:rsidRDefault="007245B5" w:rsidP="008773B9">
      <w:pPr>
        <w:pStyle w:val="Heading2"/>
        <w:rPr>
          <w:b/>
        </w:rPr>
      </w:pPr>
      <w:r w:rsidRPr="004F6C51">
        <w:t>EKHUFT is expected to publish data for each of the metrics and use this information to develop a local action plan to improve the experience of disabled staff. Year-to-year comparisons will demonstrate progress and challenges</w:t>
      </w:r>
      <w:r w:rsidR="00814D43" w:rsidRPr="004F6C51">
        <w:t>.</w:t>
      </w:r>
    </w:p>
    <w:p w:rsidR="007A311A" w:rsidRPr="004F6C51" w:rsidRDefault="007A311A" w:rsidP="008773B9">
      <w:pPr>
        <w:pStyle w:val="Heading2"/>
        <w:rPr>
          <w:b/>
        </w:rPr>
      </w:pPr>
      <w:r w:rsidRPr="004F6C51">
        <w:t>NHS England has sent the Head of EDI a pre-populated WDES spreadsheet based on data from the NHS Staff Survey and ESR for the period 1 April 201</w:t>
      </w:r>
      <w:r w:rsidR="004F6C51">
        <w:t>9</w:t>
      </w:r>
      <w:r w:rsidRPr="004F6C51">
        <w:t xml:space="preserve"> – 31 March 20</w:t>
      </w:r>
      <w:r w:rsidR="004F6C51">
        <w:t>20</w:t>
      </w:r>
      <w:r w:rsidRPr="004F6C51">
        <w:t xml:space="preserve"> (similar to the Workforce Race Equality Standard (WRES) process).</w:t>
      </w:r>
    </w:p>
    <w:p w:rsidR="007A311A" w:rsidRPr="004F6C51" w:rsidRDefault="007A311A" w:rsidP="008773B9">
      <w:pPr>
        <w:pStyle w:val="Heading2"/>
        <w:rPr>
          <w:b/>
        </w:rPr>
      </w:pPr>
      <w:r w:rsidRPr="004F6C51">
        <w:t xml:space="preserve">The checked and completed spreadsheet </w:t>
      </w:r>
      <w:r w:rsidR="005D13BD">
        <w:t>was</w:t>
      </w:r>
      <w:r w:rsidRPr="004F6C51">
        <w:t xml:space="preserve"> submitted via the Strategic Data Collection Service (SDCS)</w:t>
      </w:r>
      <w:r w:rsidR="00E42D5B" w:rsidRPr="004F6C51">
        <w:t xml:space="preserve"> </w:t>
      </w:r>
      <w:r w:rsidR="005D13BD">
        <w:t>before</w:t>
      </w:r>
      <w:r w:rsidR="00E42D5B" w:rsidRPr="004F6C51">
        <w:t xml:space="preserve"> </w:t>
      </w:r>
      <w:r w:rsidR="004F6C51">
        <w:t>3</w:t>
      </w:r>
      <w:r w:rsidR="00E42D5B" w:rsidRPr="004F6C51">
        <w:t>1 August 20</w:t>
      </w:r>
      <w:r w:rsidR="004F6C51">
        <w:t>20</w:t>
      </w:r>
      <w:r w:rsidRPr="004F6C51">
        <w:t>.</w:t>
      </w:r>
    </w:p>
    <w:p w:rsidR="007A311A" w:rsidRPr="004F6C51" w:rsidRDefault="007A311A" w:rsidP="008773B9">
      <w:pPr>
        <w:pStyle w:val="Heading2"/>
        <w:rPr>
          <w:b/>
        </w:rPr>
      </w:pPr>
      <w:r w:rsidRPr="004F6C51">
        <w:t xml:space="preserve">The Head of EDI </w:t>
      </w:r>
      <w:r w:rsidR="005D13BD">
        <w:t>has</w:t>
      </w:r>
      <w:r w:rsidRPr="004F6C51">
        <w:t xml:space="preserve"> complete</w:t>
      </w:r>
      <w:r w:rsidR="005D13BD">
        <w:t>d</w:t>
      </w:r>
      <w:r w:rsidRPr="004F6C51">
        <w:t xml:space="preserve"> and </w:t>
      </w:r>
      <w:r w:rsidR="00EC2D0E" w:rsidRPr="004F6C51">
        <w:t>submit</w:t>
      </w:r>
      <w:r w:rsidR="00EC2D0E">
        <w:t>ted</w:t>
      </w:r>
      <w:r w:rsidRPr="004F6C51">
        <w:t xml:space="preserve"> a WDES online reporting form, which asks key questions about the percentage of Disabled staff, the size of the workforce and who has approved the data and the Metrics</w:t>
      </w:r>
      <w:r w:rsidR="00E42D5B" w:rsidRPr="004F6C51">
        <w:t xml:space="preserve"> by </w:t>
      </w:r>
      <w:r w:rsidR="004F6C51">
        <w:t>3</w:t>
      </w:r>
      <w:r w:rsidR="00E42D5B" w:rsidRPr="004F6C51">
        <w:t xml:space="preserve">1 August </w:t>
      </w:r>
      <w:proofErr w:type="gramStart"/>
      <w:r w:rsidR="00E42D5B" w:rsidRPr="004F6C51">
        <w:t>20</w:t>
      </w:r>
      <w:r w:rsidR="004F6C51">
        <w:t>20</w:t>
      </w:r>
      <w:r w:rsidR="00E42D5B" w:rsidRPr="004F6C51">
        <w:t xml:space="preserve"> </w:t>
      </w:r>
      <w:r w:rsidRPr="004F6C51">
        <w:t>.</w:t>
      </w:r>
      <w:proofErr w:type="gramEnd"/>
      <w:r w:rsidRPr="004F6C51">
        <w:t xml:space="preserve"> </w:t>
      </w:r>
    </w:p>
    <w:p w:rsidR="007A311A" w:rsidRPr="004F6C51" w:rsidRDefault="007A311A" w:rsidP="008773B9">
      <w:pPr>
        <w:pStyle w:val="Heading2"/>
        <w:rPr>
          <w:b/>
        </w:rPr>
      </w:pPr>
      <w:r w:rsidRPr="004F6C51">
        <w:t xml:space="preserve">By </w:t>
      </w:r>
      <w:r w:rsidR="00E42D5B" w:rsidRPr="004F6C51">
        <w:t>3</w:t>
      </w:r>
      <w:r w:rsidR="00F41FD4">
        <w:t>1</w:t>
      </w:r>
      <w:r w:rsidR="00E42D5B" w:rsidRPr="004F6C51">
        <w:t xml:space="preserve"> </w:t>
      </w:r>
      <w:r w:rsidR="00F41FD4">
        <w:t>October</w:t>
      </w:r>
      <w:r w:rsidR="00E42D5B" w:rsidRPr="004F6C51">
        <w:t xml:space="preserve"> 20</w:t>
      </w:r>
      <w:r w:rsidR="00F41FD4">
        <w:t>20</w:t>
      </w:r>
      <w:r w:rsidRPr="004F6C51">
        <w:t xml:space="preserve">, EKHUFT must publish the </w:t>
      </w:r>
      <w:r w:rsidR="005D13BD">
        <w:t xml:space="preserve">Board ratified </w:t>
      </w:r>
      <w:r w:rsidRPr="004F6C51">
        <w:t>WDES Metrics and action plan on our website.</w:t>
      </w:r>
    </w:p>
    <w:p w:rsidR="006642F8" w:rsidRDefault="007A311A" w:rsidP="008773B9">
      <w:pPr>
        <w:pStyle w:val="Heading2"/>
        <w:rPr>
          <w:b/>
        </w:rPr>
      </w:pPr>
      <w:r w:rsidRPr="004F6C51">
        <w:t xml:space="preserve">The raw data submitted to NHS England via SDCS will enable </w:t>
      </w:r>
      <w:r w:rsidR="00F26B3F" w:rsidRPr="004F6C51">
        <w:t>high-level</w:t>
      </w:r>
      <w:r w:rsidRPr="004F6C51">
        <w:t xml:space="preserve"> comparative analysis across all NHS Trusts and Foundation Trusts.</w:t>
      </w:r>
    </w:p>
    <w:bookmarkEnd w:id="55"/>
    <w:p w:rsidR="00D2446B" w:rsidRDefault="00D2446B" w:rsidP="008773B9">
      <w:pPr>
        <w:pStyle w:val="Heading1"/>
      </w:pPr>
      <w:r>
        <w:t>Conclusion</w:t>
      </w:r>
    </w:p>
    <w:p w:rsidR="00D2446B" w:rsidRPr="00EA2F34" w:rsidRDefault="00AF259B" w:rsidP="008773B9">
      <w:pPr>
        <w:pStyle w:val="Heading2"/>
        <w:rPr>
          <w:b/>
        </w:rPr>
      </w:pPr>
      <w:r w:rsidRPr="00EA2F34">
        <w:t>The main issues identified as a result of the data analysis are</w:t>
      </w:r>
      <w:r w:rsidR="00EA2F34" w:rsidRPr="00EA2F34">
        <w:t>:</w:t>
      </w:r>
    </w:p>
    <w:p w:rsidR="00EA2F34" w:rsidRDefault="00EA2F34" w:rsidP="00EA2F34">
      <w:pPr>
        <w:pStyle w:val="ListParagraph"/>
        <w:widowControl w:val="0"/>
        <w:numPr>
          <w:ilvl w:val="0"/>
          <w:numId w:val="15"/>
        </w:numPr>
      </w:pPr>
      <w:r>
        <w:t>Bullying Harassment and abuse</w:t>
      </w:r>
    </w:p>
    <w:p w:rsidR="00EA2F34" w:rsidRDefault="00EA2F34" w:rsidP="00EA2F34">
      <w:pPr>
        <w:pStyle w:val="ListParagraph"/>
        <w:widowControl w:val="0"/>
        <w:numPr>
          <w:ilvl w:val="0"/>
          <w:numId w:val="15"/>
        </w:numPr>
      </w:pPr>
      <w:r>
        <w:t>Ill health capability</w:t>
      </w:r>
    </w:p>
    <w:p w:rsidR="00EA2F34" w:rsidRDefault="00EA2F34" w:rsidP="00EA2F34">
      <w:pPr>
        <w:pStyle w:val="ListParagraph"/>
        <w:widowControl w:val="0"/>
        <w:numPr>
          <w:ilvl w:val="0"/>
          <w:numId w:val="15"/>
        </w:numPr>
      </w:pPr>
      <w:r>
        <w:t xml:space="preserve">Presenteeism </w:t>
      </w:r>
    </w:p>
    <w:p w:rsidR="00EA2F34" w:rsidRDefault="00EA2F34" w:rsidP="00EA2F34">
      <w:pPr>
        <w:pStyle w:val="ListParagraph"/>
        <w:widowControl w:val="0"/>
        <w:numPr>
          <w:ilvl w:val="0"/>
          <w:numId w:val="15"/>
        </w:numPr>
      </w:pPr>
      <w:r>
        <w:t>Feeling valued and</w:t>
      </w:r>
    </w:p>
    <w:p w:rsidR="00EA2F34" w:rsidRDefault="00EA2F34" w:rsidP="00EA2F34">
      <w:pPr>
        <w:pStyle w:val="ListParagraph"/>
        <w:widowControl w:val="0"/>
        <w:numPr>
          <w:ilvl w:val="0"/>
          <w:numId w:val="15"/>
        </w:numPr>
      </w:pPr>
      <w:r>
        <w:t>Self-declaration of protected characteristic status.</w:t>
      </w:r>
    </w:p>
    <w:p w:rsidR="00EA2F34" w:rsidRDefault="00EA2F34" w:rsidP="00EA2F34">
      <w:pPr>
        <w:widowControl w:val="0"/>
      </w:pPr>
      <w:r>
        <w:t>It is anticipated that the action plan for 2020/21 will address these issues.</w:t>
      </w:r>
    </w:p>
    <w:p w:rsidR="00EA2F34" w:rsidRPr="00D2446B" w:rsidRDefault="00EA2F34" w:rsidP="00D321BB">
      <w:pPr>
        <w:widowControl w:val="0"/>
      </w:pPr>
    </w:p>
    <w:sectPr w:rsidR="00EA2F34" w:rsidRPr="00D2446B" w:rsidSect="00026257">
      <w:headerReference w:type="default" r:id="rId22"/>
      <w:footerReference w:type="default" r:id="rId23"/>
      <w:pgSz w:w="11906" w:h="16838"/>
      <w:pgMar w:top="1134" w:right="1134" w:bottom="1134" w:left="1134" w:header="426"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4BE" w:rsidRDefault="005D74BE" w:rsidP="002B5F36">
      <w:r>
        <w:separator/>
      </w:r>
    </w:p>
    <w:p w:rsidR="005D74BE" w:rsidRDefault="005D74BE"/>
  </w:endnote>
  <w:endnote w:type="continuationSeparator" w:id="0">
    <w:p w:rsidR="005D74BE" w:rsidRDefault="005D74BE" w:rsidP="002B5F36">
      <w:r>
        <w:continuationSeparator/>
      </w:r>
    </w:p>
    <w:p w:rsidR="005D74BE" w:rsidRDefault="005D7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071769"/>
      <w:docPartObj>
        <w:docPartGallery w:val="Page Numbers (Bottom of Page)"/>
        <w:docPartUnique/>
      </w:docPartObj>
    </w:sdtPr>
    <w:sdtEndPr>
      <w:rPr>
        <w:noProof/>
      </w:rPr>
    </w:sdtEndPr>
    <w:sdtContent>
      <w:p w:rsidR="008773B9" w:rsidRDefault="008773B9" w:rsidP="004663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773B9" w:rsidRPr="001E4209" w:rsidRDefault="008773B9" w:rsidP="002B5F36">
    <w:pPr>
      <w:pStyle w:val="Footer"/>
    </w:pPr>
  </w:p>
  <w:p w:rsidR="008773B9" w:rsidRDefault="008773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4BE" w:rsidRDefault="005D74BE" w:rsidP="002B5F36">
      <w:r>
        <w:separator/>
      </w:r>
    </w:p>
    <w:p w:rsidR="005D74BE" w:rsidRDefault="005D74BE"/>
  </w:footnote>
  <w:footnote w:type="continuationSeparator" w:id="0">
    <w:p w:rsidR="005D74BE" w:rsidRDefault="005D74BE" w:rsidP="002B5F36">
      <w:r>
        <w:continuationSeparator/>
      </w:r>
    </w:p>
    <w:p w:rsidR="005D74BE" w:rsidRDefault="005D74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3B9" w:rsidRDefault="008773B9" w:rsidP="00340B45">
    <w:pPr>
      <w:pStyle w:val="Footer"/>
      <w:jc w:val="right"/>
    </w:pPr>
    <w:r>
      <w:rPr>
        <w:noProof/>
      </w:rPr>
      <w:drawing>
        <wp:inline distT="0" distB="0" distL="0" distR="0" wp14:anchorId="5ADAC400" wp14:editId="159E07EC">
          <wp:extent cx="3688898" cy="1263191"/>
          <wp:effectExtent l="0" t="0" r="6985" b="0"/>
          <wp:docPr id="4" name="Picture 4" descr="East Kent Hospitals University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293" r="7759" b="14074"/>
                  <a:stretch/>
                </pic:blipFill>
                <pic:spPr bwMode="auto">
                  <a:xfrm>
                    <a:off x="0" y="0"/>
                    <a:ext cx="3712045" cy="1271117"/>
                  </a:xfrm>
                  <a:prstGeom prst="rect">
                    <a:avLst/>
                  </a:prstGeom>
                  <a:noFill/>
                  <a:ln>
                    <a:noFill/>
                  </a:ln>
                  <a:extLst>
                    <a:ext uri="{53640926-AAD7-44D8-BBD7-CCE9431645EC}">
                      <a14:shadowObscured xmlns:a14="http://schemas.microsoft.com/office/drawing/2010/main"/>
                    </a:ext>
                  </a:extLst>
                </pic:spPr>
              </pic:pic>
            </a:graphicData>
          </a:graphic>
        </wp:inline>
      </w:drawing>
    </w:r>
  </w:p>
  <w:p w:rsidR="008773B9" w:rsidRDefault="008773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B95028"/>
    <w:multiLevelType w:val="hybridMultilevel"/>
    <w:tmpl w:val="48A8F73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07698"/>
    <w:multiLevelType w:val="hybridMultilevel"/>
    <w:tmpl w:val="F310668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2E53963"/>
    <w:multiLevelType w:val="multilevel"/>
    <w:tmpl w:val="5986E54E"/>
    <w:lvl w:ilvl="0">
      <w:start w:val="1"/>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6B45EE6"/>
    <w:multiLevelType w:val="hybridMultilevel"/>
    <w:tmpl w:val="6A5CE1F6"/>
    <w:lvl w:ilvl="0" w:tplc="581ED3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553EFB"/>
    <w:multiLevelType w:val="multilevel"/>
    <w:tmpl w:val="0322982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541FB7"/>
    <w:multiLevelType w:val="hybridMultilevel"/>
    <w:tmpl w:val="B31E3E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B7F584B"/>
    <w:multiLevelType w:val="hybridMultilevel"/>
    <w:tmpl w:val="61D0D39A"/>
    <w:lvl w:ilvl="0" w:tplc="3C863D7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590096"/>
    <w:multiLevelType w:val="multilevel"/>
    <w:tmpl w:val="5986E54E"/>
    <w:lvl w:ilvl="0">
      <w:start w:val="1"/>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519328D"/>
    <w:multiLevelType w:val="hybridMultilevel"/>
    <w:tmpl w:val="41A4BB94"/>
    <w:lvl w:ilvl="0" w:tplc="8B02560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B220956"/>
    <w:multiLevelType w:val="multilevel"/>
    <w:tmpl w:val="3BAE10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F3B4C9F"/>
    <w:multiLevelType w:val="hybridMultilevel"/>
    <w:tmpl w:val="4E1AB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FC4412"/>
    <w:multiLevelType w:val="hybridMultilevel"/>
    <w:tmpl w:val="64045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E5B2432"/>
    <w:multiLevelType w:val="hybridMultilevel"/>
    <w:tmpl w:val="6936B2EA"/>
    <w:lvl w:ilvl="0" w:tplc="F2EE1B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F613BC1"/>
    <w:multiLevelType w:val="hybridMultilevel"/>
    <w:tmpl w:val="4D08953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7C483B79"/>
    <w:multiLevelType w:val="multilevel"/>
    <w:tmpl w:val="5986E54E"/>
    <w:lvl w:ilvl="0">
      <w:start w:val="1"/>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10"/>
  </w:num>
  <w:num w:numId="3">
    <w:abstractNumId w:val="9"/>
  </w:num>
  <w:num w:numId="4">
    <w:abstractNumId w:val="7"/>
  </w:num>
  <w:num w:numId="5">
    <w:abstractNumId w:val="3"/>
  </w:num>
  <w:num w:numId="6">
    <w:abstractNumId w:val="4"/>
  </w:num>
  <w:num w:numId="7">
    <w:abstractNumId w:val="5"/>
  </w:num>
  <w:num w:numId="8">
    <w:abstractNumId w:val="14"/>
  </w:num>
  <w:num w:numId="9">
    <w:abstractNumId w:val="2"/>
  </w:num>
  <w:num w:numId="10">
    <w:abstractNumId w:val="1"/>
  </w:num>
  <w:num w:numId="11">
    <w:abstractNumId w:val="13"/>
  </w:num>
  <w:num w:numId="12">
    <w:abstractNumId w:val="8"/>
  </w:num>
  <w:num w:numId="13">
    <w:abstractNumId w:val="12"/>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16B79"/>
    <w:rsid w:val="00026257"/>
    <w:rsid w:val="000410AC"/>
    <w:rsid w:val="00044031"/>
    <w:rsid w:val="000563EC"/>
    <w:rsid w:val="00061F5F"/>
    <w:rsid w:val="0007037B"/>
    <w:rsid w:val="0009432A"/>
    <w:rsid w:val="000A4F35"/>
    <w:rsid w:val="000C13E8"/>
    <w:rsid w:val="000D4591"/>
    <w:rsid w:val="000E3AE4"/>
    <w:rsid w:val="000E5CAD"/>
    <w:rsid w:val="000F1B98"/>
    <w:rsid w:val="001245D3"/>
    <w:rsid w:val="00162EBB"/>
    <w:rsid w:val="00172011"/>
    <w:rsid w:val="00195B7B"/>
    <w:rsid w:val="001B149E"/>
    <w:rsid w:val="001D318C"/>
    <w:rsid w:val="001E4209"/>
    <w:rsid w:val="00205253"/>
    <w:rsid w:val="002317FC"/>
    <w:rsid w:val="00290FF6"/>
    <w:rsid w:val="0029311B"/>
    <w:rsid w:val="002A2855"/>
    <w:rsid w:val="002B18B2"/>
    <w:rsid w:val="002B2DFC"/>
    <w:rsid w:val="002B5F36"/>
    <w:rsid w:val="002D7E77"/>
    <w:rsid w:val="002E5A69"/>
    <w:rsid w:val="00323B07"/>
    <w:rsid w:val="00325090"/>
    <w:rsid w:val="0032737C"/>
    <w:rsid w:val="00330A52"/>
    <w:rsid w:val="003331BA"/>
    <w:rsid w:val="00340B45"/>
    <w:rsid w:val="0034323E"/>
    <w:rsid w:val="003548BB"/>
    <w:rsid w:val="003C0EC2"/>
    <w:rsid w:val="003C2829"/>
    <w:rsid w:val="00424C55"/>
    <w:rsid w:val="00433DE5"/>
    <w:rsid w:val="00440A1B"/>
    <w:rsid w:val="0044219F"/>
    <w:rsid w:val="004473D7"/>
    <w:rsid w:val="00466392"/>
    <w:rsid w:val="00475604"/>
    <w:rsid w:val="00483E7C"/>
    <w:rsid w:val="00487FE3"/>
    <w:rsid w:val="0049091F"/>
    <w:rsid w:val="004F6C51"/>
    <w:rsid w:val="00500280"/>
    <w:rsid w:val="005116E7"/>
    <w:rsid w:val="005301DC"/>
    <w:rsid w:val="00541469"/>
    <w:rsid w:val="00544E8A"/>
    <w:rsid w:val="00576833"/>
    <w:rsid w:val="00592F51"/>
    <w:rsid w:val="005A3881"/>
    <w:rsid w:val="005C3244"/>
    <w:rsid w:val="005D13BD"/>
    <w:rsid w:val="005D74BE"/>
    <w:rsid w:val="00612072"/>
    <w:rsid w:val="00615444"/>
    <w:rsid w:val="00627785"/>
    <w:rsid w:val="00633B60"/>
    <w:rsid w:val="006365BC"/>
    <w:rsid w:val="00645B94"/>
    <w:rsid w:val="006614DA"/>
    <w:rsid w:val="006642F8"/>
    <w:rsid w:val="00666693"/>
    <w:rsid w:val="00680A90"/>
    <w:rsid w:val="00683441"/>
    <w:rsid w:val="00684A2C"/>
    <w:rsid w:val="00684AE7"/>
    <w:rsid w:val="00687418"/>
    <w:rsid w:val="006C434C"/>
    <w:rsid w:val="006C6861"/>
    <w:rsid w:val="006E50B8"/>
    <w:rsid w:val="007034C3"/>
    <w:rsid w:val="007124EC"/>
    <w:rsid w:val="007245B5"/>
    <w:rsid w:val="007312C9"/>
    <w:rsid w:val="007317BB"/>
    <w:rsid w:val="007367D9"/>
    <w:rsid w:val="00736C5C"/>
    <w:rsid w:val="00756150"/>
    <w:rsid w:val="007578D1"/>
    <w:rsid w:val="007A082B"/>
    <w:rsid w:val="007A311A"/>
    <w:rsid w:val="007A5C8B"/>
    <w:rsid w:val="007A78BC"/>
    <w:rsid w:val="007C2DC0"/>
    <w:rsid w:val="007E1BBF"/>
    <w:rsid w:val="007E76BA"/>
    <w:rsid w:val="007F71BE"/>
    <w:rsid w:val="00814D43"/>
    <w:rsid w:val="00821AE5"/>
    <w:rsid w:val="008369BC"/>
    <w:rsid w:val="0085050C"/>
    <w:rsid w:val="0087045C"/>
    <w:rsid w:val="008773B9"/>
    <w:rsid w:val="00897199"/>
    <w:rsid w:val="008D3AD5"/>
    <w:rsid w:val="008E1DE9"/>
    <w:rsid w:val="008E3FAD"/>
    <w:rsid w:val="008E4564"/>
    <w:rsid w:val="00902D0E"/>
    <w:rsid w:val="00913EBC"/>
    <w:rsid w:val="0094447E"/>
    <w:rsid w:val="00980671"/>
    <w:rsid w:val="00986362"/>
    <w:rsid w:val="0099242F"/>
    <w:rsid w:val="009E4268"/>
    <w:rsid w:val="009E6FA7"/>
    <w:rsid w:val="009F0CBF"/>
    <w:rsid w:val="009F6000"/>
    <w:rsid w:val="00A05B7F"/>
    <w:rsid w:val="00A06CE2"/>
    <w:rsid w:val="00A3430D"/>
    <w:rsid w:val="00A56B85"/>
    <w:rsid w:val="00A575AB"/>
    <w:rsid w:val="00A6481A"/>
    <w:rsid w:val="00A676B8"/>
    <w:rsid w:val="00A748D3"/>
    <w:rsid w:val="00A92861"/>
    <w:rsid w:val="00AA222E"/>
    <w:rsid w:val="00AB3263"/>
    <w:rsid w:val="00AB69D5"/>
    <w:rsid w:val="00AF0441"/>
    <w:rsid w:val="00AF24DC"/>
    <w:rsid w:val="00AF259B"/>
    <w:rsid w:val="00B10377"/>
    <w:rsid w:val="00B129C9"/>
    <w:rsid w:val="00B1326C"/>
    <w:rsid w:val="00B22C2A"/>
    <w:rsid w:val="00B25367"/>
    <w:rsid w:val="00B31784"/>
    <w:rsid w:val="00B7424A"/>
    <w:rsid w:val="00B833E0"/>
    <w:rsid w:val="00B85E8B"/>
    <w:rsid w:val="00BA4DA0"/>
    <w:rsid w:val="00BC1F76"/>
    <w:rsid w:val="00C27C74"/>
    <w:rsid w:val="00C321DF"/>
    <w:rsid w:val="00C341F7"/>
    <w:rsid w:val="00C66339"/>
    <w:rsid w:val="00C72354"/>
    <w:rsid w:val="00C77F81"/>
    <w:rsid w:val="00CA5FD5"/>
    <w:rsid w:val="00CB6186"/>
    <w:rsid w:val="00CC157C"/>
    <w:rsid w:val="00CE483C"/>
    <w:rsid w:val="00CE6667"/>
    <w:rsid w:val="00CF6DCA"/>
    <w:rsid w:val="00D2446B"/>
    <w:rsid w:val="00D321BB"/>
    <w:rsid w:val="00D85A85"/>
    <w:rsid w:val="00D90458"/>
    <w:rsid w:val="00D95992"/>
    <w:rsid w:val="00DB2360"/>
    <w:rsid w:val="00DC0F43"/>
    <w:rsid w:val="00DF6124"/>
    <w:rsid w:val="00DF7C89"/>
    <w:rsid w:val="00E42D5B"/>
    <w:rsid w:val="00E445A7"/>
    <w:rsid w:val="00E61D4C"/>
    <w:rsid w:val="00E74B5E"/>
    <w:rsid w:val="00E768A9"/>
    <w:rsid w:val="00EA2F34"/>
    <w:rsid w:val="00EC2D0E"/>
    <w:rsid w:val="00EF1FA9"/>
    <w:rsid w:val="00F16573"/>
    <w:rsid w:val="00F26B3F"/>
    <w:rsid w:val="00F337DA"/>
    <w:rsid w:val="00F41FD4"/>
    <w:rsid w:val="00F44F88"/>
    <w:rsid w:val="00F60B32"/>
    <w:rsid w:val="00F77C5F"/>
    <w:rsid w:val="00FA46CB"/>
    <w:rsid w:val="00FB4DCD"/>
    <w:rsid w:val="00FF19ED"/>
    <w:rsid w:val="00FF27EC"/>
    <w:rsid w:val="00FF5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447AC"/>
  <w15:docId w15:val="{73AA6B72-0A6F-4019-A160-7489E69F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DFC"/>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8773B9"/>
    <w:pPr>
      <w:keepNext/>
      <w:keepLines/>
      <w:spacing w:before="480" w:after="240"/>
      <w:outlineLvl w:val="0"/>
    </w:pPr>
    <w:rPr>
      <w:rFonts w:eastAsiaTheme="majorEastAsia"/>
      <w:b/>
      <w:bCs/>
      <w:sz w:val="32"/>
    </w:rPr>
  </w:style>
  <w:style w:type="paragraph" w:styleId="Heading2">
    <w:name w:val="heading 2"/>
    <w:basedOn w:val="Normal"/>
    <w:next w:val="Normal"/>
    <w:link w:val="Heading2Char"/>
    <w:uiPriority w:val="9"/>
    <w:unhideWhenUsed/>
    <w:qFormat/>
    <w:rsid w:val="008773B9"/>
    <w:pPr>
      <w:keepNext/>
      <w:keepLines/>
      <w:numPr>
        <w:ilvl w:val="1"/>
        <w:numId w:val="6"/>
      </w:numPr>
      <w:spacing w:before="200"/>
      <w:outlineLvl w:val="1"/>
    </w:pPr>
    <w:rPr>
      <w:rFonts w:eastAsiaTheme="majorEastAsia"/>
      <w:bCs/>
    </w:rPr>
  </w:style>
  <w:style w:type="paragraph" w:styleId="Heading3">
    <w:name w:val="heading 3"/>
    <w:basedOn w:val="Normal"/>
    <w:next w:val="Normal"/>
    <w:link w:val="Heading3Char"/>
    <w:uiPriority w:val="9"/>
    <w:unhideWhenUsed/>
    <w:qFormat/>
    <w:rsid w:val="00DF7C89"/>
    <w:pPr>
      <w:numPr>
        <w:ilvl w:val="2"/>
        <w:numId w:val="6"/>
      </w:numPr>
      <w:spacing w:before="200"/>
      <w:ind w:left="851" w:hanging="851"/>
      <w:outlineLvl w:val="2"/>
    </w:pPr>
  </w:style>
  <w:style w:type="paragraph" w:styleId="Heading4">
    <w:name w:val="heading 4"/>
    <w:basedOn w:val="Normal"/>
    <w:next w:val="Normal"/>
    <w:link w:val="Heading4Char"/>
    <w:uiPriority w:val="9"/>
    <w:unhideWhenUsed/>
    <w:qFormat/>
    <w:rsid w:val="003331BA"/>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31BA"/>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31BA"/>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31BA"/>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31BA"/>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31B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E8B"/>
    <w:pPr>
      <w:ind w:left="720"/>
      <w:contextualSpacing/>
    </w:pPr>
  </w:style>
  <w:style w:type="paragraph" w:styleId="Header">
    <w:name w:val="header"/>
    <w:basedOn w:val="Normal"/>
    <w:link w:val="HeaderChar"/>
    <w:uiPriority w:val="99"/>
    <w:unhideWhenUsed/>
    <w:rsid w:val="00D85A85"/>
    <w:pPr>
      <w:tabs>
        <w:tab w:val="center" w:pos="4513"/>
        <w:tab w:val="right" w:pos="9026"/>
      </w:tabs>
    </w:pPr>
  </w:style>
  <w:style w:type="character" w:customStyle="1" w:styleId="HeaderChar">
    <w:name w:val="Header Char"/>
    <w:basedOn w:val="DefaultParagraphFont"/>
    <w:link w:val="Header"/>
    <w:uiPriority w:val="99"/>
    <w:rsid w:val="00D85A85"/>
  </w:style>
  <w:style w:type="paragraph" w:styleId="Footer">
    <w:name w:val="footer"/>
    <w:basedOn w:val="Normal"/>
    <w:link w:val="FooterChar"/>
    <w:uiPriority w:val="99"/>
    <w:unhideWhenUsed/>
    <w:rsid w:val="00D85A85"/>
    <w:pPr>
      <w:tabs>
        <w:tab w:val="center" w:pos="4513"/>
        <w:tab w:val="right" w:pos="9026"/>
      </w:tabs>
    </w:pPr>
  </w:style>
  <w:style w:type="character" w:customStyle="1" w:styleId="FooterChar">
    <w:name w:val="Footer Char"/>
    <w:basedOn w:val="DefaultParagraphFont"/>
    <w:link w:val="Footer"/>
    <w:uiPriority w:val="99"/>
    <w:rsid w:val="00D85A85"/>
  </w:style>
  <w:style w:type="paragraph" w:styleId="PlainText">
    <w:name w:val="Plain Text"/>
    <w:basedOn w:val="Normal"/>
    <w:link w:val="PlainTextChar"/>
    <w:uiPriority w:val="99"/>
    <w:unhideWhenUsed/>
    <w:rsid w:val="00330A52"/>
    <w:rPr>
      <w:rFonts w:ascii="Calibri" w:hAnsi="Calibri" w:cs="Consolas"/>
      <w:szCs w:val="21"/>
    </w:rPr>
  </w:style>
  <w:style w:type="character" w:customStyle="1" w:styleId="PlainTextChar">
    <w:name w:val="Plain Text Char"/>
    <w:basedOn w:val="DefaultParagraphFont"/>
    <w:link w:val="PlainText"/>
    <w:uiPriority w:val="99"/>
    <w:rsid w:val="00330A52"/>
    <w:rPr>
      <w:rFonts w:ascii="Calibri" w:hAnsi="Calibri" w:cs="Consolas"/>
      <w:szCs w:val="21"/>
    </w:rPr>
  </w:style>
  <w:style w:type="paragraph" w:styleId="NormalWeb">
    <w:name w:val="Normal (Web)"/>
    <w:basedOn w:val="Normal"/>
    <w:uiPriority w:val="99"/>
    <w:semiHidden/>
    <w:unhideWhenUsed/>
    <w:rsid w:val="00061F5F"/>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C321DF"/>
    <w:rPr>
      <w:rFonts w:ascii="Tahoma" w:hAnsi="Tahoma" w:cs="Tahoma"/>
      <w:sz w:val="16"/>
      <w:szCs w:val="16"/>
    </w:rPr>
  </w:style>
  <w:style w:type="character" w:customStyle="1" w:styleId="BalloonTextChar">
    <w:name w:val="Balloon Text Char"/>
    <w:basedOn w:val="DefaultParagraphFont"/>
    <w:link w:val="BalloonText"/>
    <w:uiPriority w:val="99"/>
    <w:semiHidden/>
    <w:rsid w:val="00C321DF"/>
    <w:rPr>
      <w:rFonts w:ascii="Tahoma" w:hAnsi="Tahoma" w:cs="Tahoma"/>
      <w:sz w:val="16"/>
      <w:szCs w:val="16"/>
    </w:rPr>
  </w:style>
  <w:style w:type="character" w:customStyle="1" w:styleId="Heading1Char">
    <w:name w:val="Heading 1 Char"/>
    <w:basedOn w:val="DefaultParagraphFont"/>
    <w:link w:val="Heading1"/>
    <w:uiPriority w:val="9"/>
    <w:rsid w:val="008773B9"/>
    <w:rPr>
      <w:rFonts w:ascii="Arial" w:eastAsiaTheme="majorEastAsia" w:hAnsi="Arial" w:cs="Arial"/>
      <w:b/>
      <w:bCs/>
      <w:sz w:val="32"/>
      <w:szCs w:val="24"/>
    </w:rPr>
  </w:style>
  <w:style w:type="character" w:customStyle="1" w:styleId="Heading2Char">
    <w:name w:val="Heading 2 Char"/>
    <w:basedOn w:val="DefaultParagraphFont"/>
    <w:link w:val="Heading2"/>
    <w:uiPriority w:val="9"/>
    <w:rsid w:val="008773B9"/>
    <w:rPr>
      <w:rFonts w:ascii="Arial" w:eastAsiaTheme="majorEastAsia" w:hAnsi="Arial" w:cs="Arial"/>
      <w:bCs/>
      <w:sz w:val="24"/>
      <w:szCs w:val="24"/>
    </w:rPr>
  </w:style>
  <w:style w:type="character" w:customStyle="1" w:styleId="Heading3Char">
    <w:name w:val="Heading 3 Char"/>
    <w:basedOn w:val="DefaultParagraphFont"/>
    <w:link w:val="Heading3"/>
    <w:uiPriority w:val="9"/>
    <w:rsid w:val="00DF7C89"/>
    <w:rPr>
      <w:rFonts w:ascii="Arial" w:hAnsi="Arial" w:cs="Arial"/>
      <w:sz w:val="24"/>
      <w:szCs w:val="24"/>
    </w:rPr>
  </w:style>
  <w:style w:type="character" w:customStyle="1" w:styleId="Heading4Char">
    <w:name w:val="Heading 4 Char"/>
    <w:basedOn w:val="DefaultParagraphFont"/>
    <w:link w:val="Heading4"/>
    <w:uiPriority w:val="9"/>
    <w:rsid w:val="003331B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3331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331B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331B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331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31BA"/>
    <w:rPr>
      <w:rFonts w:asciiTheme="majorHAnsi" w:eastAsiaTheme="majorEastAsia" w:hAnsiTheme="majorHAnsi" w:cstheme="majorBidi"/>
      <w:i/>
      <w:iCs/>
      <w:color w:val="404040" w:themeColor="text1" w:themeTint="BF"/>
      <w:sz w:val="20"/>
      <w:szCs w:val="20"/>
    </w:rPr>
  </w:style>
  <w:style w:type="paragraph" w:customStyle="1" w:styleId="Style1">
    <w:name w:val="Style1"/>
    <w:basedOn w:val="Normal"/>
    <w:link w:val="Style1Char"/>
    <w:qFormat/>
    <w:rsid w:val="00DF7C89"/>
    <w:pPr>
      <w:ind w:left="851"/>
    </w:pPr>
  </w:style>
  <w:style w:type="character" w:customStyle="1" w:styleId="Style1Char">
    <w:name w:val="Style1 Char"/>
    <w:basedOn w:val="DefaultParagraphFont"/>
    <w:link w:val="Style1"/>
    <w:rsid w:val="00DF7C89"/>
    <w:rPr>
      <w:rFonts w:ascii="Arial" w:hAnsi="Arial" w:cs="Arial"/>
      <w:sz w:val="24"/>
      <w:szCs w:val="24"/>
    </w:rPr>
  </w:style>
  <w:style w:type="paragraph" w:styleId="TOC1">
    <w:name w:val="toc 1"/>
    <w:basedOn w:val="Normal"/>
    <w:next w:val="Normal"/>
    <w:autoRedefine/>
    <w:uiPriority w:val="39"/>
    <w:unhideWhenUsed/>
    <w:qFormat/>
    <w:rsid w:val="008773B9"/>
    <w:pPr>
      <w:widowControl w:val="0"/>
      <w:tabs>
        <w:tab w:val="left" w:pos="440"/>
        <w:tab w:val="right" w:leader="dot" w:pos="9628"/>
      </w:tabs>
      <w:spacing w:after="120"/>
      <w:ind w:right="-23"/>
    </w:pPr>
    <w:rPr>
      <w:rFonts w:asciiTheme="minorHAnsi" w:hAnsiTheme="minorHAnsi" w:cstheme="minorBidi"/>
    </w:rPr>
  </w:style>
  <w:style w:type="character" w:styleId="Hyperlink">
    <w:name w:val="Hyperlink"/>
    <w:basedOn w:val="DefaultParagraphFont"/>
    <w:uiPriority w:val="99"/>
    <w:unhideWhenUsed/>
    <w:rsid w:val="007F71BE"/>
    <w:rPr>
      <w:color w:val="0000FF" w:themeColor="hyperlink"/>
      <w:u w:val="single"/>
    </w:rPr>
  </w:style>
  <w:style w:type="paragraph" w:styleId="TOCHeading">
    <w:name w:val="TOC Heading"/>
    <w:basedOn w:val="Heading1"/>
    <w:next w:val="Normal"/>
    <w:uiPriority w:val="39"/>
    <w:unhideWhenUsed/>
    <w:qFormat/>
    <w:rsid w:val="007F71BE"/>
    <w:pPr>
      <w:spacing w:line="276" w:lineRule="auto"/>
      <w:outlineLvl w:val="9"/>
    </w:pPr>
    <w:rPr>
      <w:rFonts w:asciiTheme="majorHAnsi" w:hAnsiTheme="majorHAnsi" w:cstheme="majorBidi"/>
      <w:color w:val="365F91" w:themeColor="accent1" w:themeShade="BF"/>
      <w:sz w:val="28"/>
      <w:szCs w:val="28"/>
      <w:lang w:val="en-US" w:eastAsia="ja-JP"/>
    </w:rPr>
  </w:style>
  <w:style w:type="paragraph" w:styleId="TOC2">
    <w:name w:val="toc 2"/>
    <w:basedOn w:val="Normal"/>
    <w:next w:val="Normal"/>
    <w:autoRedefine/>
    <w:uiPriority w:val="39"/>
    <w:unhideWhenUsed/>
    <w:rsid w:val="007F71BE"/>
    <w:pPr>
      <w:spacing w:after="100"/>
      <w:ind w:left="240"/>
    </w:pPr>
  </w:style>
  <w:style w:type="paragraph" w:styleId="TOC3">
    <w:name w:val="toc 3"/>
    <w:basedOn w:val="Normal"/>
    <w:next w:val="Normal"/>
    <w:autoRedefine/>
    <w:uiPriority w:val="39"/>
    <w:unhideWhenUsed/>
    <w:rsid w:val="007F71BE"/>
    <w:pPr>
      <w:spacing w:after="100"/>
      <w:ind w:left="480"/>
    </w:pPr>
  </w:style>
  <w:style w:type="character" w:styleId="Strong">
    <w:name w:val="Strong"/>
    <w:basedOn w:val="DefaultParagraphFont"/>
    <w:uiPriority w:val="22"/>
    <w:qFormat/>
    <w:rsid w:val="0029311B"/>
    <w:rPr>
      <w:b/>
      <w:bCs/>
    </w:rPr>
  </w:style>
  <w:style w:type="paragraph" w:customStyle="1" w:styleId="Default">
    <w:name w:val="Default"/>
    <w:rsid w:val="000C13E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8773B9"/>
    <w:pPr>
      <w:spacing w:before="840" w:after="360"/>
    </w:pPr>
    <w:rPr>
      <w:rFonts w:eastAsia="Times New Roman"/>
      <w:b/>
      <w:sz w:val="44"/>
      <w:szCs w:val="36"/>
      <w:lang w:eastAsia="en-GB"/>
    </w:rPr>
  </w:style>
  <w:style w:type="character" w:customStyle="1" w:styleId="TitleChar">
    <w:name w:val="Title Char"/>
    <w:basedOn w:val="DefaultParagraphFont"/>
    <w:link w:val="Title"/>
    <w:uiPriority w:val="10"/>
    <w:rsid w:val="008773B9"/>
    <w:rPr>
      <w:rFonts w:ascii="Arial" w:eastAsia="Times New Roman" w:hAnsi="Arial" w:cs="Arial"/>
      <w:b/>
      <w:sz w:val="44"/>
      <w:szCs w:val="36"/>
      <w:lang w:eastAsia="en-GB"/>
    </w:rPr>
  </w:style>
  <w:style w:type="character" w:styleId="PlaceholderText">
    <w:name w:val="Placeholder Text"/>
    <w:basedOn w:val="DefaultParagraphFont"/>
    <w:uiPriority w:val="99"/>
    <w:semiHidden/>
    <w:rsid w:val="008773B9"/>
    <w:rPr>
      <w:color w:val="808080"/>
    </w:rPr>
  </w:style>
  <w:style w:type="character" w:styleId="UnresolvedMention">
    <w:name w:val="Unresolved Mention"/>
    <w:basedOn w:val="DefaultParagraphFont"/>
    <w:uiPriority w:val="99"/>
    <w:semiHidden/>
    <w:unhideWhenUsed/>
    <w:rsid w:val="00877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2105">
      <w:bodyDiv w:val="1"/>
      <w:marLeft w:val="0"/>
      <w:marRight w:val="0"/>
      <w:marTop w:val="0"/>
      <w:marBottom w:val="0"/>
      <w:divBdr>
        <w:top w:val="none" w:sz="0" w:space="0" w:color="auto"/>
        <w:left w:val="none" w:sz="0" w:space="0" w:color="auto"/>
        <w:bottom w:val="none" w:sz="0" w:space="0" w:color="auto"/>
        <w:right w:val="none" w:sz="0" w:space="0" w:color="auto"/>
      </w:divBdr>
    </w:div>
    <w:div w:id="172650683">
      <w:bodyDiv w:val="1"/>
      <w:marLeft w:val="0"/>
      <w:marRight w:val="0"/>
      <w:marTop w:val="0"/>
      <w:marBottom w:val="0"/>
      <w:divBdr>
        <w:top w:val="none" w:sz="0" w:space="0" w:color="auto"/>
        <w:left w:val="none" w:sz="0" w:space="0" w:color="auto"/>
        <w:bottom w:val="none" w:sz="0" w:space="0" w:color="auto"/>
        <w:right w:val="none" w:sz="0" w:space="0" w:color="auto"/>
      </w:divBdr>
    </w:div>
    <w:div w:id="195779850">
      <w:bodyDiv w:val="1"/>
      <w:marLeft w:val="0"/>
      <w:marRight w:val="0"/>
      <w:marTop w:val="0"/>
      <w:marBottom w:val="0"/>
      <w:divBdr>
        <w:top w:val="none" w:sz="0" w:space="0" w:color="auto"/>
        <w:left w:val="none" w:sz="0" w:space="0" w:color="auto"/>
        <w:bottom w:val="none" w:sz="0" w:space="0" w:color="auto"/>
        <w:right w:val="none" w:sz="0" w:space="0" w:color="auto"/>
      </w:divBdr>
    </w:div>
    <w:div w:id="282616090">
      <w:bodyDiv w:val="1"/>
      <w:marLeft w:val="0"/>
      <w:marRight w:val="0"/>
      <w:marTop w:val="0"/>
      <w:marBottom w:val="0"/>
      <w:divBdr>
        <w:top w:val="none" w:sz="0" w:space="0" w:color="auto"/>
        <w:left w:val="none" w:sz="0" w:space="0" w:color="auto"/>
        <w:bottom w:val="none" w:sz="0" w:space="0" w:color="auto"/>
        <w:right w:val="none" w:sz="0" w:space="0" w:color="auto"/>
      </w:divBdr>
    </w:div>
    <w:div w:id="330524818">
      <w:bodyDiv w:val="1"/>
      <w:marLeft w:val="0"/>
      <w:marRight w:val="0"/>
      <w:marTop w:val="0"/>
      <w:marBottom w:val="0"/>
      <w:divBdr>
        <w:top w:val="none" w:sz="0" w:space="0" w:color="auto"/>
        <w:left w:val="none" w:sz="0" w:space="0" w:color="auto"/>
        <w:bottom w:val="none" w:sz="0" w:space="0" w:color="auto"/>
        <w:right w:val="none" w:sz="0" w:space="0" w:color="auto"/>
      </w:divBdr>
    </w:div>
    <w:div w:id="331764841">
      <w:bodyDiv w:val="1"/>
      <w:marLeft w:val="0"/>
      <w:marRight w:val="0"/>
      <w:marTop w:val="0"/>
      <w:marBottom w:val="0"/>
      <w:divBdr>
        <w:top w:val="none" w:sz="0" w:space="0" w:color="auto"/>
        <w:left w:val="none" w:sz="0" w:space="0" w:color="auto"/>
        <w:bottom w:val="none" w:sz="0" w:space="0" w:color="auto"/>
        <w:right w:val="none" w:sz="0" w:space="0" w:color="auto"/>
      </w:divBdr>
    </w:div>
    <w:div w:id="367343267">
      <w:bodyDiv w:val="1"/>
      <w:marLeft w:val="0"/>
      <w:marRight w:val="0"/>
      <w:marTop w:val="0"/>
      <w:marBottom w:val="0"/>
      <w:divBdr>
        <w:top w:val="none" w:sz="0" w:space="0" w:color="auto"/>
        <w:left w:val="none" w:sz="0" w:space="0" w:color="auto"/>
        <w:bottom w:val="none" w:sz="0" w:space="0" w:color="auto"/>
        <w:right w:val="none" w:sz="0" w:space="0" w:color="auto"/>
      </w:divBdr>
    </w:div>
    <w:div w:id="367796849">
      <w:bodyDiv w:val="1"/>
      <w:marLeft w:val="0"/>
      <w:marRight w:val="0"/>
      <w:marTop w:val="0"/>
      <w:marBottom w:val="0"/>
      <w:divBdr>
        <w:top w:val="none" w:sz="0" w:space="0" w:color="auto"/>
        <w:left w:val="none" w:sz="0" w:space="0" w:color="auto"/>
        <w:bottom w:val="none" w:sz="0" w:space="0" w:color="auto"/>
        <w:right w:val="none" w:sz="0" w:space="0" w:color="auto"/>
      </w:divBdr>
    </w:div>
    <w:div w:id="382944624">
      <w:bodyDiv w:val="1"/>
      <w:marLeft w:val="0"/>
      <w:marRight w:val="0"/>
      <w:marTop w:val="0"/>
      <w:marBottom w:val="0"/>
      <w:divBdr>
        <w:top w:val="none" w:sz="0" w:space="0" w:color="auto"/>
        <w:left w:val="none" w:sz="0" w:space="0" w:color="auto"/>
        <w:bottom w:val="none" w:sz="0" w:space="0" w:color="auto"/>
        <w:right w:val="none" w:sz="0" w:space="0" w:color="auto"/>
      </w:divBdr>
    </w:div>
    <w:div w:id="479226802">
      <w:bodyDiv w:val="1"/>
      <w:marLeft w:val="0"/>
      <w:marRight w:val="0"/>
      <w:marTop w:val="0"/>
      <w:marBottom w:val="0"/>
      <w:divBdr>
        <w:top w:val="none" w:sz="0" w:space="0" w:color="auto"/>
        <w:left w:val="none" w:sz="0" w:space="0" w:color="auto"/>
        <w:bottom w:val="none" w:sz="0" w:space="0" w:color="auto"/>
        <w:right w:val="none" w:sz="0" w:space="0" w:color="auto"/>
      </w:divBdr>
    </w:div>
    <w:div w:id="502167557">
      <w:bodyDiv w:val="1"/>
      <w:marLeft w:val="0"/>
      <w:marRight w:val="0"/>
      <w:marTop w:val="0"/>
      <w:marBottom w:val="0"/>
      <w:divBdr>
        <w:top w:val="none" w:sz="0" w:space="0" w:color="auto"/>
        <w:left w:val="none" w:sz="0" w:space="0" w:color="auto"/>
        <w:bottom w:val="none" w:sz="0" w:space="0" w:color="auto"/>
        <w:right w:val="none" w:sz="0" w:space="0" w:color="auto"/>
      </w:divBdr>
    </w:div>
    <w:div w:id="558706891">
      <w:bodyDiv w:val="1"/>
      <w:marLeft w:val="0"/>
      <w:marRight w:val="0"/>
      <w:marTop w:val="0"/>
      <w:marBottom w:val="0"/>
      <w:divBdr>
        <w:top w:val="none" w:sz="0" w:space="0" w:color="auto"/>
        <w:left w:val="none" w:sz="0" w:space="0" w:color="auto"/>
        <w:bottom w:val="none" w:sz="0" w:space="0" w:color="auto"/>
        <w:right w:val="none" w:sz="0" w:space="0" w:color="auto"/>
      </w:divBdr>
    </w:div>
    <w:div w:id="713042282">
      <w:bodyDiv w:val="1"/>
      <w:marLeft w:val="0"/>
      <w:marRight w:val="0"/>
      <w:marTop w:val="0"/>
      <w:marBottom w:val="0"/>
      <w:divBdr>
        <w:top w:val="none" w:sz="0" w:space="0" w:color="auto"/>
        <w:left w:val="none" w:sz="0" w:space="0" w:color="auto"/>
        <w:bottom w:val="none" w:sz="0" w:space="0" w:color="auto"/>
        <w:right w:val="none" w:sz="0" w:space="0" w:color="auto"/>
      </w:divBdr>
    </w:div>
    <w:div w:id="772825050">
      <w:bodyDiv w:val="1"/>
      <w:marLeft w:val="0"/>
      <w:marRight w:val="0"/>
      <w:marTop w:val="0"/>
      <w:marBottom w:val="0"/>
      <w:divBdr>
        <w:top w:val="none" w:sz="0" w:space="0" w:color="auto"/>
        <w:left w:val="none" w:sz="0" w:space="0" w:color="auto"/>
        <w:bottom w:val="none" w:sz="0" w:space="0" w:color="auto"/>
        <w:right w:val="none" w:sz="0" w:space="0" w:color="auto"/>
      </w:divBdr>
    </w:div>
    <w:div w:id="786004335">
      <w:bodyDiv w:val="1"/>
      <w:marLeft w:val="0"/>
      <w:marRight w:val="0"/>
      <w:marTop w:val="0"/>
      <w:marBottom w:val="0"/>
      <w:divBdr>
        <w:top w:val="none" w:sz="0" w:space="0" w:color="auto"/>
        <w:left w:val="none" w:sz="0" w:space="0" w:color="auto"/>
        <w:bottom w:val="none" w:sz="0" w:space="0" w:color="auto"/>
        <w:right w:val="none" w:sz="0" w:space="0" w:color="auto"/>
      </w:divBdr>
    </w:div>
    <w:div w:id="791435875">
      <w:bodyDiv w:val="1"/>
      <w:marLeft w:val="0"/>
      <w:marRight w:val="0"/>
      <w:marTop w:val="0"/>
      <w:marBottom w:val="0"/>
      <w:divBdr>
        <w:top w:val="none" w:sz="0" w:space="0" w:color="auto"/>
        <w:left w:val="none" w:sz="0" w:space="0" w:color="auto"/>
        <w:bottom w:val="none" w:sz="0" w:space="0" w:color="auto"/>
        <w:right w:val="none" w:sz="0" w:space="0" w:color="auto"/>
      </w:divBdr>
    </w:div>
    <w:div w:id="866480569">
      <w:bodyDiv w:val="1"/>
      <w:marLeft w:val="0"/>
      <w:marRight w:val="0"/>
      <w:marTop w:val="0"/>
      <w:marBottom w:val="0"/>
      <w:divBdr>
        <w:top w:val="none" w:sz="0" w:space="0" w:color="auto"/>
        <w:left w:val="none" w:sz="0" w:space="0" w:color="auto"/>
        <w:bottom w:val="none" w:sz="0" w:space="0" w:color="auto"/>
        <w:right w:val="none" w:sz="0" w:space="0" w:color="auto"/>
      </w:divBdr>
    </w:div>
    <w:div w:id="935600190">
      <w:bodyDiv w:val="1"/>
      <w:marLeft w:val="0"/>
      <w:marRight w:val="0"/>
      <w:marTop w:val="0"/>
      <w:marBottom w:val="0"/>
      <w:divBdr>
        <w:top w:val="none" w:sz="0" w:space="0" w:color="auto"/>
        <w:left w:val="none" w:sz="0" w:space="0" w:color="auto"/>
        <w:bottom w:val="none" w:sz="0" w:space="0" w:color="auto"/>
        <w:right w:val="none" w:sz="0" w:space="0" w:color="auto"/>
      </w:divBdr>
    </w:div>
    <w:div w:id="1027826406">
      <w:bodyDiv w:val="1"/>
      <w:marLeft w:val="0"/>
      <w:marRight w:val="0"/>
      <w:marTop w:val="0"/>
      <w:marBottom w:val="0"/>
      <w:divBdr>
        <w:top w:val="none" w:sz="0" w:space="0" w:color="auto"/>
        <w:left w:val="none" w:sz="0" w:space="0" w:color="auto"/>
        <w:bottom w:val="none" w:sz="0" w:space="0" w:color="auto"/>
        <w:right w:val="none" w:sz="0" w:space="0" w:color="auto"/>
      </w:divBdr>
    </w:div>
    <w:div w:id="1036201003">
      <w:bodyDiv w:val="1"/>
      <w:marLeft w:val="0"/>
      <w:marRight w:val="0"/>
      <w:marTop w:val="0"/>
      <w:marBottom w:val="0"/>
      <w:divBdr>
        <w:top w:val="none" w:sz="0" w:space="0" w:color="auto"/>
        <w:left w:val="none" w:sz="0" w:space="0" w:color="auto"/>
        <w:bottom w:val="none" w:sz="0" w:space="0" w:color="auto"/>
        <w:right w:val="none" w:sz="0" w:space="0" w:color="auto"/>
      </w:divBdr>
    </w:div>
    <w:div w:id="1061561792">
      <w:bodyDiv w:val="1"/>
      <w:marLeft w:val="0"/>
      <w:marRight w:val="0"/>
      <w:marTop w:val="0"/>
      <w:marBottom w:val="0"/>
      <w:divBdr>
        <w:top w:val="none" w:sz="0" w:space="0" w:color="auto"/>
        <w:left w:val="none" w:sz="0" w:space="0" w:color="auto"/>
        <w:bottom w:val="none" w:sz="0" w:space="0" w:color="auto"/>
        <w:right w:val="none" w:sz="0" w:space="0" w:color="auto"/>
      </w:divBdr>
    </w:div>
    <w:div w:id="1089623945">
      <w:bodyDiv w:val="1"/>
      <w:marLeft w:val="0"/>
      <w:marRight w:val="0"/>
      <w:marTop w:val="0"/>
      <w:marBottom w:val="0"/>
      <w:divBdr>
        <w:top w:val="none" w:sz="0" w:space="0" w:color="auto"/>
        <w:left w:val="none" w:sz="0" w:space="0" w:color="auto"/>
        <w:bottom w:val="none" w:sz="0" w:space="0" w:color="auto"/>
        <w:right w:val="none" w:sz="0" w:space="0" w:color="auto"/>
      </w:divBdr>
    </w:div>
    <w:div w:id="1154878209">
      <w:bodyDiv w:val="1"/>
      <w:marLeft w:val="0"/>
      <w:marRight w:val="0"/>
      <w:marTop w:val="0"/>
      <w:marBottom w:val="0"/>
      <w:divBdr>
        <w:top w:val="none" w:sz="0" w:space="0" w:color="auto"/>
        <w:left w:val="none" w:sz="0" w:space="0" w:color="auto"/>
        <w:bottom w:val="none" w:sz="0" w:space="0" w:color="auto"/>
        <w:right w:val="none" w:sz="0" w:space="0" w:color="auto"/>
      </w:divBdr>
    </w:div>
    <w:div w:id="1204053894">
      <w:bodyDiv w:val="1"/>
      <w:marLeft w:val="0"/>
      <w:marRight w:val="0"/>
      <w:marTop w:val="0"/>
      <w:marBottom w:val="0"/>
      <w:divBdr>
        <w:top w:val="none" w:sz="0" w:space="0" w:color="auto"/>
        <w:left w:val="none" w:sz="0" w:space="0" w:color="auto"/>
        <w:bottom w:val="none" w:sz="0" w:space="0" w:color="auto"/>
        <w:right w:val="none" w:sz="0" w:space="0" w:color="auto"/>
      </w:divBdr>
    </w:div>
    <w:div w:id="1223831664">
      <w:bodyDiv w:val="1"/>
      <w:marLeft w:val="0"/>
      <w:marRight w:val="0"/>
      <w:marTop w:val="0"/>
      <w:marBottom w:val="0"/>
      <w:divBdr>
        <w:top w:val="none" w:sz="0" w:space="0" w:color="auto"/>
        <w:left w:val="none" w:sz="0" w:space="0" w:color="auto"/>
        <w:bottom w:val="none" w:sz="0" w:space="0" w:color="auto"/>
        <w:right w:val="none" w:sz="0" w:space="0" w:color="auto"/>
      </w:divBdr>
    </w:div>
    <w:div w:id="1230576582">
      <w:bodyDiv w:val="1"/>
      <w:marLeft w:val="0"/>
      <w:marRight w:val="0"/>
      <w:marTop w:val="0"/>
      <w:marBottom w:val="0"/>
      <w:divBdr>
        <w:top w:val="none" w:sz="0" w:space="0" w:color="auto"/>
        <w:left w:val="none" w:sz="0" w:space="0" w:color="auto"/>
        <w:bottom w:val="none" w:sz="0" w:space="0" w:color="auto"/>
        <w:right w:val="none" w:sz="0" w:space="0" w:color="auto"/>
      </w:divBdr>
    </w:div>
    <w:div w:id="1250849307">
      <w:bodyDiv w:val="1"/>
      <w:marLeft w:val="0"/>
      <w:marRight w:val="0"/>
      <w:marTop w:val="0"/>
      <w:marBottom w:val="0"/>
      <w:divBdr>
        <w:top w:val="none" w:sz="0" w:space="0" w:color="auto"/>
        <w:left w:val="none" w:sz="0" w:space="0" w:color="auto"/>
        <w:bottom w:val="none" w:sz="0" w:space="0" w:color="auto"/>
        <w:right w:val="none" w:sz="0" w:space="0" w:color="auto"/>
      </w:divBdr>
    </w:div>
    <w:div w:id="1387485143">
      <w:bodyDiv w:val="1"/>
      <w:marLeft w:val="0"/>
      <w:marRight w:val="0"/>
      <w:marTop w:val="0"/>
      <w:marBottom w:val="0"/>
      <w:divBdr>
        <w:top w:val="none" w:sz="0" w:space="0" w:color="auto"/>
        <w:left w:val="none" w:sz="0" w:space="0" w:color="auto"/>
        <w:bottom w:val="none" w:sz="0" w:space="0" w:color="auto"/>
        <w:right w:val="none" w:sz="0" w:space="0" w:color="auto"/>
      </w:divBdr>
    </w:div>
    <w:div w:id="1471823445">
      <w:bodyDiv w:val="1"/>
      <w:marLeft w:val="0"/>
      <w:marRight w:val="0"/>
      <w:marTop w:val="0"/>
      <w:marBottom w:val="0"/>
      <w:divBdr>
        <w:top w:val="none" w:sz="0" w:space="0" w:color="auto"/>
        <w:left w:val="none" w:sz="0" w:space="0" w:color="auto"/>
        <w:bottom w:val="none" w:sz="0" w:space="0" w:color="auto"/>
        <w:right w:val="none" w:sz="0" w:space="0" w:color="auto"/>
      </w:divBdr>
    </w:div>
    <w:div w:id="1496072540">
      <w:bodyDiv w:val="1"/>
      <w:marLeft w:val="0"/>
      <w:marRight w:val="0"/>
      <w:marTop w:val="0"/>
      <w:marBottom w:val="0"/>
      <w:divBdr>
        <w:top w:val="none" w:sz="0" w:space="0" w:color="auto"/>
        <w:left w:val="none" w:sz="0" w:space="0" w:color="auto"/>
        <w:bottom w:val="none" w:sz="0" w:space="0" w:color="auto"/>
        <w:right w:val="none" w:sz="0" w:space="0" w:color="auto"/>
      </w:divBdr>
    </w:div>
    <w:div w:id="1539657671">
      <w:bodyDiv w:val="1"/>
      <w:marLeft w:val="0"/>
      <w:marRight w:val="0"/>
      <w:marTop w:val="0"/>
      <w:marBottom w:val="0"/>
      <w:divBdr>
        <w:top w:val="none" w:sz="0" w:space="0" w:color="auto"/>
        <w:left w:val="none" w:sz="0" w:space="0" w:color="auto"/>
        <w:bottom w:val="none" w:sz="0" w:space="0" w:color="auto"/>
        <w:right w:val="none" w:sz="0" w:space="0" w:color="auto"/>
      </w:divBdr>
    </w:div>
    <w:div w:id="1592006694">
      <w:bodyDiv w:val="1"/>
      <w:marLeft w:val="0"/>
      <w:marRight w:val="0"/>
      <w:marTop w:val="0"/>
      <w:marBottom w:val="0"/>
      <w:divBdr>
        <w:top w:val="none" w:sz="0" w:space="0" w:color="auto"/>
        <w:left w:val="none" w:sz="0" w:space="0" w:color="auto"/>
        <w:bottom w:val="none" w:sz="0" w:space="0" w:color="auto"/>
        <w:right w:val="none" w:sz="0" w:space="0" w:color="auto"/>
      </w:divBdr>
    </w:div>
    <w:div w:id="1696075741">
      <w:bodyDiv w:val="1"/>
      <w:marLeft w:val="0"/>
      <w:marRight w:val="0"/>
      <w:marTop w:val="0"/>
      <w:marBottom w:val="0"/>
      <w:divBdr>
        <w:top w:val="none" w:sz="0" w:space="0" w:color="auto"/>
        <w:left w:val="none" w:sz="0" w:space="0" w:color="auto"/>
        <w:bottom w:val="none" w:sz="0" w:space="0" w:color="auto"/>
        <w:right w:val="none" w:sz="0" w:space="0" w:color="auto"/>
      </w:divBdr>
    </w:div>
    <w:div w:id="1727993215">
      <w:bodyDiv w:val="1"/>
      <w:marLeft w:val="0"/>
      <w:marRight w:val="0"/>
      <w:marTop w:val="0"/>
      <w:marBottom w:val="0"/>
      <w:divBdr>
        <w:top w:val="none" w:sz="0" w:space="0" w:color="auto"/>
        <w:left w:val="none" w:sz="0" w:space="0" w:color="auto"/>
        <w:bottom w:val="none" w:sz="0" w:space="0" w:color="auto"/>
        <w:right w:val="none" w:sz="0" w:space="0" w:color="auto"/>
      </w:divBdr>
    </w:div>
    <w:div w:id="1815642015">
      <w:bodyDiv w:val="1"/>
      <w:marLeft w:val="0"/>
      <w:marRight w:val="0"/>
      <w:marTop w:val="0"/>
      <w:marBottom w:val="0"/>
      <w:divBdr>
        <w:top w:val="none" w:sz="0" w:space="0" w:color="auto"/>
        <w:left w:val="none" w:sz="0" w:space="0" w:color="auto"/>
        <w:bottom w:val="none" w:sz="0" w:space="0" w:color="auto"/>
        <w:right w:val="none" w:sz="0" w:space="0" w:color="auto"/>
      </w:divBdr>
    </w:div>
    <w:div w:id="1865902685">
      <w:bodyDiv w:val="1"/>
      <w:marLeft w:val="0"/>
      <w:marRight w:val="0"/>
      <w:marTop w:val="0"/>
      <w:marBottom w:val="0"/>
      <w:divBdr>
        <w:top w:val="none" w:sz="0" w:space="0" w:color="auto"/>
        <w:left w:val="none" w:sz="0" w:space="0" w:color="auto"/>
        <w:bottom w:val="none" w:sz="0" w:space="0" w:color="auto"/>
        <w:right w:val="none" w:sz="0" w:space="0" w:color="auto"/>
      </w:divBdr>
    </w:div>
    <w:div w:id="1901330637">
      <w:bodyDiv w:val="1"/>
      <w:marLeft w:val="0"/>
      <w:marRight w:val="0"/>
      <w:marTop w:val="0"/>
      <w:marBottom w:val="0"/>
      <w:divBdr>
        <w:top w:val="none" w:sz="0" w:space="0" w:color="auto"/>
        <w:left w:val="none" w:sz="0" w:space="0" w:color="auto"/>
        <w:bottom w:val="none" w:sz="0" w:space="0" w:color="auto"/>
        <w:right w:val="none" w:sz="0" w:space="0" w:color="auto"/>
      </w:divBdr>
    </w:div>
    <w:div w:id="1922713277">
      <w:bodyDiv w:val="1"/>
      <w:marLeft w:val="0"/>
      <w:marRight w:val="0"/>
      <w:marTop w:val="0"/>
      <w:marBottom w:val="0"/>
      <w:divBdr>
        <w:top w:val="none" w:sz="0" w:space="0" w:color="auto"/>
        <w:left w:val="none" w:sz="0" w:space="0" w:color="auto"/>
        <w:bottom w:val="none" w:sz="0" w:space="0" w:color="auto"/>
        <w:right w:val="none" w:sz="0" w:space="0" w:color="auto"/>
      </w:divBdr>
    </w:div>
    <w:div w:id="1955597879">
      <w:bodyDiv w:val="1"/>
      <w:marLeft w:val="0"/>
      <w:marRight w:val="0"/>
      <w:marTop w:val="0"/>
      <w:marBottom w:val="0"/>
      <w:divBdr>
        <w:top w:val="none" w:sz="0" w:space="0" w:color="auto"/>
        <w:left w:val="none" w:sz="0" w:space="0" w:color="auto"/>
        <w:bottom w:val="none" w:sz="0" w:space="0" w:color="auto"/>
        <w:right w:val="none" w:sz="0" w:space="0" w:color="auto"/>
      </w:divBdr>
    </w:div>
    <w:div w:id="1960717703">
      <w:bodyDiv w:val="1"/>
      <w:marLeft w:val="0"/>
      <w:marRight w:val="0"/>
      <w:marTop w:val="0"/>
      <w:marBottom w:val="0"/>
      <w:divBdr>
        <w:top w:val="none" w:sz="0" w:space="0" w:color="auto"/>
        <w:left w:val="none" w:sz="0" w:space="0" w:color="auto"/>
        <w:bottom w:val="none" w:sz="0" w:space="0" w:color="auto"/>
        <w:right w:val="none" w:sz="0" w:space="0" w:color="auto"/>
      </w:divBdr>
    </w:div>
    <w:div w:id="198627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11.bin"/></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9.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b="1">
                <a:effectLst/>
              </a:rPr>
              <a:t>Percentage of staff in AfC paybands (All Staff)</a:t>
            </a:r>
          </a:p>
        </c:rich>
      </c:tx>
      <c:layout>
        <c:manualLayout>
          <c:xMode val="edge"/>
          <c:yMode val="edge"/>
          <c:x val="0.1802648921602191"/>
          <c:y val="1.2048192771084338E-2"/>
        </c:manualLayout>
      </c:layout>
      <c:overlay val="0"/>
    </c:title>
    <c:autoTitleDeleted val="0"/>
    <c:plotArea>
      <c:layout>
        <c:manualLayout>
          <c:layoutTarget val="inner"/>
          <c:xMode val="edge"/>
          <c:yMode val="edge"/>
          <c:x val="0.11935568892058289"/>
          <c:y val="0.10252818605295247"/>
          <c:w val="0.85600998147602991"/>
          <c:h val="0.81098784855117345"/>
        </c:manualLayout>
      </c:layout>
      <c:barChart>
        <c:barDir val="bar"/>
        <c:grouping val="percentStacked"/>
        <c:varyColors val="0"/>
        <c:ser>
          <c:idx val="0"/>
          <c:order val="0"/>
          <c:tx>
            <c:strRef>
              <c:f>'[WDES 2020.xlsx]Metric 1'!$F$88</c:f>
              <c:strCache>
                <c:ptCount val="1"/>
                <c:pt idx="0">
                  <c:v>DISABLED</c:v>
                </c:pt>
              </c:strCache>
            </c:strRef>
          </c:tx>
          <c:invertIfNegative val="0"/>
          <c:cat>
            <c:strRef>
              <c:f>'[WDES 2020.xlsx]Metric 1'!$A$89:$A$106</c:f>
              <c:strCache>
                <c:ptCount val="18"/>
                <c:pt idx="0">
                  <c:v>Under Band 1</c:v>
                </c:pt>
                <c:pt idx="1">
                  <c:v>Band 1</c:v>
                </c:pt>
                <c:pt idx="2">
                  <c:v>Band 2</c:v>
                </c:pt>
                <c:pt idx="3">
                  <c:v>Band 3</c:v>
                </c:pt>
                <c:pt idx="4">
                  <c:v>Band 4</c:v>
                </c:pt>
                <c:pt idx="5">
                  <c:v>Band 5</c:v>
                </c:pt>
                <c:pt idx="6">
                  <c:v>Band 6</c:v>
                </c:pt>
                <c:pt idx="7">
                  <c:v>Band 7</c:v>
                </c:pt>
                <c:pt idx="8">
                  <c:v>Band 8A</c:v>
                </c:pt>
                <c:pt idx="9">
                  <c:v>Band 8B</c:v>
                </c:pt>
                <c:pt idx="10">
                  <c:v>Band 8C</c:v>
                </c:pt>
                <c:pt idx="11">
                  <c:v>Band 8D</c:v>
                </c:pt>
                <c:pt idx="12">
                  <c:v>Band 9</c:v>
                </c:pt>
                <c:pt idx="13">
                  <c:v>VSM</c:v>
                </c:pt>
                <c:pt idx="14">
                  <c:v>Consultant</c:v>
                </c:pt>
                <c:pt idx="15">
                  <c:v>Non-Consultant</c:v>
                </c:pt>
                <c:pt idx="16">
                  <c:v>Trainee Grade</c:v>
                </c:pt>
                <c:pt idx="17">
                  <c:v>Other</c:v>
                </c:pt>
              </c:strCache>
            </c:strRef>
          </c:cat>
          <c:val>
            <c:numRef>
              <c:f>'[WDES 2020.xlsx]Metric 1'!$F$89:$F$106</c:f>
              <c:numCache>
                <c:formatCode>0.00%</c:formatCode>
                <c:ptCount val="18"/>
                <c:pt idx="0">
                  <c:v>0</c:v>
                </c:pt>
                <c:pt idx="1">
                  <c:v>0</c:v>
                </c:pt>
                <c:pt idx="2">
                  <c:v>3.6063884595569293E-2</c:v>
                </c:pt>
                <c:pt idx="3">
                  <c:v>4.4685990338164248E-2</c:v>
                </c:pt>
                <c:pt idx="4">
                  <c:v>3.8167938931297711E-2</c:v>
                </c:pt>
                <c:pt idx="5">
                  <c:v>3.6303630363036306E-2</c:v>
                </c:pt>
                <c:pt idx="6">
                  <c:v>4.5176110260336903E-2</c:v>
                </c:pt>
                <c:pt idx="7">
                  <c:v>3.3296337402885685E-2</c:v>
                </c:pt>
                <c:pt idx="8">
                  <c:v>3.3333333333333333E-2</c:v>
                </c:pt>
                <c:pt idx="9">
                  <c:v>2.564102564102564E-2</c:v>
                </c:pt>
                <c:pt idx="10">
                  <c:v>0</c:v>
                </c:pt>
                <c:pt idx="11">
                  <c:v>0</c:v>
                </c:pt>
                <c:pt idx="12">
                  <c:v>0</c:v>
                </c:pt>
                <c:pt idx="13">
                  <c:v>4.1666666666666664E-2</c:v>
                </c:pt>
                <c:pt idx="14">
                  <c:v>1.0940919037199124E-2</c:v>
                </c:pt>
                <c:pt idx="15">
                  <c:v>2.7777777777777776E-2</c:v>
                </c:pt>
                <c:pt idx="16">
                  <c:v>2.1505376344086021E-3</c:v>
                </c:pt>
                <c:pt idx="17">
                  <c:v>0</c:v>
                </c:pt>
              </c:numCache>
            </c:numRef>
          </c:val>
          <c:extLst>
            <c:ext xmlns:c16="http://schemas.microsoft.com/office/drawing/2014/chart" uri="{C3380CC4-5D6E-409C-BE32-E72D297353CC}">
              <c16:uniqueId val="{00000000-B8B2-44A4-83C7-8BDE19B24AED}"/>
            </c:ext>
          </c:extLst>
        </c:ser>
        <c:ser>
          <c:idx val="1"/>
          <c:order val="1"/>
          <c:tx>
            <c:strRef>
              <c:f>'[WDES 2020.xlsx]Metric 1'!$G$88</c:f>
              <c:strCache>
                <c:ptCount val="1"/>
                <c:pt idx="0">
                  <c:v>NON-DISABLED</c:v>
                </c:pt>
              </c:strCache>
            </c:strRef>
          </c:tx>
          <c:invertIfNegative val="0"/>
          <c:cat>
            <c:strRef>
              <c:f>'[WDES 2020.xlsx]Metric 1'!$A$89:$A$106</c:f>
              <c:strCache>
                <c:ptCount val="18"/>
                <c:pt idx="0">
                  <c:v>Under Band 1</c:v>
                </c:pt>
                <c:pt idx="1">
                  <c:v>Band 1</c:v>
                </c:pt>
                <c:pt idx="2">
                  <c:v>Band 2</c:v>
                </c:pt>
                <c:pt idx="3">
                  <c:v>Band 3</c:v>
                </c:pt>
                <c:pt idx="4">
                  <c:v>Band 4</c:v>
                </c:pt>
                <c:pt idx="5">
                  <c:v>Band 5</c:v>
                </c:pt>
                <c:pt idx="6">
                  <c:v>Band 6</c:v>
                </c:pt>
                <c:pt idx="7">
                  <c:v>Band 7</c:v>
                </c:pt>
                <c:pt idx="8">
                  <c:v>Band 8A</c:v>
                </c:pt>
                <c:pt idx="9">
                  <c:v>Band 8B</c:v>
                </c:pt>
                <c:pt idx="10">
                  <c:v>Band 8C</c:v>
                </c:pt>
                <c:pt idx="11">
                  <c:v>Band 8D</c:v>
                </c:pt>
                <c:pt idx="12">
                  <c:v>Band 9</c:v>
                </c:pt>
                <c:pt idx="13">
                  <c:v>VSM</c:v>
                </c:pt>
                <c:pt idx="14">
                  <c:v>Consultant</c:v>
                </c:pt>
                <c:pt idx="15">
                  <c:v>Non-Consultant</c:v>
                </c:pt>
                <c:pt idx="16">
                  <c:v>Trainee Grade</c:v>
                </c:pt>
                <c:pt idx="17">
                  <c:v>Other</c:v>
                </c:pt>
              </c:strCache>
            </c:strRef>
          </c:cat>
          <c:val>
            <c:numRef>
              <c:f>'[WDES 2020.xlsx]Metric 1'!$G$89:$G$106</c:f>
              <c:numCache>
                <c:formatCode>0.00%</c:formatCode>
                <c:ptCount val="18"/>
                <c:pt idx="0">
                  <c:v>0.26666666666666666</c:v>
                </c:pt>
                <c:pt idx="1">
                  <c:v>1</c:v>
                </c:pt>
                <c:pt idx="2">
                  <c:v>0.65327150953116953</c:v>
                </c:pt>
                <c:pt idx="3">
                  <c:v>0.70531400966183577</c:v>
                </c:pt>
                <c:pt idx="4">
                  <c:v>0.67328244274809157</c:v>
                </c:pt>
                <c:pt idx="5">
                  <c:v>0.65478547854785474</c:v>
                </c:pt>
                <c:pt idx="6">
                  <c:v>0.67687595712098014</c:v>
                </c:pt>
                <c:pt idx="7">
                  <c:v>0.66703662597114322</c:v>
                </c:pt>
                <c:pt idx="8">
                  <c:v>0.72857142857142854</c:v>
                </c:pt>
                <c:pt idx="9">
                  <c:v>0.6495726495726496</c:v>
                </c:pt>
                <c:pt idx="10">
                  <c:v>0.61538461538461542</c:v>
                </c:pt>
                <c:pt idx="11">
                  <c:v>0.60869565217391308</c:v>
                </c:pt>
                <c:pt idx="12">
                  <c:v>1</c:v>
                </c:pt>
                <c:pt idx="13">
                  <c:v>0.625</c:v>
                </c:pt>
                <c:pt idx="14">
                  <c:v>0.5448577680525164</c:v>
                </c:pt>
                <c:pt idx="15">
                  <c:v>0.48888888888888887</c:v>
                </c:pt>
                <c:pt idx="16">
                  <c:v>0.19569892473118281</c:v>
                </c:pt>
                <c:pt idx="17">
                  <c:v>1</c:v>
                </c:pt>
              </c:numCache>
            </c:numRef>
          </c:val>
          <c:extLst>
            <c:ext xmlns:c16="http://schemas.microsoft.com/office/drawing/2014/chart" uri="{C3380CC4-5D6E-409C-BE32-E72D297353CC}">
              <c16:uniqueId val="{00000001-B8B2-44A4-83C7-8BDE19B24AED}"/>
            </c:ext>
          </c:extLst>
        </c:ser>
        <c:ser>
          <c:idx val="2"/>
          <c:order val="2"/>
          <c:tx>
            <c:strRef>
              <c:f>'[WDES 2020.xlsx]Metric 1'!$H$88</c:f>
              <c:strCache>
                <c:ptCount val="1"/>
                <c:pt idx="0">
                  <c:v>DISABILITY UNKNOWN OR NULL</c:v>
                </c:pt>
              </c:strCache>
            </c:strRef>
          </c:tx>
          <c:invertIfNegative val="0"/>
          <c:cat>
            <c:strRef>
              <c:f>'[WDES 2020.xlsx]Metric 1'!$A$89:$A$106</c:f>
              <c:strCache>
                <c:ptCount val="18"/>
                <c:pt idx="0">
                  <c:v>Under Band 1</c:v>
                </c:pt>
                <c:pt idx="1">
                  <c:v>Band 1</c:v>
                </c:pt>
                <c:pt idx="2">
                  <c:v>Band 2</c:v>
                </c:pt>
                <c:pt idx="3">
                  <c:v>Band 3</c:v>
                </c:pt>
                <c:pt idx="4">
                  <c:v>Band 4</c:v>
                </c:pt>
                <c:pt idx="5">
                  <c:v>Band 5</c:v>
                </c:pt>
                <c:pt idx="6">
                  <c:v>Band 6</c:v>
                </c:pt>
                <c:pt idx="7">
                  <c:v>Band 7</c:v>
                </c:pt>
                <c:pt idx="8">
                  <c:v>Band 8A</c:v>
                </c:pt>
                <c:pt idx="9">
                  <c:v>Band 8B</c:v>
                </c:pt>
                <c:pt idx="10">
                  <c:v>Band 8C</c:v>
                </c:pt>
                <c:pt idx="11">
                  <c:v>Band 8D</c:v>
                </c:pt>
                <c:pt idx="12">
                  <c:v>Band 9</c:v>
                </c:pt>
                <c:pt idx="13">
                  <c:v>VSM</c:v>
                </c:pt>
                <c:pt idx="14">
                  <c:v>Consultant</c:v>
                </c:pt>
                <c:pt idx="15">
                  <c:v>Non-Consultant</c:v>
                </c:pt>
                <c:pt idx="16">
                  <c:v>Trainee Grade</c:v>
                </c:pt>
                <c:pt idx="17">
                  <c:v>Other</c:v>
                </c:pt>
              </c:strCache>
            </c:strRef>
          </c:cat>
          <c:val>
            <c:numRef>
              <c:f>'[WDES 2020.xlsx]Metric 1'!$H$89:$H$106</c:f>
              <c:numCache>
                <c:formatCode>0.00%</c:formatCode>
                <c:ptCount val="18"/>
                <c:pt idx="0">
                  <c:v>0.73333333333333328</c:v>
                </c:pt>
                <c:pt idx="1">
                  <c:v>0</c:v>
                </c:pt>
                <c:pt idx="2">
                  <c:v>0.31066460587326122</c:v>
                </c:pt>
                <c:pt idx="3">
                  <c:v>0.25</c:v>
                </c:pt>
                <c:pt idx="4">
                  <c:v>0.28854961832061071</c:v>
                </c:pt>
                <c:pt idx="5">
                  <c:v>0.30891089108910891</c:v>
                </c:pt>
                <c:pt idx="6">
                  <c:v>0.277947932618683</c:v>
                </c:pt>
                <c:pt idx="7">
                  <c:v>0.29966703662597116</c:v>
                </c:pt>
                <c:pt idx="8">
                  <c:v>0.23809523809523808</c:v>
                </c:pt>
                <c:pt idx="9">
                  <c:v>0.3247863247863248</c:v>
                </c:pt>
                <c:pt idx="10">
                  <c:v>0.38461538461538464</c:v>
                </c:pt>
                <c:pt idx="11">
                  <c:v>0.39130434782608697</c:v>
                </c:pt>
                <c:pt idx="12">
                  <c:v>0</c:v>
                </c:pt>
                <c:pt idx="13">
                  <c:v>0.33333333333333331</c:v>
                </c:pt>
                <c:pt idx="14">
                  <c:v>0.44420131291028447</c:v>
                </c:pt>
                <c:pt idx="15">
                  <c:v>0.48333333333333334</c:v>
                </c:pt>
                <c:pt idx="16">
                  <c:v>0.80215053763440858</c:v>
                </c:pt>
                <c:pt idx="17">
                  <c:v>2</c:v>
                </c:pt>
              </c:numCache>
            </c:numRef>
          </c:val>
          <c:extLst>
            <c:ext xmlns:c16="http://schemas.microsoft.com/office/drawing/2014/chart" uri="{C3380CC4-5D6E-409C-BE32-E72D297353CC}">
              <c16:uniqueId val="{00000002-B8B2-44A4-83C7-8BDE19B24AED}"/>
            </c:ext>
          </c:extLst>
        </c:ser>
        <c:dLbls>
          <c:showLegendKey val="0"/>
          <c:showVal val="0"/>
          <c:showCatName val="0"/>
          <c:showSerName val="0"/>
          <c:showPercent val="0"/>
          <c:showBubbleSize val="0"/>
        </c:dLbls>
        <c:gapWidth val="150"/>
        <c:overlap val="100"/>
        <c:axId val="256335872"/>
        <c:axId val="256337408"/>
      </c:barChart>
      <c:catAx>
        <c:axId val="256335872"/>
        <c:scaling>
          <c:orientation val="minMax"/>
        </c:scaling>
        <c:delete val="0"/>
        <c:axPos val="l"/>
        <c:numFmt formatCode="General" sourceLinked="0"/>
        <c:majorTickMark val="out"/>
        <c:minorTickMark val="none"/>
        <c:tickLblPos val="nextTo"/>
        <c:crossAx val="256337408"/>
        <c:crosses val="autoZero"/>
        <c:auto val="1"/>
        <c:lblAlgn val="ctr"/>
        <c:lblOffset val="100"/>
        <c:noMultiLvlLbl val="0"/>
      </c:catAx>
      <c:valAx>
        <c:axId val="256337408"/>
        <c:scaling>
          <c:orientation val="minMax"/>
        </c:scaling>
        <c:delete val="0"/>
        <c:axPos val="b"/>
        <c:majorGridlines/>
        <c:numFmt formatCode="0%" sourceLinked="1"/>
        <c:majorTickMark val="out"/>
        <c:minorTickMark val="none"/>
        <c:tickLblPos val="nextTo"/>
        <c:crossAx val="256335872"/>
        <c:crosses val="autoZero"/>
        <c:crossBetween val="between"/>
      </c:valAx>
    </c:plotArea>
    <c:legend>
      <c:legendPos val="r"/>
      <c:layout>
        <c:manualLayout>
          <c:xMode val="edge"/>
          <c:yMode val="edge"/>
          <c:x val="0.26840507942287567"/>
          <c:y val="0.43133232114458597"/>
          <c:w val="0.38850047790268993"/>
          <c:h val="0.14972460339009347"/>
        </c:manualLayout>
      </c:layout>
      <c:overlay val="0"/>
      <c:spPr>
        <a:solidFill>
          <a:sysClr val="window" lastClr="FFFFFF"/>
        </a:solidFill>
        <a:ln>
          <a:solidFill>
            <a:sysClr val="windowText" lastClr="000000"/>
          </a:solidFill>
        </a:ln>
      </c:sp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staff satisfied their organisation values their work.</a:t>
            </a:r>
          </a:p>
        </c:rich>
      </c:tx>
      <c:overlay val="0"/>
    </c:title>
    <c:autoTitleDeleted val="0"/>
    <c:plotArea>
      <c:layout/>
      <c:lineChart>
        <c:grouping val="standard"/>
        <c:varyColors val="0"/>
        <c:ser>
          <c:idx val="0"/>
          <c:order val="0"/>
          <c:tx>
            <c:strRef>
              <c:f>'[WDES 2020.xlsx]Metric 7'!$A$5</c:f>
              <c:strCache>
                <c:ptCount val="1"/>
                <c:pt idx="0">
                  <c:v>Disabled staff: EKHUFT</c:v>
                </c:pt>
              </c:strCache>
            </c:strRef>
          </c:tx>
          <c:spPr>
            <a:ln w="38100">
              <a:solidFill>
                <a:schemeClr val="accent1">
                  <a:lumMod val="75000"/>
                </a:schemeClr>
              </a:solidFill>
            </a:ln>
          </c:spPr>
          <c:marker>
            <c:symbol val="none"/>
          </c:marker>
          <c:cat>
            <c:numRef>
              <c:f>'[WDES 2020.xlsx]Metric 7'!$B$4:$C$4</c:f>
              <c:numCache>
                <c:formatCode>General</c:formatCode>
                <c:ptCount val="2"/>
                <c:pt idx="0">
                  <c:v>2018</c:v>
                </c:pt>
                <c:pt idx="1">
                  <c:v>2019</c:v>
                </c:pt>
              </c:numCache>
            </c:numRef>
          </c:cat>
          <c:val>
            <c:numRef>
              <c:f>'[WDES 2020.xlsx]Metric 7'!$B$5:$C$5</c:f>
              <c:numCache>
                <c:formatCode>0.0%</c:formatCode>
                <c:ptCount val="2"/>
                <c:pt idx="0">
                  <c:v>0.27</c:v>
                </c:pt>
                <c:pt idx="1">
                  <c:v>0.34499999999999997</c:v>
                </c:pt>
              </c:numCache>
            </c:numRef>
          </c:val>
          <c:smooth val="0"/>
          <c:extLst>
            <c:ext xmlns:c16="http://schemas.microsoft.com/office/drawing/2014/chart" uri="{C3380CC4-5D6E-409C-BE32-E72D297353CC}">
              <c16:uniqueId val="{00000000-3BFF-4DEC-A563-F556F464719F}"/>
            </c:ext>
          </c:extLst>
        </c:ser>
        <c:ser>
          <c:idx val="1"/>
          <c:order val="1"/>
          <c:tx>
            <c:strRef>
              <c:f>'[WDES 2020.xlsx]Metric 7'!$A$6</c:f>
              <c:strCache>
                <c:ptCount val="1"/>
                <c:pt idx="0">
                  <c:v>Non-disabled staff: EKHUFT</c:v>
                </c:pt>
              </c:strCache>
            </c:strRef>
          </c:tx>
          <c:spPr>
            <a:ln w="38100">
              <a:solidFill>
                <a:schemeClr val="accent1">
                  <a:lumMod val="60000"/>
                  <a:lumOff val="40000"/>
                </a:schemeClr>
              </a:solidFill>
              <a:prstDash val="sysDash"/>
            </a:ln>
          </c:spPr>
          <c:marker>
            <c:symbol val="none"/>
          </c:marker>
          <c:cat>
            <c:numRef>
              <c:f>'[WDES 2020.xlsx]Metric 7'!$B$4:$C$4</c:f>
              <c:numCache>
                <c:formatCode>General</c:formatCode>
                <c:ptCount val="2"/>
                <c:pt idx="0">
                  <c:v>2018</c:v>
                </c:pt>
                <c:pt idx="1">
                  <c:v>2019</c:v>
                </c:pt>
              </c:numCache>
            </c:numRef>
          </c:cat>
          <c:val>
            <c:numRef>
              <c:f>'[WDES 2020.xlsx]Metric 7'!$B$6:$C$6</c:f>
              <c:numCache>
                <c:formatCode>0.0%</c:formatCode>
                <c:ptCount val="2"/>
                <c:pt idx="0">
                  <c:v>0.38400000000000001</c:v>
                </c:pt>
                <c:pt idx="1">
                  <c:v>0.43099999999999999</c:v>
                </c:pt>
              </c:numCache>
            </c:numRef>
          </c:val>
          <c:smooth val="0"/>
          <c:extLst>
            <c:ext xmlns:c16="http://schemas.microsoft.com/office/drawing/2014/chart" uri="{C3380CC4-5D6E-409C-BE32-E72D297353CC}">
              <c16:uniqueId val="{00000001-3BFF-4DEC-A563-F556F464719F}"/>
            </c:ext>
          </c:extLst>
        </c:ser>
        <c:ser>
          <c:idx val="2"/>
          <c:order val="2"/>
          <c:tx>
            <c:strRef>
              <c:f>'[WDES 2020.xlsx]Metric 7'!$A$7</c:f>
              <c:strCache>
                <c:ptCount val="1"/>
                <c:pt idx="0">
                  <c:v>Disabled staff: Benchmark</c:v>
                </c:pt>
              </c:strCache>
            </c:strRef>
          </c:tx>
          <c:spPr>
            <a:ln w="38100">
              <a:solidFill>
                <a:schemeClr val="accent2">
                  <a:lumMod val="75000"/>
                </a:schemeClr>
              </a:solidFill>
            </a:ln>
          </c:spPr>
          <c:marker>
            <c:symbol val="none"/>
          </c:marker>
          <c:cat>
            <c:numRef>
              <c:f>'[WDES 2020.xlsx]Metric 7'!$B$4:$C$4</c:f>
              <c:numCache>
                <c:formatCode>General</c:formatCode>
                <c:ptCount val="2"/>
                <c:pt idx="0">
                  <c:v>2018</c:v>
                </c:pt>
                <c:pt idx="1">
                  <c:v>2019</c:v>
                </c:pt>
              </c:numCache>
            </c:numRef>
          </c:cat>
          <c:val>
            <c:numRef>
              <c:f>'[WDES 2020.xlsx]Metric 7'!$B$7:$C$7</c:f>
              <c:numCache>
                <c:formatCode>0.0%</c:formatCode>
                <c:ptCount val="2"/>
                <c:pt idx="0">
                  <c:v>0.36299999999999999</c:v>
                </c:pt>
                <c:pt idx="1">
                  <c:v>0.374</c:v>
                </c:pt>
              </c:numCache>
            </c:numRef>
          </c:val>
          <c:smooth val="0"/>
          <c:extLst>
            <c:ext xmlns:c16="http://schemas.microsoft.com/office/drawing/2014/chart" uri="{C3380CC4-5D6E-409C-BE32-E72D297353CC}">
              <c16:uniqueId val="{00000002-3BFF-4DEC-A563-F556F464719F}"/>
            </c:ext>
          </c:extLst>
        </c:ser>
        <c:ser>
          <c:idx val="3"/>
          <c:order val="3"/>
          <c:tx>
            <c:strRef>
              <c:f>'[WDES 2020.xlsx]Metric 7'!$A$8</c:f>
              <c:strCache>
                <c:ptCount val="1"/>
                <c:pt idx="0">
                  <c:v>Non-disabled staff: Benchmark</c:v>
                </c:pt>
              </c:strCache>
            </c:strRef>
          </c:tx>
          <c:spPr>
            <a:ln w="38100">
              <a:solidFill>
                <a:schemeClr val="accent2">
                  <a:lumMod val="60000"/>
                  <a:lumOff val="40000"/>
                </a:schemeClr>
              </a:solidFill>
              <a:prstDash val="sysDash"/>
            </a:ln>
          </c:spPr>
          <c:marker>
            <c:symbol val="none"/>
          </c:marker>
          <c:cat>
            <c:numRef>
              <c:f>'[WDES 2020.xlsx]Metric 7'!$B$4:$C$4</c:f>
              <c:numCache>
                <c:formatCode>General</c:formatCode>
                <c:ptCount val="2"/>
                <c:pt idx="0">
                  <c:v>2018</c:v>
                </c:pt>
                <c:pt idx="1">
                  <c:v>2019</c:v>
                </c:pt>
              </c:numCache>
            </c:numRef>
          </c:cat>
          <c:val>
            <c:numRef>
              <c:f>'[WDES 2020.xlsx]Metric 7'!$B$8:$C$8</c:f>
              <c:numCache>
                <c:formatCode>0.0%</c:formatCode>
                <c:ptCount val="2"/>
                <c:pt idx="0">
                  <c:v>0.47599999999999998</c:v>
                </c:pt>
                <c:pt idx="1">
                  <c:v>0.495</c:v>
                </c:pt>
              </c:numCache>
            </c:numRef>
          </c:val>
          <c:smooth val="0"/>
          <c:extLst>
            <c:ext xmlns:c16="http://schemas.microsoft.com/office/drawing/2014/chart" uri="{C3380CC4-5D6E-409C-BE32-E72D297353CC}">
              <c16:uniqueId val="{00000003-3BFF-4DEC-A563-F556F464719F}"/>
            </c:ext>
          </c:extLst>
        </c:ser>
        <c:dLbls>
          <c:showLegendKey val="0"/>
          <c:showVal val="0"/>
          <c:showCatName val="0"/>
          <c:showSerName val="0"/>
          <c:showPercent val="0"/>
          <c:showBubbleSize val="0"/>
        </c:dLbls>
        <c:smooth val="0"/>
        <c:axId val="27407488"/>
        <c:axId val="27409024"/>
      </c:lineChart>
      <c:catAx>
        <c:axId val="27407488"/>
        <c:scaling>
          <c:orientation val="minMax"/>
        </c:scaling>
        <c:delete val="0"/>
        <c:axPos val="b"/>
        <c:numFmt formatCode="General" sourceLinked="1"/>
        <c:majorTickMark val="out"/>
        <c:minorTickMark val="none"/>
        <c:tickLblPos val="nextTo"/>
        <c:crossAx val="27409024"/>
        <c:crosses val="autoZero"/>
        <c:auto val="1"/>
        <c:lblAlgn val="ctr"/>
        <c:lblOffset val="100"/>
        <c:noMultiLvlLbl val="0"/>
      </c:catAx>
      <c:valAx>
        <c:axId val="27409024"/>
        <c:scaling>
          <c:orientation val="minMax"/>
          <c:min val="0.2"/>
        </c:scaling>
        <c:delete val="0"/>
        <c:axPos val="l"/>
        <c:majorGridlines/>
        <c:numFmt formatCode="0.0%" sourceLinked="1"/>
        <c:majorTickMark val="out"/>
        <c:minorTickMark val="none"/>
        <c:tickLblPos val="nextTo"/>
        <c:crossAx val="27407488"/>
        <c:crosses val="autoZero"/>
        <c:crossBetween val="between"/>
      </c:valAx>
      <c:dTable>
        <c:showHorzBorder val="1"/>
        <c:showVertBorder val="1"/>
        <c:showOutline val="1"/>
        <c:showKeys val="1"/>
      </c:dTable>
    </c:plotArea>
    <c:plotVisOnly val="1"/>
    <c:dispBlanksAs val="gap"/>
    <c:showDLblsOverMax val="0"/>
  </c:chart>
  <c:spPr>
    <a:solidFill>
      <a:schemeClr val="bg1"/>
    </a:solid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 staff saying that their employer has made reasonable adjustment(s)</a:t>
            </a:r>
          </a:p>
        </c:rich>
      </c:tx>
      <c:overlay val="0"/>
    </c:title>
    <c:autoTitleDeleted val="0"/>
    <c:plotArea>
      <c:layout/>
      <c:lineChart>
        <c:grouping val="standard"/>
        <c:varyColors val="0"/>
        <c:ser>
          <c:idx val="0"/>
          <c:order val="0"/>
          <c:tx>
            <c:strRef>
              <c:f>'[WDES 2020.xlsx]Metric 8'!$A$5</c:f>
              <c:strCache>
                <c:ptCount val="1"/>
                <c:pt idx="0">
                  <c:v>Disabled staff: EKHUFT</c:v>
                </c:pt>
              </c:strCache>
            </c:strRef>
          </c:tx>
          <c:spPr>
            <a:ln w="38100">
              <a:solidFill>
                <a:schemeClr val="accent1">
                  <a:lumMod val="75000"/>
                </a:schemeClr>
              </a:solidFill>
            </a:ln>
          </c:spPr>
          <c:marker>
            <c:symbol val="none"/>
          </c:marker>
          <c:cat>
            <c:numRef>
              <c:f>'[WDES 2020.xlsx]Metric 8'!$B$4:$C$4</c:f>
              <c:numCache>
                <c:formatCode>General</c:formatCode>
                <c:ptCount val="2"/>
                <c:pt idx="0">
                  <c:v>2018</c:v>
                </c:pt>
                <c:pt idx="1">
                  <c:v>2019</c:v>
                </c:pt>
              </c:numCache>
            </c:numRef>
          </c:cat>
          <c:val>
            <c:numRef>
              <c:f>'[WDES 2020.xlsx]Metric 8'!$B$5:$C$5</c:f>
              <c:numCache>
                <c:formatCode>0.0%</c:formatCode>
                <c:ptCount val="2"/>
                <c:pt idx="0">
                  <c:v>0.64800000000000002</c:v>
                </c:pt>
                <c:pt idx="1">
                  <c:v>0.74</c:v>
                </c:pt>
              </c:numCache>
            </c:numRef>
          </c:val>
          <c:smooth val="0"/>
          <c:extLst>
            <c:ext xmlns:c16="http://schemas.microsoft.com/office/drawing/2014/chart" uri="{C3380CC4-5D6E-409C-BE32-E72D297353CC}">
              <c16:uniqueId val="{00000000-50CF-4D65-A792-64D93BC3BC79}"/>
            </c:ext>
          </c:extLst>
        </c:ser>
        <c:ser>
          <c:idx val="1"/>
          <c:order val="1"/>
          <c:tx>
            <c:strRef>
              <c:f>'[WDES 2020.xlsx]Metric 8'!$A$6</c:f>
              <c:strCache>
                <c:ptCount val="1"/>
                <c:pt idx="0">
                  <c:v>Disabled staff: Benchmark</c:v>
                </c:pt>
              </c:strCache>
            </c:strRef>
          </c:tx>
          <c:spPr>
            <a:ln w="38100">
              <a:solidFill>
                <a:schemeClr val="accent2">
                  <a:lumMod val="75000"/>
                </a:schemeClr>
              </a:solidFill>
            </a:ln>
          </c:spPr>
          <c:marker>
            <c:symbol val="none"/>
          </c:marker>
          <c:cat>
            <c:numRef>
              <c:f>'[WDES 2020.xlsx]Metric 8'!$B$4:$C$4</c:f>
              <c:numCache>
                <c:formatCode>General</c:formatCode>
                <c:ptCount val="2"/>
                <c:pt idx="0">
                  <c:v>2018</c:v>
                </c:pt>
                <c:pt idx="1">
                  <c:v>2019</c:v>
                </c:pt>
              </c:numCache>
            </c:numRef>
          </c:cat>
          <c:val>
            <c:numRef>
              <c:f>'[WDES 2020.xlsx]Metric 8'!$B$6:$C$6</c:f>
              <c:numCache>
                <c:formatCode>0.0%</c:formatCode>
                <c:ptCount val="2"/>
                <c:pt idx="0">
                  <c:v>0.72099999999999997</c:v>
                </c:pt>
                <c:pt idx="1">
                  <c:v>0.73299999999999998</c:v>
                </c:pt>
              </c:numCache>
            </c:numRef>
          </c:val>
          <c:smooth val="0"/>
          <c:extLst>
            <c:ext xmlns:c16="http://schemas.microsoft.com/office/drawing/2014/chart" uri="{C3380CC4-5D6E-409C-BE32-E72D297353CC}">
              <c16:uniqueId val="{00000001-50CF-4D65-A792-64D93BC3BC79}"/>
            </c:ext>
          </c:extLst>
        </c:ser>
        <c:dLbls>
          <c:showLegendKey val="0"/>
          <c:showVal val="0"/>
          <c:showCatName val="0"/>
          <c:showSerName val="0"/>
          <c:showPercent val="0"/>
          <c:showBubbleSize val="0"/>
        </c:dLbls>
        <c:smooth val="0"/>
        <c:axId val="183626368"/>
        <c:axId val="187568512"/>
      </c:lineChart>
      <c:catAx>
        <c:axId val="183626368"/>
        <c:scaling>
          <c:orientation val="minMax"/>
        </c:scaling>
        <c:delete val="0"/>
        <c:axPos val="b"/>
        <c:numFmt formatCode="General" sourceLinked="1"/>
        <c:majorTickMark val="out"/>
        <c:minorTickMark val="none"/>
        <c:tickLblPos val="nextTo"/>
        <c:crossAx val="187568512"/>
        <c:crosses val="autoZero"/>
        <c:auto val="1"/>
        <c:lblAlgn val="ctr"/>
        <c:lblOffset val="100"/>
        <c:noMultiLvlLbl val="0"/>
      </c:catAx>
      <c:valAx>
        <c:axId val="187568512"/>
        <c:scaling>
          <c:orientation val="minMax"/>
        </c:scaling>
        <c:delete val="0"/>
        <c:axPos val="l"/>
        <c:majorGridlines/>
        <c:numFmt formatCode="0.0%" sourceLinked="1"/>
        <c:majorTickMark val="out"/>
        <c:minorTickMark val="none"/>
        <c:tickLblPos val="nextTo"/>
        <c:crossAx val="183626368"/>
        <c:crosses val="autoZero"/>
        <c:crossBetween val="between"/>
      </c:valAx>
      <c:dTable>
        <c:showHorzBorder val="1"/>
        <c:showVertBorder val="1"/>
        <c:showOutline val="1"/>
        <c:showKeys val="1"/>
      </c:dTable>
    </c:plotArea>
    <c:plotVisOnly val="1"/>
    <c:dispBlanksAs val="gap"/>
    <c:showDLblsOverMax val="0"/>
  </c:chart>
  <c:spPr>
    <a:solidFill>
      <a:schemeClr val="bg1"/>
    </a:soli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Staff Engagement Score</a:t>
            </a:r>
          </a:p>
        </c:rich>
      </c:tx>
      <c:overlay val="0"/>
    </c:title>
    <c:autoTitleDeleted val="0"/>
    <c:plotArea>
      <c:layout>
        <c:manualLayout>
          <c:layoutTarget val="inner"/>
          <c:xMode val="edge"/>
          <c:yMode val="edge"/>
          <c:x val="0.3698353997885096"/>
          <c:y val="0.19480351414406533"/>
          <c:w val="0.4851244718005755"/>
          <c:h val="0.36583041703120445"/>
        </c:manualLayout>
      </c:layout>
      <c:lineChart>
        <c:grouping val="standard"/>
        <c:varyColors val="0"/>
        <c:ser>
          <c:idx val="0"/>
          <c:order val="0"/>
          <c:tx>
            <c:strRef>
              <c:f>'[WDES 2020.xlsx]Metric 9'!$A$8</c:f>
              <c:strCache>
                <c:ptCount val="1"/>
                <c:pt idx="0">
                  <c:v>Disabled staff: EKHUFT</c:v>
                </c:pt>
              </c:strCache>
            </c:strRef>
          </c:tx>
          <c:spPr>
            <a:ln w="38100">
              <a:solidFill>
                <a:schemeClr val="accent1">
                  <a:lumMod val="75000"/>
                </a:schemeClr>
              </a:solidFill>
            </a:ln>
          </c:spPr>
          <c:marker>
            <c:symbol val="none"/>
          </c:marker>
          <c:cat>
            <c:numRef>
              <c:f>'[WDES 2020.xlsx]Metric 9'!$B$7:$C$7</c:f>
              <c:numCache>
                <c:formatCode>General</c:formatCode>
                <c:ptCount val="2"/>
                <c:pt idx="0">
                  <c:v>2018</c:v>
                </c:pt>
                <c:pt idx="1">
                  <c:v>2019</c:v>
                </c:pt>
              </c:numCache>
            </c:numRef>
          </c:cat>
          <c:val>
            <c:numRef>
              <c:f>'[WDES 2020.xlsx]Metric 9'!$B$8:$C$8</c:f>
              <c:numCache>
                <c:formatCode>0.0</c:formatCode>
                <c:ptCount val="2"/>
                <c:pt idx="0">
                  <c:v>6</c:v>
                </c:pt>
                <c:pt idx="1">
                  <c:v>6.4</c:v>
                </c:pt>
              </c:numCache>
            </c:numRef>
          </c:val>
          <c:smooth val="0"/>
          <c:extLst>
            <c:ext xmlns:c16="http://schemas.microsoft.com/office/drawing/2014/chart" uri="{C3380CC4-5D6E-409C-BE32-E72D297353CC}">
              <c16:uniqueId val="{00000000-4FA1-4270-9318-CD9395A57D7D}"/>
            </c:ext>
          </c:extLst>
        </c:ser>
        <c:ser>
          <c:idx val="1"/>
          <c:order val="1"/>
          <c:tx>
            <c:strRef>
              <c:f>'[WDES 2020.xlsx]Metric 9'!$A$9</c:f>
              <c:strCache>
                <c:ptCount val="1"/>
                <c:pt idx="0">
                  <c:v>Non-disabled staff: EKHUFT</c:v>
                </c:pt>
              </c:strCache>
            </c:strRef>
          </c:tx>
          <c:spPr>
            <a:ln w="38100">
              <a:solidFill>
                <a:schemeClr val="accent1">
                  <a:lumMod val="60000"/>
                  <a:lumOff val="40000"/>
                </a:schemeClr>
              </a:solidFill>
              <a:prstDash val="sysDash"/>
            </a:ln>
          </c:spPr>
          <c:marker>
            <c:symbol val="none"/>
          </c:marker>
          <c:cat>
            <c:numRef>
              <c:f>'[WDES 2020.xlsx]Metric 9'!$B$7:$C$7</c:f>
              <c:numCache>
                <c:formatCode>General</c:formatCode>
                <c:ptCount val="2"/>
                <c:pt idx="0">
                  <c:v>2018</c:v>
                </c:pt>
                <c:pt idx="1">
                  <c:v>2019</c:v>
                </c:pt>
              </c:numCache>
            </c:numRef>
          </c:cat>
          <c:val>
            <c:numRef>
              <c:f>'[WDES 2020.xlsx]Metric 9'!$B$9:$C$9</c:f>
              <c:numCache>
                <c:formatCode>0.0</c:formatCode>
                <c:ptCount val="2"/>
                <c:pt idx="0">
                  <c:v>6.6</c:v>
                </c:pt>
                <c:pt idx="1">
                  <c:v>6.8</c:v>
                </c:pt>
              </c:numCache>
            </c:numRef>
          </c:val>
          <c:smooth val="0"/>
          <c:extLst>
            <c:ext xmlns:c16="http://schemas.microsoft.com/office/drawing/2014/chart" uri="{C3380CC4-5D6E-409C-BE32-E72D297353CC}">
              <c16:uniqueId val="{00000001-4FA1-4270-9318-CD9395A57D7D}"/>
            </c:ext>
          </c:extLst>
        </c:ser>
        <c:ser>
          <c:idx val="2"/>
          <c:order val="2"/>
          <c:tx>
            <c:strRef>
              <c:f>'[WDES 2020.xlsx]Metric 9'!$A$10</c:f>
              <c:strCache>
                <c:ptCount val="1"/>
                <c:pt idx="0">
                  <c:v>Disabled staff: Benchmark</c:v>
                </c:pt>
              </c:strCache>
            </c:strRef>
          </c:tx>
          <c:spPr>
            <a:ln w="38100">
              <a:solidFill>
                <a:schemeClr val="accent2">
                  <a:lumMod val="75000"/>
                </a:schemeClr>
              </a:solidFill>
            </a:ln>
          </c:spPr>
          <c:marker>
            <c:symbol val="none"/>
          </c:marker>
          <c:cat>
            <c:numRef>
              <c:f>'[WDES 2020.xlsx]Metric 9'!$B$7:$C$7</c:f>
              <c:numCache>
                <c:formatCode>General</c:formatCode>
                <c:ptCount val="2"/>
                <c:pt idx="0">
                  <c:v>2018</c:v>
                </c:pt>
                <c:pt idx="1">
                  <c:v>2019</c:v>
                </c:pt>
              </c:numCache>
            </c:numRef>
          </c:cat>
          <c:val>
            <c:numRef>
              <c:f>'[WDES 2020.xlsx]Metric 9'!$B$10:$C$10</c:f>
              <c:numCache>
                <c:formatCode>0.0</c:formatCode>
                <c:ptCount val="2"/>
                <c:pt idx="0">
                  <c:v>6.6</c:v>
                </c:pt>
                <c:pt idx="1">
                  <c:v>6.6</c:v>
                </c:pt>
              </c:numCache>
            </c:numRef>
          </c:val>
          <c:smooth val="0"/>
          <c:extLst>
            <c:ext xmlns:c16="http://schemas.microsoft.com/office/drawing/2014/chart" uri="{C3380CC4-5D6E-409C-BE32-E72D297353CC}">
              <c16:uniqueId val="{00000002-4FA1-4270-9318-CD9395A57D7D}"/>
            </c:ext>
          </c:extLst>
        </c:ser>
        <c:ser>
          <c:idx val="3"/>
          <c:order val="3"/>
          <c:tx>
            <c:strRef>
              <c:f>'[WDES 2020.xlsx]Metric 9'!$A$11</c:f>
              <c:strCache>
                <c:ptCount val="1"/>
                <c:pt idx="0">
                  <c:v>Non-disabled staff: Benchmark</c:v>
                </c:pt>
              </c:strCache>
            </c:strRef>
          </c:tx>
          <c:spPr>
            <a:ln w="38100">
              <a:solidFill>
                <a:schemeClr val="accent2">
                  <a:lumMod val="60000"/>
                  <a:lumOff val="40000"/>
                </a:schemeClr>
              </a:solidFill>
              <a:prstDash val="sysDash"/>
            </a:ln>
          </c:spPr>
          <c:marker>
            <c:symbol val="none"/>
          </c:marker>
          <c:cat>
            <c:numRef>
              <c:f>'[WDES 2020.xlsx]Metric 9'!$B$7:$C$7</c:f>
              <c:numCache>
                <c:formatCode>General</c:formatCode>
                <c:ptCount val="2"/>
                <c:pt idx="0">
                  <c:v>2018</c:v>
                </c:pt>
                <c:pt idx="1">
                  <c:v>2019</c:v>
                </c:pt>
              </c:numCache>
            </c:numRef>
          </c:cat>
          <c:val>
            <c:numRef>
              <c:f>'[WDES 2020.xlsx]Metric 9'!$B$11:$C$11</c:f>
              <c:numCache>
                <c:formatCode>0.0</c:formatCode>
                <c:ptCount val="2"/>
                <c:pt idx="0">
                  <c:v>7.1</c:v>
                </c:pt>
                <c:pt idx="1">
                  <c:v>7.1</c:v>
                </c:pt>
              </c:numCache>
            </c:numRef>
          </c:val>
          <c:smooth val="0"/>
          <c:extLst>
            <c:ext xmlns:c16="http://schemas.microsoft.com/office/drawing/2014/chart" uri="{C3380CC4-5D6E-409C-BE32-E72D297353CC}">
              <c16:uniqueId val="{00000003-4FA1-4270-9318-CD9395A57D7D}"/>
            </c:ext>
          </c:extLst>
        </c:ser>
        <c:dLbls>
          <c:showLegendKey val="0"/>
          <c:showVal val="0"/>
          <c:showCatName val="0"/>
          <c:showSerName val="0"/>
          <c:showPercent val="0"/>
          <c:showBubbleSize val="0"/>
        </c:dLbls>
        <c:smooth val="0"/>
        <c:axId val="27304320"/>
        <c:axId val="27305856"/>
      </c:lineChart>
      <c:catAx>
        <c:axId val="27304320"/>
        <c:scaling>
          <c:orientation val="minMax"/>
        </c:scaling>
        <c:delete val="0"/>
        <c:axPos val="b"/>
        <c:numFmt formatCode="General" sourceLinked="1"/>
        <c:majorTickMark val="out"/>
        <c:minorTickMark val="none"/>
        <c:tickLblPos val="nextTo"/>
        <c:crossAx val="27305856"/>
        <c:crosses val="autoZero"/>
        <c:auto val="1"/>
        <c:lblAlgn val="ctr"/>
        <c:lblOffset val="100"/>
        <c:noMultiLvlLbl val="0"/>
      </c:catAx>
      <c:valAx>
        <c:axId val="27305856"/>
        <c:scaling>
          <c:orientation val="minMax"/>
          <c:max val="7.6"/>
          <c:min val="5.6"/>
        </c:scaling>
        <c:delete val="0"/>
        <c:axPos val="l"/>
        <c:majorGridlines/>
        <c:numFmt formatCode="0.0" sourceLinked="1"/>
        <c:majorTickMark val="out"/>
        <c:minorTickMark val="none"/>
        <c:tickLblPos val="nextTo"/>
        <c:crossAx val="27304320"/>
        <c:crosses val="autoZero"/>
        <c:crossBetween val="between"/>
      </c:valAx>
      <c:dTable>
        <c:showHorzBorder val="1"/>
        <c:showVertBorder val="1"/>
        <c:showOutline val="1"/>
        <c:showKeys val="1"/>
      </c:dTable>
    </c:plotArea>
    <c:plotVisOnly val="1"/>
    <c:dispBlanksAs val="gap"/>
    <c:showDLblsOverMax val="0"/>
  </c:chart>
  <c:spPr>
    <a:solidFill>
      <a:schemeClr val="bg1"/>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400" b="1" i="0" u="none" strike="noStrike" baseline="0">
                <a:effectLst/>
              </a:rPr>
              <a:t>Percentage of staff in AfC paybands (Non-clinical Staff)</a:t>
            </a:r>
            <a:endParaRPr lang="en-GB" sz="1400"/>
          </a:p>
        </c:rich>
      </c:tx>
      <c:layout>
        <c:manualLayout>
          <c:xMode val="edge"/>
          <c:yMode val="edge"/>
          <c:x val="0.18509810190240819"/>
          <c:y val="4.4448682668991636E-2"/>
        </c:manualLayout>
      </c:layout>
      <c:overlay val="0"/>
    </c:title>
    <c:autoTitleDeleted val="0"/>
    <c:plotArea>
      <c:layout>
        <c:manualLayout>
          <c:layoutTarget val="inner"/>
          <c:xMode val="edge"/>
          <c:yMode val="edge"/>
          <c:x val="0.13887751531058617"/>
          <c:y val="0.19871813324823895"/>
          <c:w val="0.81340026246719155"/>
          <c:h val="0.68530198806024634"/>
        </c:manualLayout>
      </c:layout>
      <c:barChart>
        <c:barDir val="bar"/>
        <c:grouping val="percentStacked"/>
        <c:varyColors val="0"/>
        <c:ser>
          <c:idx val="0"/>
          <c:order val="0"/>
          <c:tx>
            <c:strRef>
              <c:f>'[WDES 2020.xlsx]Metric 1'!$G$148</c:f>
              <c:strCache>
                <c:ptCount val="1"/>
                <c:pt idx="0">
                  <c:v>DISABLED</c:v>
                </c:pt>
              </c:strCache>
            </c:strRef>
          </c:tx>
          <c:invertIfNegative val="0"/>
          <c:cat>
            <c:strRef>
              <c:f>'[WDES 2020.xlsx]Metric 1'!$F$149:$F$162</c:f>
              <c:strCache>
                <c:ptCount val="14"/>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c:v>
                </c:pt>
                <c:pt idx="13">
                  <c:v>Other</c:v>
                </c:pt>
              </c:strCache>
            </c:strRef>
          </c:cat>
          <c:val>
            <c:numRef>
              <c:f>'[WDES 2020.xlsx]Metric 1'!$G$149:$G$162</c:f>
              <c:numCache>
                <c:formatCode>0.00%</c:formatCode>
                <c:ptCount val="14"/>
                <c:pt idx="0">
                  <c:v>0</c:v>
                </c:pt>
                <c:pt idx="1">
                  <c:v>0</c:v>
                </c:pt>
                <c:pt idx="2">
                  <c:v>5.8823529411764705E-2</c:v>
                </c:pt>
                <c:pt idx="3">
                  <c:v>4.0567951318458417E-2</c:v>
                </c:pt>
                <c:pt idx="4">
                  <c:v>4.4444444444444446E-2</c:v>
                </c:pt>
                <c:pt idx="5">
                  <c:v>2.4539877300613498E-2</c:v>
                </c:pt>
                <c:pt idx="6">
                  <c:v>4.7619047619047616E-2</c:v>
                </c:pt>
                <c:pt idx="7">
                  <c:v>6.3157894736842107E-2</c:v>
                </c:pt>
                <c:pt idx="8">
                  <c:v>2.9411764705882353E-2</c:v>
                </c:pt>
                <c:pt idx="9">
                  <c:v>1.8867924528301886E-2</c:v>
                </c:pt>
                <c:pt idx="10">
                  <c:v>0</c:v>
                </c:pt>
                <c:pt idx="11">
                  <c:v>0</c:v>
                </c:pt>
                <c:pt idx="12">
                  <c:v>0</c:v>
                </c:pt>
                <c:pt idx="13">
                  <c:v>4.3478260869565216E-2</c:v>
                </c:pt>
              </c:numCache>
            </c:numRef>
          </c:val>
          <c:extLst>
            <c:ext xmlns:c16="http://schemas.microsoft.com/office/drawing/2014/chart" uri="{C3380CC4-5D6E-409C-BE32-E72D297353CC}">
              <c16:uniqueId val="{00000000-2A88-4477-A173-3D5A91E2FABE}"/>
            </c:ext>
          </c:extLst>
        </c:ser>
        <c:ser>
          <c:idx val="1"/>
          <c:order val="1"/>
          <c:tx>
            <c:strRef>
              <c:f>'[WDES 2020.xlsx]Metric 1'!$H$148</c:f>
              <c:strCache>
                <c:ptCount val="1"/>
                <c:pt idx="0">
                  <c:v>NON-DISABLED</c:v>
                </c:pt>
              </c:strCache>
            </c:strRef>
          </c:tx>
          <c:invertIfNegative val="0"/>
          <c:cat>
            <c:strRef>
              <c:f>'[WDES 2020.xlsx]Metric 1'!$F$149:$F$162</c:f>
              <c:strCache>
                <c:ptCount val="14"/>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c:v>
                </c:pt>
                <c:pt idx="13">
                  <c:v>Other</c:v>
                </c:pt>
              </c:strCache>
            </c:strRef>
          </c:cat>
          <c:val>
            <c:numRef>
              <c:f>'[WDES 2020.xlsx]Metric 1'!$H$149:$H$162</c:f>
              <c:numCache>
                <c:formatCode>0.00%</c:formatCode>
                <c:ptCount val="14"/>
                <c:pt idx="0">
                  <c:v>0.14285714285714285</c:v>
                </c:pt>
                <c:pt idx="1">
                  <c:v>1</c:v>
                </c:pt>
                <c:pt idx="2">
                  <c:v>0.66772655007949122</c:v>
                </c:pt>
                <c:pt idx="3">
                  <c:v>0.72210953346855988</c:v>
                </c:pt>
                <c:pt idx="4">
                  <c:v>0.75238095238095237</c:v>
                </c:pt>
                <c:pt idx="5">
                  <c:v>0.68098159509202449</c:v>
                </c:pt>
                <c:pt idx="6">
                  <c:v>0.69047619047619047</c:v>
                </c:pt>
                <c:pt idx="7">
                  <c:v>0.58947368421052626</c:v>
                </c:pt>
                <c:pt idx="8">
                  <c:v>0.73529411764705888</c:v>
                </c:pt>
                <c:pt idx="9">
                  <c:v>0.67924528301886788</c:v>
                </c:pt>
                <c:pt idx="10">
                  <c:v>0.5</c:v>
                </c:pt>
                <c:pt idx="11">
                  <c:v>0.6470588235294118</c:v>
                </c:pt>
                <c:pt idx="12">
                  <c:v>0</c:v>
                </c:pt>
                <c:pt idx="13">
                  <c:v>0.65217391304347827</c:v>
                </c:pt>
              </c:numCache>
            </c:numRef>
          </c:val>
          <c:extLst>
            <c:ext xmlns:c16="http://schemas.microsoft.com/office/drawing/2014/chart" uri="{C3380CC4-5D6E-409C-BE32-E72D297353CC}">
              <c16:uniqueId val="{00000001-2A88-4477-A173-3D5A91E2FABE}"/>
            </c:ext>
          </c:extLst>
        </c:ser>
        <c:ser>
          <c:idx val="2"/>
          <c:order val="2"/>
          <c:tx>
            <c:strRef>
              <c:f>'[WDES 2020.xlsx]Metric 1'!$I$148</c:f>
              <c:strCache>
                <c:ptCount val="1"/>
                <c:pt idx="0">
                  <c:v>DISABILITY UNKNOWN OR NULL</c:v>
                </c:pt>
              </c:strCache>
            </c:strRef>
          </c:tx>
          <c:invertIfNegative val="0"/>
          <c:cat>
            <c:strRef>
              <c:f>'[WDES 2020.xlsx]Metric 1'!$F$149:$F$162</c:f>
              <c:strCache>
                <c:ptCount val="14"/>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c:v>
                </c:pt>
                <c:pt idx="13">
                  <c:v>Other</c:v>
                </c:pt>
              </c:strCache>
            </c:strRef>
          </c:cat>
          <c:val>
            <c:numRef>
              <c:f>'[WDES 2020.xlsx]Metric 1'!$I$149:$I$162</c:f>
              <c:numCache>
                <c:formatCode>0.00%</c:formatCode>
                <c:ptCount val="14"/>
                <c:pt idx="0">
                  <c:v>0.8571428571428571</c:v>
                </c:pt>
                <c:pt idx="1">
                  <c:v>0</c:v>
                </c:pt>
                <c:pt idx="2">
                  <c:v>0.27344992050874406</c:v>
                </c:pt>
                <c:pt idx="3">
                  <c:v>0.23732251521298176</c:v>
                </c:pt>
                <c:pt idx="4">
                  <c:v>0.20317460317460317</c:v>
                </c:pt>
                <c:pt idx="5">
                  <c:v>0.29447852760736198</c:v>
                </c:pt>
                <c:pt idx="6">
                  <c:v>0.26190476190476192</c:v>
                </c:pt>
                <c:pt idx="7">
                  <c:v>0.3473684210526316</c:v>
                </c:pt>
                <c:pt idx="8">
                  <c:v>0.23529411764705882</c:v>
                </c:pt>
                <c:pt idx="9">
                  <c:v>0.30188679245283018</c:v>
                </c:pt>
                <c:pt idx="10">
                  <c:v>0.5</c:v>
                </c:pt>
                <c:pt idx="11">
                  <c:v>0.35294117647058826</c:v>
                </c:pt>
                <c:pt idx="12">
                  <c:v>0</c:v>
                </c:pt>
                <c:pt idx="13">
                  <c:v>0.30434782608695654</c:v>
                </c:pt>
              </c:numCache>
            </c:numRef>
          </c:val>
          <c:extLst>
            <c:ext xmlns:c16="http://schemas.microsoft.com/office/drawing/2014/chart" uri="{C3380CC4-5D6E-409C-BE32-E72D297353CC}">
              <c16:uniqueId val="{00000002-2A88-4477-A173-3D5A91E2FABE}"/>
            </c:ext>
          </c:extLst>
        </c:ser>
        <c:dLbls>
          <c:showLegendKey val="0"/>
          <c:showVal val="0"/>
          <c:showCatName val="0"/>
          <c:showSerName val="0"/>
          <c:showPercent val="0"/>
          <c:showBubbleSize val="0"/>
        </c:dLbls>
        <c:gapWidth val="150"/>
        <c:overlap val="100"/>
        <c:axId val="189663488"/>
        <c:axId val="189166336"/>
      </c:barChart>
      <c:catAx>
        <c:axId val="189663488"/>
        <c:scaling>
          <c:orientation val="minMax"/>
        </c:scaling>
        <c:delete val="0"/>
        <c:axPos val="l"/>
        <c:numFmt formatCode="General" sourceLinked="0"/>
        <c:majorTickMark val="out"/>
        <c:minorTickMark val="none"/>
        <c:tickLblPos val="nextTo"/>
        <c:crossAx val="189166336"/>
        <c:crosses val="autoZero"/>
        <c:auto val="1"/>
        <c:lblAlgn val="ctr"/>
        <c:lblOffset val="100"/>
        <c:noMultiLvlLbl val="0"/>
      </c:catAx>
      <c:valAx>
        <c:axId val="189166336"/>
        <c:scaling>
          <c:orientation val="minMax"/>
        </c:scaling>
        <c:delete val="0"/>
        <c:axPos val="b"/>
        <c:majorGridlines/>
        <c:numFmt formatCode="0%" sourceLinked="1"/>
        <c:majorTickMark val="out"/>
        <c:minorTickMark val="none"/>
        <c:tickLblPos val="nextTo"/>
        <c:crossAx val="189663488"/>
        <c:crosses val="autoZero"/>
        <c:crossBetween val="between"/>
      </c:valAx>
    </c:plotArea>
    <c:legend>
      <c:legendPos val="r"/>
      <c:layout>
        <c:manualLayout>
          <c:xMode val="edge"/>
          <c:yMode val="edge"/>
          <c:x val="0.20833333333333334"/>
          <c:y val="0.44329286964129483"/>
          <c:w val="0.38330060213061601"/>
          <c:h val="0.15137210926397812"/>
        </c:manualLayout>
      </c:layout>
      <c:overlay val="0"/>
      <c:spPr>
        <a:solidFill>
          <a:schemeClr val="bg1"/>
        </a:solidFill>
        <a:ln>
          <a:solidFill>
            <a:schemeClr val="tx1"/>
          </a:solidFill>
        </a:ln>
      </c:sp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400" b="1">
                <a:effectLst/>
              </a:rPr>
              <a:t>Percentage of staff in AfC paybands (Clinical Staff)</a:t>
            </a:r>
          </a:p>
        </c:rich>
      </c:tx>
      <c:overlay val="0"/>
    </c:title>
    <c:autoTitleDeleted val="0"/>
    <c:plotArea>
      <c:layout>
        <c:manualLayout>
          <c:layoutTarget val="inner"/>
          <c:xMode val="edge"/>
          <c:yMode val="edge"/>
          <c:x val="0.16994492740430567"/>
          <c:y val="0.21370091896407686"/>
          <c:w val="0.79033252924309316"/>
          <c:h val="0.70258428222787939"/>
        </c:manualLayout>
      </c:layout>
      <c:barChart>
        <c:barDir val="bar"/>
        <c:grouping val="percentStacked"/>
        <c:varyColors val="0"/>
        <c:ser>
          <c:idx val="0"/>
          <c:order val="0"/>
          <c:tx>
            <c:strRef>
              <c:f>'[WDES 2020.xlsx]Metric 1'!$G$119</c:f>
              <c:strCache>
                <c:ptCount val="1"/>
                <c:pt idx="0">
                  <c:v>DISABLED</c:v>
                </c:pt>
              </c:strCache>
            </c:strRef>
          </c:tx>
          <c:invertIfNegative val="0"/>
          <c:cat>
            <c:strRef>
              <c:f>'[WDES 2020.xlsx]Metric 1'!$A$120:$A$137</c:f>
              <c:strCache>
                <c:ptCount val="18"/>
                <c:pt idx="0">
                  <c:v>Under Band 1</c:v>
                </c:pt>
                <c:pt idx="1">
                  <c:v>Band 1</c:v>
                </c:pt>
                <c:pt idx="2">
                  <c:v>Band 2</c:v>
                </c:pt>
                <c:pt idx="3">
                  <c:v>Band 3</c:v>
                </c:pt>
                <c:pt idx="4">
                  <c:v>Band 4</c:v>
                </c:pt>
                <c:pt idx="5">
                  <c:v>Band 5</c:v>
                </c:pt>
                <c:pt idx="6">
                  <c:v>Band 6</c:v>
                </c:pt>
                <c:pt idx="7">
                  <c:v>Band 7</c:v>
                </c:pt>
                <c:pt idx="8">
                  <c:v>Band 8A</c:v>
                </c:pt>
                <c:pt idx="9">
                  <c:v>Band 8B</c:v>
                </c:pt>
                <c:pt idx="10">
                  <c:v>Band 8C</c:v>
                </c:pt>
                <c:pt idx="11">
                  <c:v>Band 8D</c:v>
                </c:pt>
                <c:pt idx="12">
                  <c:v>Band 9</c:v>
                </c:pt>
                <c:pt idx="13">
                  <c:v>VSM</c:v>
                </c:pt>
                <c:pt idx="14">
                  <c:v>Consultant</c:v>
                </c:pt>
                <c:pt idx="15">
                  <c:v>Non-Consultant</c:v>
                </c:pt>
                <c:pt idx="16">
                  <c:v>Trainee Grade</c:v>
                </c:pt>
                <c:pt idx="17">
                  <c:v>Other</c:v>
                </c:pt>
              </c:strCache>
            </c:strRef>
          </c:cat>
          <c:val>
            <c:numRef>
              <c:f>'[WDES 2020.xlsx]Metric 1'!$G$120:$G$137</c:f>
              <c:numCache>
                <c:formatCode>0.00%</c:formatCode>
                <c:ptCount val="18"/>
                <c:pt idx="0">
                  <c:v>0</c:v>
                </c:pt>
                <c:pt idx="1">
                  <c:v>0</c:v>
                </c:pt>
                <c:pt idx="2">
                  <c:v>2.5152439024390245E-2</c:v>
                </c:pt>
                <c:pt idx="3">
                  <c:v>5.0746268656716415E-2</c:v>
                </c:pt>
                <c:pt idx="4">
                  <c:v>3.2352941176470591E-2</c:v>
                </c:pt>
                <c:pt idx="5">
                  <c:v>3.7721893491124259E-2</c:v>
                </c:pt>
                <c:pt idx="6">
                  <c:v>4.4915254237288135E-2</c:v>
                </c:pt>
                <c:pt idx="7">
                  <c:v>2.9776674937965261E-2</c:v>
                </c:pt>
                <c:pt idx="8">
                  <c:v>3.5211267605633804E-2</c:v>
                </c:pt>
                <c:pt idx="9">
                  <c:v>3.125E-2</c:v>
                </c:pt>
                <c:pt idx="10">
                  <c:v>0</c:v>
                </c:pt>
                <c:pt idx="11">
                  <c:v>0</c:v>
                </c:pt>
                <c:pt idx="12">
                  <c:v>0</c:v>
                </c:pt>
                <c:pt idx="13">
                  <c:v>0</c:v>
                </c:pt>
                <c:pt idx="14">
                  <c:v>1.0940919037199124E-2</c:v>
                </c:pt>
                <c:pt idx="15">
                  <c:v>2.7777777777777776E-2</c:v>
                </c:pt>
                <c:pt idx="16">
                  <c:v>2.1505376344086021E-3</c:v>
                </c:pt>
                <c:pt idx="17">
                  <c:v>0</c:v>
                </c:pt>
              </c:numCache>
            </c:numRef>
          </c:val>
          <c:extLst>
            <c:ext xmlns:c16="http://schemas.microsoft.com/office/drawing/2014/chart" uri="{C3380CC4-5D6E-409C-BE32-E72D297353CC}">
              <c16:uniqueId val="{00000000-87AB-4D94-8AF2-C09F45F6ABBF}"/>
            </c:ext>
          </c:extLst>
        </c:ser>
        <c:ser>
          <c:idx val="1"/>
          <c:order val="1"/>
          <c:tx>
            <c:strRef>
              <c:f>'[WDES 2020.xlsx]Metric 1'!$H$119</c:f>
              <c:strCache>
                <c:ptCount val="1"/>
                <c:pt idx="0">
                  <c:v>NON-DISABLED</c:v>
                </c:pt>
              </c:strCache>
            </c:strRef>
          </c:tx>
          <c:invertIfNegative val="0"/>
          <c:cat>
            <c:strRef>
              <c:f>'[WDES 2020.xlsx]Metric 1'!$A$120:$A$137</c:f>
              <c:strCache>
                <c:ptCount val="18"/>
                <c:pt idx="0">
                  <c:v>Under Band 1</c:v>
                </c:pt>
                <c:pt idx="1">
                  <c:v>Band 1</c:v>
                </c:pt>
                <c:pt idx="2">
                  <c:v>Band 2</c:v>
                </c:pt>
                <c:pt idx="3">
                  <c:v>Band 3</c:v>
                </c:pt>
                <c:pt idx="4">
                  <c:v>Band 4</c:v>
                </c:pt>
                <c:pt idx="5">
                  <c:v>Band 5</c:v>
                </c:pt>
                <c:pt idx="6">
                  <c:v>Band 6</c:v>
                </c:pt>
                <c:pt idx="7">
                  <c:v>Band 7</c:v>
                </c:pt>
                <c:pt idx="8">
                  <c:v>Band 8A</c:v>
                </c:pt>
                <c:pt idx="9">
                  <c:v>Band 8B</c:v>
                </c:pt>
                <c:pt idx="10">
                  <c:v>Band 8C</c:v>
                </c:pt>
                <c:pt idx="11">
                  <c:v>Band 8D</c:v>
                </c:pt>
                <c:pt idx="12">
                  <c:v>Band 9</c:v>
                </c:pt>
                <c:pt idx="13">
                  <c:v>VSM</c:v>
                </c:pt>
                <c:pt idx="14">
                  <c:v>Consultant</c:v>
                </c:pt>
                <c:pt idx="15">
                  <c:v>Non-Consultant</c:v>
                </c:pt>
                <c:pt idx="16">
                  <c:v>Trainee Grade</c:v>
                </c:pt>
                <c:pt idx="17">
                  <c:v>Other</c:v>
                </c:pt>
              </c:strCache>
            </c:strRef>
          </c:cat>
          <c:val>
            <c:numRef>
              <c:f>'[WDES 2020.xlsx]Metric 1'!$H$120:$H$137</c:f>
              <c:numCache>
                <c:formatCode>0.00%</c:formatCode>
                <c:ptCount val="18"/>
                <c:pt idx="0">
                  <c:v>0.375</c:v>
                </c:pt>
                <c:pt idx="1">
                  <c:v>0</c:v>
                </c:pt>
                <c:pt idx="2">
                  <c:v>0.64634146341463417</c:v>
                </c:pt>
                <c:pt idx="3">
                  <c:v>0.68059701492537317</c:v>
                </c:pt>
                <c:pt idx="4">
                  <c:v>0.6</c:v>
                </c:pt>
                <c:pt idx="5">
                  <c:v>0.65162721893491127</c:v>
                </c:pt>
                <c:pt idx="6">
                  <c:v>0.67542372881355928</c:v>
                </c:pt>
                <c:pt idx="7">
                  <c:v>0.67617866004962779</c:v>
                </c:pt>
                <c:pt idx="8">
                  <c:v>0.72535211267605637</c:v>
                </c:pt>
                <c:pt idx="9">
                  <c:v>0.625</c:v>
                </c:pt>
                <c:pt idx="10">
                  <c:v>0.66666666666666663</c:v>
                </c:pt>
                <c:pt idx="11">
                  <c:v>0.5</c:v>
                </c:pt>
                <c:pt idx="12">
                  <c:v>1</c:v>
                </c:pt>
                <c:pt idx="13">
                  <c:v>0</c:v>
                </c:pt>
                <c:pt idx="14">
                  <c:v>0.5448577680525164</c:v>
                </c:pt>
                <c:pt idx="15">
                  <c:v>0.48888888888888887</c:v>
                </c:pt>
                <c:pt idx="16">
                  <c:v>0.19569892473118281</c:v>
                </c:pt>
                <c:pt idx="17">
                  <c:v>0</c:v>
                </c:pt>
              </c:numCache>
            </c:numRef>
          </c:val>
          <c:extLst>
            <c:ext xmlns:c16="http://schemas.microsoft.com/office/drawing/2014/chart" uri="{C3380CC4-5D6E-409C-BE32-E72D297353CC}">
              <c16:uniqueId val="{00000001-87AB-4D94-8AF2-C09F45F6ABBF}"/>
            </c:ext>
          </c:extLst>
        </c:ser>
        <c:ser>
          <c:idx val="2"/>
          <c:order val="2"/>
          <c:tx>
            <c:strRef>
              <c:f>'[WDES 2020.xlsx]Metric 1'!$I$119</c:f>
              <c:strCache>
                <c:ptCount val="1"/>
                <c:pt idx="0">
                  <c:v>DISABILITY UNKNOWN OR NULL</c:v>
                </c:pt>
              </c:strCache>
            </c:strRef>
          </c:tx>
          <c:invertIfNegative val="0"/>
          <c:cat>
            <c:strRef>
              <c:f>'[WDES 2020.xlsx]Metric 1'!$A$120:$A$137</c:f>
              <c:strCache>
                <c:ptCount val="18"/>
                <c:pt idx="0">
                  <c:v>Under Band 1</c:v>
                </c:pt>
                <c:pt idx="1">
                  <c:v>Band 1</c:v>
                </c:pt>
                <c:pt idx="2">
                  <c:v>Band 2</c:v>
                </c:pt>
                <c:pt idx="3">
                  <c:v>Band 3</c:v>
                </c:pt>
                <c:pt idx="4">
                  <c:v>Band 4</c:v>
                </c:pt>
                <c:pt idx="5">
                  <c:v>Band 5</c:v>
                </c:pt>
                <c:pt idx="6">
                  <c:v>Band 6</c:v>
                </c:pt>
                <c:pt idx="7">
                  <c:v>Band 7</c:v>
                </c:pt>
                <c:pt idx="8">
                  <c:v>Band 8A</c:v>
                </c:pt>
                <c:pt idx="9">
                  <c:v>Band 8B</c:v>
                </c:pt>
                <c:pt idx="10">
                  <c:v>Band 8C</c:v>
                </c:pt>
                <c:pt idx="11">
                  <c:v>Band 8D</c:v>
                </c:pt>
                <c:pt idx="12">
                  <c:v>Band 9</c:v>
                </c:pt>
                <c:pt idx="13">
                  <c:v>VSM</c:v>
                </c:pt>
                <c:pt idx="14">
                  <c:v>Consultant</c:v>
                </c:pt>
                <c:pt idx="15">
                  <c:v>Non-Consultant</c:v>
                </c:pt>
                <c:pt idx="16">
                  <c:v>Trainee Grade</c:v>
                </c:pt>
                <c:pt idx="17">
                  <c:v>Other</c:v>
                </c:pt>
              </c:strCache>
            </c:strRef>
          </c:cat>
          <c:val>
            <c:numRef>
              <c:f>'[WDES 2020.xlsx]Metric 1'!$I$120:$I$137</c:f>
              <c:numCache>
                <c:formatCode>0.00%</c:formatCode>
                <c:ptCount val="18"/>
                <c:pt idx="0">
                  <c:v>0.625</c:v>
                </c:pt>
                <c:pt idx="1">
                  <c:v>0</c:v>
                </c:pt>
                <c:pt idx="2">
                  <c:v>0.3285060975609756</c:v>
                </c:pt>
                <c:pt idx="3">
                  <c:v>0.26865671641791045</c:v>
                </c:pt>
                <c:pt idx="4">
                  <c:v>0.36764705882352944</c:v>
                </c:pt>
                <c:pt idx="5">
                  <c:v>0.31065088757396447</c:v>
                </c:pt>
                <c:pt idx="6">
                  <c:v>0.27966101694915252</c:v>
                </c:pt>
                <c:pt idx="7">
                  <c:v>0.29404466501240695</c:v>
                </c:pt>
                <c:pt idx="8">
                  <c:v>0.23943661971830985</c:v>
                </c:pt>
                <c:pt idx="9">
                  <c:v>0.34375</c:v>
                </c:pt>
                <c:pt idx="10">
                  <c:v>0.33333333333333331</c:v>
                </c:pt>
                <c:pt idx="11">
                  <c:v>0.5</c:v>
                </c:pt>
                <c:pt idx="12">
                  <c:v>0</c:v>
                </c:pt>
                <c:pt idx="13">
                  <c:v>1</c:v>
                </c:pt>
                <c:pt idx="14">
                  <c:v>0.44420131291028447</c:v>
                </c:pt>
                <c:pt idx="15">
                  <c:v>0.48333333333333334</c:v>
                </c:pt>
                <c:pt idx="16">
                  <c:v>0.80215053763440858</c:v>
                </c:pt>
                <c:pt idx="17">
                  <c:v>0</c:v>
                </c:pt>
              </c:numCache>
            </c:numRef>
          </c:val>
          <c:extLst>
            <c:ext xmlns:c16="http://schemas.microsoft.com/office/drawing/2014/chart" uri="{C3380CC4-5D6E-409C-BE32-E72D297353CC}">
              <c16:uniqueId val="{00000002-87AB-4D94-8AF2-C09F45F6ABBF}"/>
            </c:ext>
          </c:extLst>
        </c:ser>
        <c:dLbls>
          <c:showLegendKey val="0"/>
          <c:showVal val="0"/>
          <c:showCatName val="0"/>
          <c:showSerName val="0"/>
          <c:showPercent val="0"/>
          <c:showBubbleSize val="0"/>
        </c:dLbls>
        <c:gapWidth val="150"/>
        <c:overlap val="100"/>
        <c:axId val="187509376"/>
        <c:axId val="187532032"/>
      </c:barChart>
      <c:catAx>
        <c:axId val="187509376"/>
        <c:scaling>
          <c:orientation val="minMax"/>
        </c:scaling>
        <c:delete val="0"/>
        <c:axPos val="l"/>
        <c:numFmt formatCode="General" sourceLinked="0"/>
        <c:majorTickMark val="out"/>
        <c:minorTickMark val="none"/>
        <c:tickLblPos val="nextTo"/>
        <c:crossAx val="187532032"/>
        <c:crosses val="autoZero"/>
        <c:auto val="1"/>
        <c:lblAlgn val="ctr"/>
        <c:lblOffset val="100"/>
        <c:noMultiLvlLbl val="0"/>
      </c:catAx>
      <c:valAx>
        <c:axId val="187532032"/>
        <c:scaling>
          <c:orientation val="minMax"/>
        </c:scaling>
        <c:delete val="0"/>
        <c:axPos val="b"/>
        <c:majorGridlines/>
        <c:numFmt formatCode="0%" sourceLinked="1"/>
        <c:majorTickMark val="out"/>
        <c:minorTickMark val="none"/>
        <c:tickLblPos val="nextTo"/>
        <c:crossAx val="187509376"/>
        <c:crosses val="autoZero"/>
        <c:crossBetween val="between"/>
      </c:valAx>
    </c:plotArea>
    <c:legend>
      <c:legendPos val="r"/>
      <c:layout>
        <c:manualLayout>
          <c:xMode val="edge"/>
          <c:yMode val="edge"/>
          <c:x val="0.21833507805743935"/>
          <c:y val="0.51119662673744737"/>
          <c:w val="0.34004642483273406"/>
          <c:h val="0.14786546418539787"/>
        </c:manualLayout>
      </c:layout>
      <c:overlay val="0"/>
      <c:spPr>
        <a:solidFill>
          <a:sysClr val="window" lastClr="FFFFFF"/>
        </a:solidFill>
        <a:ln>
          <a:solidFill>
            <a:sysClr val="windowText" lastClr="000000"/>
          </a:solidFill>
        </a:ln>
      </c:sp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Harassment, bullying or abuse from: Patients,</a:t>
            </a:r>
            <a:r>
              <a:rPr lang="en-GB" baseline="0"/>
              <a:t> relatives or public</a:t>
            </a:r>
          </a:p>
        </c:rich>
      </c:tx>
      <c:overlay val="0"/>
    </c:title>
    <c:autoTitleDeleted val="0"/>
    <c:plotArea>
      <c:layout/>
      <c:lineChart>
        <c:grouping val="standard"/>
        <c:varyColors val="0"/>
        <c:ser>
          <c:idx val="0"/>
          <c:order val="0"/>
          <c:tx>
            <c:strRef>
              <c:f>'[WDES 2020.xlsx]Metric 4a'!$A$12</c:f>
              <c:strCache>
                <c:ptCount val="1"/>
                <c:pt idx="0">
                  <c:v>Disabled staff: EKHUFT</c:v>
                </c:pt>
              </c:strCache>
            </c:strRef>
          </c:tx>
          <c:spPr>
            <a:ln w="38100">
              <a:solidFill>
                <a:schemeClr val="accent1"/>
              </a:solidFill>
            </a:ln>
          </c:spPr>
          <c:marker>
            <c:symbol val="none"/>
          </c:marker>
          <c:cat>
            <c:numRef>
              <c:f>'[WDES 2020.xlsx]Metric 4a'!$B$11:$C$11</c:f>
              <c:numCache>
                <c:formatCode>General</c:formatCode>
                <c:ptCount val="2"/>
                <c:pt idx="0">
                  <c:v>2018</c:v>
                </c:pt>
                <c:pt idx="1">
                  <c:v>2019</c:v>
                </c:pt>
              </c:numCache>
            </c:numRef>
          </c:cat>
          <c:val>
            <c:numRef>
              <c:f>'[WDES 2020.xlsx]Metric 4a'!$B$12:$C$12</c:f>
              <c:numCache>
                <c:formatCode>0.00%</c:formatCode>
                <c:ptCount val="2"/>
                <c:pt idx="0">
                  <c:v>0.38700000000000001</c:v>
                </c:pt>
                <c:pt idx="1">
                  <c:v>0.39300000000000002</c:v>
                </c:pt>
              </c:numCache>
            </c:numRef>
          </c:val>
          <c:smooth val="0"/>
          <c:extLst>
            <c:ext xmlns:c16="http://schemas.microsoft.com/office/drawing/2014/chart" uri="{C3380CC4-5D6E-409C-BE32-E72D297353CC}">
              <c16:uniqueId val="{00000000-52C1-47C6-85D7-15C4E2772916}"/>
            </c:ext>
          </c:extLst>
        </c:ser>
        <c:ser>
          <c:idx val="1"/>
          <c:order val="1"/>
          <c:tx>
            <c:strRef>
              <c:f>'[WDES 2020.xlsx]Metric 4a'!$A$13</c:f>
              <c:strCache>
                <c:ptCount val="1"/>
                <c:pt idx="0">
                  <c:v>Non-disabled staff: EKHUFT</c:v>
                </c:pt>
              </c:strCache>
            </c:strRef>
          </c:tx>
          <c:spPr>
            <a:ln w="38100">
              <a:solidFill>
                <a:schemeClr val="accent1">
                  <a:lumMod val="60000"/>
                  <a:lumOff val="40000"/>
                </a:schemeClr>
              </a:solidFill>
              <a:prstDash val="sysDash"/>
            </a:ln>
          </c:spPr>
          <c:marker>
            <c:symbol val="none"/>
          </c:marker>
          <c:cat>
            <c:numRef>
              <c:f>'[WDES 2020.xlsx]Metric 4a'!$B$11:$C$11</c:f>
              <c:numCache>
                <c:formatCode>General</c:formatCode>
                <c:ptCount val="2"/>
                <c:pt idx="0">
                  <c:v>2018</c:v>
                </c:pt>
                <c:pt idx="1">
                  <c:v>2019</c:v>
                </c:pt>
              </c:numCache>
            </c:numRef>
          </c:cat>
          <c:val>
            <c:numRef>
              <c:f>'[WDES 2020.xlsx]Metric 4a'!$B$13:$C$13</c:f>
              <c:numCache>
                <c:formatCode>0.00%</c:formatCode>
                <c:ptCount val="2"/>
                <c:pt idx="0">
                  <c:v>0.32500000000000001</c:v>
                </c:pt>
                <c:pt idx="1">
                  <c:v>0.32300000000000001</c:v>
                </c:pt>
              </c:numCache>
            </c:numRef>
          </c:val>
          <c:smooth val="0"/>
          <c:extLst>
            <c:ext xmlns:c16="http://schemas.microsoft.com/office/drawing/2014/chart" uri="{C3380CC4-5D6E-409C-BE32-E72D297353CC}">
              <c16:uniqueId val="{00000001-52C1-47C6-85D7-15C4E2772916}"/>
            </c:ext>
          </c:extLst>
        </c:ser>
        <c:ser>
          <c:idx val="2"/>
          <c:order val="2"/>
          <c:tx>
            <c:strRef>
              <c:f>'[WDES 2020.xlsx]Metric 4a'!$A$14</c:f>
              <c:strCache>
                <c:ptCount val="1"/>
                <c:pt idx="0">
                  <c:v>Disabled staff: Benchmark</c:v>
                </c:pt>
              </c:strCache>
            </c:strRef>
          </c:tx>
          <c:spPr>
            <a:ln w="38100">
              <a:solidFill>
                <a:schemeClr val="accent2">
                  <a:lumMod val="75000"/>
                </a:schemeClr>
              </a:solidFill>
            </a:ln>
          </c:spPr>
          <c:marker>
            <c:symbol val="none"/>
          </c:marker>
          <c:cat>
            <c:numRef>
              <c:f>'[WDES 2020.xlsx]Metric 4a'!$B$11:$C$11</c:f>
              <c:numCache>
                <c:formatCode>General</c:formatCode>
                <c:ptCount val="2"/>
                <c:pt idx="0">
                  <c:v>2018</c:v>
                </c:pt>
                <c:pt idx="1">
                  <c:v>2019</c:v>
                </c:pt>
              </c:numCache>
            </c:numRef>
          </c:cat>
          <c:val>
            <c:numRef>
              <c:f>'[WDES 2020.xlsx]Metric 4a'!$B$14:$C$14</c:f>
              <c:numCache>
                <c:formatCode>0.00%</c:formatCode>
                <c:ptCount val="2"/>
                <c:pt idx="0">
                  <c:v>0.34399999999999997</c:v>
                </c:pt>
                <c:pt idx="1">
                  <c:v>0.33900000000000002</c:v>
                </c:pt>
              </c:numCache>
            </c:numRef>
          </c:val>
          <c:smooth val="0"/>
          <c:extLst>
            <c:ext xmlns:c16="http://schemas.microsoft.com/office/drawing/2014/chart" uri="{C3380CC4-5D6E-409C-BE32-E72D297353CC}">
              <c16:uniqueId val="{00000002-52C1-47C6-85D7-15C4E2772916}"/>
            </c:ext>
          </c:extLst>
        </c:ser>
        <c:ser>
          <c:idx val="3"/>
          <c:order val="3"/>
          <c:tx>
            <c:strRef>
              <c:f>'[WDES 2020.xlsx]Metric 4a'!$A$15</c:f>
              <c:strCache>
                <c:ptCount val="1"/>
                <c:pt idx="0">
                  <c:v>Non-disabled staff: Benchmark</c:v>
                </c:pt>
              </c:strCache>
            </c:strRef>
          </c:tx>
          <c:spPr>
            <a:ln w="38100">
              <a:solidFill>
                <a:schemeClr val="accent2">
                  <a:lumMod val="60000"/>
                  <a:lumOff val="40000"/>
                </a:schemeClr>
              </a:solidFill>
              <a:prstDash val="sysDash"/>
            </a:ln>
          </c:spPr>
          <c:marker>
            <c:symbol val="none"/>
          </c:marker>
          <c:cat>
            <c:numRef>
              <c:f>'[WDES 2020.xlsx]Metric 4a'!$B$11:$C$11</c:f>
              <c:numCache>
                <c:formatCode>General</c:formatCode>
                <c:ptCount val="2"/>
                <c:pt idx="0">
                  <c:v>2018</c:v>
                </c:pt>
                <c:pt idx="1">
                  <c:v>2019</c:v>
                </c:pt>
              </c:numCache>
            </c:numRef>
          </c:cat>
          <c:val>
            <c:numRef>
              <c:f>'[WDES 2020.xlsx]Metric 4a'!$B$15:$C$15</c:f>
              <c:numCache>
                <c:formatCode>0.00%</c:formatCode>
                <c:ptCount val="2"/>
                <c:pt idx="0">
                  <c:v>0.26900000000000002</c:v>
                </c:pt>
                <c:pt idx="1">
                  <c:v>0.27300000000000002</c:v>
                </c:pt>
              </c:numCache>
            </c:numRef>
          </c:val>
          <c:smooth val="0"/>
          <c:extLst>
            <c:ext xmlns:c16="http://schemas.microsoft.com/office/drawing/2014/chart" uri="{C3380CC4-5D6E-409C-BE32-E72D297353CC}">
              <c16:uniqueId val="{00000003-52C1-47C6-85D7-15C4E2772916}"/>
            </c:ext>
          </c:extLst>
        </c:ser>
        <c:dLbls>
          <c:showLegendKey val="0"/>
          <c:showVal val="0"/>
          <c:showCatName val="0"/>
          <c:showSerName val="0"/>
          <c:showPercent val="0"/>
          <c:showBubbleSize val="0"/>
        </c:dLbls>
        <c:smooth val="0"/>
        <c:axId val="27539712"/>
        <c:axId val="27932160"/>
      </c:lineChart>
      <c:catAx>
        <c:axId val="27539712"/>
        <c:scaling>
          <c:orientation val="minMax"/>
        </c:scaling>
        <c:delete val="0"/>
        <c:axPos val="b"/>
        <c:numFmt formatCode="General" sourceLinked="1"/>
        <c:majorTickMark val="out"/>
        <c:minorTickMark val="none"/>
        <c:tickLblPos val="nextTo"/>
        <c:crossAx val="27932160"/>
        <c:crosses val="autoZero"/>
        <c:auto val="1"/>
        <c:lblAlgn val="ctr"/>
        <c:lblOffset val="100"/>
        <c:noMultiLvlLbl val="0"/>
      </c:catAx>
      <c:valAx>
        <c:axId val="27932160"/>
        <c:scaling>
          <c:orientation val="minMax"/>
          <c:min val="0.2"/>
        </c:scaling>
        <c:delete val="0"/>
        <c:axPos val="l"/>
        <c:majorGridlines/>
        <c:numFmt formatCode="0.00%" sourceLinked="1"/>
        <c:majorTickMark val="out"/>
        <c:minorTickMark val="none"/>
        <c:tickLblPos val="nextTo"/>
        <c:crossAx val="27539712"/>
        <c:crosses val="autoZero"/>
        <c:crossBetween val="between"/>
      </c:valAx>
      <c:dTable>
        <c:showHorzBorder val="1"/>
        <c:showVertBorder val="1"/>
        <c:showOutline val="1"/>
        <c:showKeys val="1"/>
      </c:dTable>
    </c:plotArea>
    <c:plotVisOnly val="1"/>
    <c:dispBlanksAs val="gap"/>
    <c:showDLblsOverMax val="0"/>
  </c:chart>
  <c:spPr>
    <a:solidFill>
      <a:schemeClr val="bg1"/>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1" i="0" baseline="0">
                <a:effectLst/>
              </a:rPr>
              <a:t>Harassment, bullying or abuse from: Manager</a:t>
            </a:r>
            <a:endParaRPr lang="en-GB">
              <a:effectLst/>
            </a:endParaRPr>
          </a:p>
        </c:rich>
      </c:tx>
      <c:overlay val="0"/>
    </c:title>
    <c:autoTitleDeleted val="0"/>
    <c:plotArea>
      <c:layout/>
      <c:lineChart>
        <c:grouping val="standard"/>
        <c:varyColors val="0"/>
        <c:ser>
          <c:idx val="0"/>
          <c:order val="0"/>
          <c:tx>
            <c:strRef>
              <c:f>'[WDES 2020.xlsx]Metric 4a'!$A$21</c:f>
              <c:strCache>
                <c:ptCount val="1"/>
                <c:pt idx="0">
                  <c:v>Disabled staff: EKHUFT</c:v>
                </c:pt>
              </c:strCache>
            </c:strRef>
          </c:tx>
          <c:spPr>
            <a:ln w="38100"/>
          </c:spPr>
          <c:marker>
            <c:symbol val="none"/>
          </c:marker>
          <c:cat>
            <c:numRef>
              <c:f>'[WDES 2020.xlsx]Metric 4a'!$B$20:$C$20</c:f>
              <c:numCache>
                <c:formatCode>General</c:formatCode>
                <c:ptCount val="2"/>
                <c:pt idx="0">
                  <c:v>2018</c:v>
                </c:pt>
                <c:pt idx="1">
                  <c:v>2019</c:v>
                </c:pt>
              </c:numCache>
            </c:numRef>
          </c:cat>
          <c:val>
            <c:numRef>
              <c:f>'[WDES 2020.xlsx]Metric 4a'!$B$21:$C$21</c:f>
              <c:numCache>
                <c:formatCode>0.00%</c:formatCode>
                <c:ptCount val="2"/>
                <c:pt idx="0">
                  <c:v>0.30499999999999999</c:v>
                </c:pt>
                <c:pt idx="1">
                  <c:v>0.255</c:v>
                </c:pt>
              </c:numCache>
            </c:numRef>
          </c:val>
          <c:smooth val="0"/>
          <c:extLst>
            <c:ext xmlns:c16="http://schemas.microsoft.com/office/drawing/2014/chart" uri="{C3380CC4-5D6E-409C-BE32-E72D297353CC}">
              <c16:uniqueId val="{00000000-583C-4A56-A6A6-966ADC0FBEF0}"/>
            </c:ext>
          </c:extLst>
        </c:ser>
        <c:ser>
          <c:idx val="1"/>
          <c:order val="1"/>
          <c:tx>
            <c:strRef>
              <c:f>'[WDES 2020.xlsx]Metric 4a'!$A$22</c:f>
              <c:strCache>
                <c:ptCount val="1"/>
                <c:pt idx="0">
                  <c:v>Non-disabled staff: EKHUFT</c:v>
                </c:pt>
              </c:strCache>
            </c:strRef>
          </c:tx>
          <c:spPr>
            <a:ln w="38100">
              <a:solidFill>
                <a:schemeClr val="accent1">
                  <a:lumMod val="60000"/>
                  <a:lumOff val="40000"/>
                </a:schemeClr>
              </a:solidFill>
              <a:prstDash val="sysDash"/>
            </a:ln>
          </c:spPr>
          <c:marker>
            <c:symbol val="none"/>
          </c:marker>
          <c:cat>
            <c:numRef>
              <c:f>'[WDES 2020.xlsx]Metric 4a'!$B$20:$C$20</c:f>
              <c:numCache>
                <c:formatCode>General</c:formatCode>
                <c:ptCount val="2"/>
                <c:pt idx="0">
                  <c:v>2018</c:v>
                </c:pt>
                <c:pt idx="1">
                  <c:v>2019</c:v>
                </c:pt>
              </c:numCache>
            </c:numRef>
          </c:cat>
          <c:val>
            <c:numRef>
              <c:f>'[WDES 2020.xlsx]Metric 4a'!$B$22:$C$22</c:f>
              <c:numCache>
                <c:formatCode>0.00%</c:formatCode>
                <c:ptCount val="2"/>
                <c:pt idx="0">
                  <c:v>0.21199999999999999</c:v>
                </c:pt>
                <c:pt idx="1">
                  <c:v>0.17899999999999999</c:v>
                </c:pt>
              </c:numCache>
            </c:numRef>
          </c:val>
          <c:smooth val="0"/>
          <c:extLst>
            <c:ext xmlns:c16="http://schemas.microsoft.com/office/drawing/2014/chart" uri="{C3380CC4-5D6E-409C-BE32-E72D297353CC}">
              <c16:uniqueId val="{00000001-583C-4A56-A6A6-966ADC0FBEF0}"/>
            </c:ext>
          </c:extLst>
        </c:ser>
        <c:ser>
          <c:idx val="2"/>
          <c:order val="2"/>
          <c:tx>
            <c:strRef>
              <c:f>'[WDES 2020.xlsx]Metric 4a'!$A$23</c:f>
              <c:strCache>
                <c:ptCount val="1"/>
                <c:pt idx="0">
                  <c:v>Disabled staff: Benchmark</c:v>
                </c:pt>
              </c:strCache>
            </c:strRef>
          </c:tx>
          <c:spPr>
            <a:ln w="38100">
              <a:solidFill>
                <a:schemeClr val="accent2">
                  <a:lumMod val="75000"/>
                </a:schemeClr>
              </a:solidFill>
            </a:ln>
          </c:spPr>
          <c:marker>
            <c:symbol val="none"/>
          </c:marker>
          <c:cat>
            <c:numRef>
              <c:f>'[WDES 2020.xlsx]Metric 4a'!$B$20:$C$20</c:f>
              <c:numCache>
                <c:formatCode>General</c:formatCode>
                <c:ptCount val="2"/>
                <c:pt idx="0">
                  <c:v>2018</c:v>
                </c:pt>
                <c:pt idx="1">
                  <c:v>2019</c:v>
                </c:pt>
              </c:numCache>
            </c:numRef>
          </c:cat>
          <c:val>
            <c:numRef>
              <c:f>'[WDES 2020.xlsx]Metric 4a'!$B$23:$C$23</c:f>
              <c:numCache>
                <c:formatCode>0.00%</c:formatCode>
                <c:ptCount val="2"/>
                <c:pt idx="0">
                  <c:v>0.2</c:v>
                </c:pt>
                <c:pt idx="1">
                  <c:v>0.19700000000000001</c:v>
                </c:pt>
              </c:numCache>
            </c:numRef>
          </c:val>
          <c:smooth val="0"/>
          <c:extLst>
            <c:ext xmlns:c16="http://schemas.microsoft.com/office/drawing/2014/chart" uri="{C3380CC4-5D6E-409C-BE32-E72D297353CC}">
              <c16:uniqueId val="{00000002-583C-4A56-A6A6-966ADC0FBEF0}"/>
            </c:ext>
          </c:extLst>
        </c:ser>
        <c:ser>
          <c:idx val="3"/>
          <c:order val="3"/>
          <c:tx>
            <c:strRef>
              <c:f>'[WDES 2020.xlsx]Metric 4a'!$A$24</c:f>
              <c:strCache>
                <c:ptCount val="1"/>
                <c:pt idx="0">
                  <c:v>Non-disabled staff: Benchmark</c:v>
                </c:pt>
              </c:strCache>
            </c:strRef>
          </c:tx>
          <c:spPr>
            <a:ln w="38100">
              <a:solidFill>
                <a:schemeClr val="accent2">
                  <a:lumMod val="60000"/>
                  <a:lumOff val="40000"/>
                </a:schemeClr>
              </a:solidFill>
              <a:prstDash val="sysDash"/>
            </a:ln>
          </c:spPr>
          <c:marker>
            <c:symbol val="none"/>
          </c:marker>
          <c:cat>
            <c:numRef>
              <c:f>'[WDES 2020.xlsx]Metric 4a'!$B$20:$C$20</c:f>
              <c:numCache>
                <c:formatCode>General</c:formatCode>
                <c:ptCount val="2"/>
                <c:pt idx="0">
                  <c:v>2018</c:v>
                </c:pt>
                <c:pt idx="1">
                  <c:v>2019</c:v>
                </c:pt>
              </c:numCache>
            </c:numRef>
          </c:cat>
          <c:val>
            <c:numRef>
              <c:f>'[WDES 2020.xlsx]Metric 4a'!$B$24:$C$24</c:f>
              <c:numCache>
                <c:formatCode>0.00%</c:formatCode>
                <c:ptCount val="2"/>
                <c:pt idx="0">
                  <c:v>0.121</c:v>
                </c:pt>
                <c:pt idx="1">
                  <c:v>0.11</c:v>
                </c:pt>
              </c:numCache>
            </c:numRef>
          </c:val>
          <c:smooth val="0"/>
          <c:extLst>
            <c:ext xmlns:c16="http://schemas.microsoft.com/office/drawing/2014/chart" uri="{C3380CC4-5D6E-409C-BE32-E72D297353CC}">
              <c16:uniqueId val="{00000003-583C-4A56-A6A6-966ADC0FBEF0}"/>
            </c:ext>
          </c:extLst>
        </c:ser>
        <c:dLbls>
          <c:showLegendKey val="0"/>
          <c:showVal val="0"/>
          <c:showCatName val="0"/>
          <c:showSerName val="0"/>
          <c:showPercent val="0"/>
          <c:showBubbleSize val="0"/>
        </c:dLbls>
        <c:smooth val="0"/>
        <c:axId val="45417216"/>
        <c:axId val="45419136"/>
      </c:lineChart>
      <c:catAx>
        <c:axId val="45417216"/>
        <c:scaling>
          <c:orientation val="minMax"/>
        </c:scaling>
        <c:delete val="0"/>
        <c:axPos val="b"/>
        <c:numFmt formatCode="General" sourceLinked="1"/>
        <c:majorTickMark val="out"/>
        <c:minorTickMark val="none"/>
        <c:tickLblPos val="nextTo"/>
        <c:crossAx val="45419136"/>
        <c:crosses val="autoZero"/>
        <c:auto val="1"/>
        <c:lblAlgn val="ctr"/>
        <c:lblOffset val="100"/>
        <c:noMultiLvlLbl val="0"/>
      </c:catAx>
      <c:valAx>
        <c:axId val="45419136"/>
        <c:scaling>
          <c:orientation val="minMax"/>
        </c:scaling>
        <c:delete val="0"/>
        <c:axPos val="l"/>
        <c:majorGridlines/>
        <c:numFmt formatCode="0.00%" sourceLinked="1"/>
        <c:majorTickMark val="out"/>
        <c:minorTickMark val="none"/>
        <c:tickLblPos val="nextTo"/>
        <c:crossAx val="45417216"/>
        <c:crosses val="autoZero"/>
        <c:crossBetween val="between"/>
      </c:valAx>
      <c:dTable>
        <c:showHorzBorder val="1"/>
        <c:showVertBorder val="1"/>
        <c:showOutline val="1"/>
        <c:showKeys val="1"/>
      </c:dTable>
    </c:plotArea>
    <c:plotVisOnly val="1"/>
    <c:dispBlanksAs val="gap"/>
    <c:showDLblsOverMax val="0"/>
  </c:chart>
  <c:spPr>
    <a:solidFill>
      <a:schemeClr val="bg1"/>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1" i="0" baseline="0">
                <a:effectLst/>
              </a:rPr>
              <a:t>Harassment, bullying or abuse from: Colleagues</a:t>
            </a:r>
            <a:endParaRPr lang="en-GB">
              <a:effectLst/>
            </a:endParaRPr>
          </a:p>
        </c:rich>
      </c:tx>
      <c:overlay val="0"/>
    </c:title>
    <c:autoTitleDeleted val="0"/>
    <c:plotArea>
      <c:layout/>
      <c:lineChart>
        <c:grouping val="standard"/>
        <c:varyColors val="0"/>
        <c:ser>
          <c:idx val="0"/>
          <c:order val="0"/>
          <c:tx>
            <c:strRef>
              <c:f>'[WDES 2020.xlsx]Metric 4a'!$A$33</c:f>
              <c:strCache>
                <c:ptCount val="1"/>
                <c:pt idx="0">
                  <c:v>Disabled staff:EKHUFT</c:v>
                </c:pt>
              </c:strCache>
            </c:strRef>
          </c:tx>
          <c:spPr>
            <a:ln w="38100">
              <a:solidFill>
                <a:schemeClr val="accent1"/>
              </a:solidFill>
            </a:ln>
          </c:spPr>
          <c:marker>
            <c:symbol val="none"/>
          </c:marker>
          <c:cat>
            <c:numRef>
              <c:f>'[WDES 2020.xlsx]Metric 4a'!$B$32:$C$32</c:f>
              <c:numCache>
                <c:formatCode>General</c:formatCode>
                <c:ptCount val="2"/>
                <c:pt idx="0">
                  <c:v>2018</c:v>
                </c:pt>
                <c:pt idx="1">
                  <c:v>2019</c:v>
                </c:pt>
              </c:numCache>
            </c:numRef>
          </c:cat>
          <c:val>
            <c:numRef>
              <c:f>'[WDES 2020.xlsx]Metric 4a'!$B$33:$C$33</c:f>
              <c:numCache>
                <c:formatCode>0.00%</c:formatCode>
                <c:ptCount val="2"/>
                <c:pt idx="0">
                  <c:v>0.309</c:v>
                </c:pt>
                <c:pt idx="1">
                  <c:v>0.309</c:v>
                </c:pt>
              </c:numCache>
            </c:numRef>
          </c:val>
          <c:smooth val="0"/>
          <c:extLst>
            <c:ext xmlns:c16="http://schemas.microsoft.com/office/drawing/2014/chart" uri="{C3380CC4-5D6E-409C-BE32-E72D297353CC}">
              <c16:uniqueId val="{00000000-C978-41C4-BA27-2054ADBBB908}"/>
            </c:ext>
          </c:extLst>
        </c:ser>
        <c:ser>
          <c:idx val="1"/>
          <c:order val="1"/>
          <c:tx>
            <c:strRef>
              <c:f>'[WDES 2020.xlsx]Metric 4a'!$A$34</c:f>
              <c:strCache>
                <c:ptCount val="1"/>
                <c:pt idx="0">
                  <c:v>Non-disabled staff: EKHUFT</c:v>
                </c:pt>
              </c:strCache>
            </c:strRef>
          </c:tx>
          <c:spPr>
            <a:ln w="38100">
              <a:solidFill>
                <a:schemeClr val="accent1">
                  <a:lumMod val="60000"/>
                  <a:lumOff val="40000"/>
                </a:schemeClr>
              </a:solidFill>
              <a:prstDash val="sysDash"/>
            </a:ln>
          </c:spPr>
          <c:marker>
            <c:symbol val="none"/>
          </c:marker>
          <c:cat>
            <c:numRef>
              <c:f>'[WDES 2020.xlsx]Metric 4a'!$B$32:$C$32</c:f>
              <c:numCache>
                <c:formatCode>General</c:formatCode>
                <c:ptCount val="2"/>
                <c:pt idx="0">
                  <c:v>2018</c:v>
                </c:pt>
                <c:pt idx="1">
                  <c:v>2019</c:v>
                </c:pt>
              </c:numCache>
            </c:numRef>
          </c:cat>
          <c:val>
            <c:numRef>
              <c:f>'[WDES 2020.xlsx]Metric 4a'!$B$34:$C$34</c:f>
              <c:numCache>
                <c:formatCode>0.00%</c:formatCode>
                <c:ptCount val="2"/>
                <c:pt idx="0">
                  <c:v>0.24299999999999999</c:v>
                </c:pt>
                <c:pt idx="1">
                  <c:v>0.23200000000000001</c:v>
                </c:pt>
              </c:numCache>
            </c:numRef>
          </c:val>
          <c:smooth val="0"/>
          <c:extLst>
            <c:ext xmlns:c16="http://schemas.microsoft.com/office/drawing/2014/chart" uri="{C3380CC4-5D6E-409C-BE32-E72D297353CC}">
              <c16:uniqueId val="{00000001-C978-41C4-BA27-2054ADBBB908}"/>
            </c:ext>
          </c:extLst>
        </c:ser>
        <c:ser>
          <c:idx val="2"/>
          <c:order val="2"/>
          <c:tx>
            <c:strRef>
              <c:f>'[WDES 2020.xlsx]Metric 4a'!$A$35</c:f>
              <c:strCache>
                <c:ptCount val="1"/>
                <c:pt idx="0">
                  <c:v>Disabled staff: Benchmark</c:v>
                </c:pt>
              </c:strCache>
            </c:strRef>
          </c:tx>
          <c:spPr>
            <a:ln w="38100">
              <a:solidFill>
                <a:schemeClr val="accent2">
                  <a:lumMod val="75000"/>
                </a:schemeClr>
              </a:solidFill>
            </a:ln>
          </c:spPr>
          <c:marker>
            <c:symbol val="none"/>
          </c:marker>
          <c:cat>
            <c:numRef>
              <c:f>'[WDES 2020.xlsx]Metric 4a'!$B$32:$C$32</c:f>
              <c:numCache>
                <c:formatCode>General</c:formatCode>
                <c:ptCount val="2"/>
                <c:pt idx="0">
                  <c:v>2018</c:v>
                </c:pt>
                <c:pt idx="1">
                  <c:v>2019</c:v>
                </c:pt>
              </c:numCache>
            </c:numRef>
          </c:cat>
          <c:val>
            <c:numRef>
              <c:f>'[WDES 2020.xlsx]Metric 4a'!$B$35:$C$35</c:f>
              <c:numCache>
                <c:formatCode>0.00%</c:formatCode>
                <c:ptCount val="2"/>
                <c:pt idx="0">
                  <c:v>0.28299999999999997</c:v>
                </c:pt>
                <c:pt idx="1">
                  <c:v>0.28100000000000003</c:v>
                </c:pt>
              </c:numCache>
            </c:numRef>
          </c:val>
          <c:smooth val="0"/>
          <c:extLst>
            <c:ext xmlns:c16="http://schemas.microsoft.com/office/drawing/2014/chart" uri="{C3380CC4-5D6E-409C-BE32-E72D297353CC}">
              <c16:uniqueId val="{00000002-C978-41C4-BA27-2054ADBBB908}"/>
            </c:ext>
          </c:extLst>
        </c:ser>
        <c:ser>
          <c:idx val="3"/>
          <c:order val="3"/>
          <c:tx>
            <c:strRef>
              <c:f>'[WDES 2020.xlsx]Metric 4a'!$A$36</c:f>
              <c:strCache>
                <c:ptCount val="1"/>
                <c:pt idx="0">
                  <c:v>Non-disabled staff: Benchmark</c:v>
                </c:pt>
              </c:strCache>
            </c:strRef>
          </c:tx>
          <c:spPr>
            <a:ln w="38100">
              <a:solidFill>
                <a:schemeClr val="accent2">
                  <a:lumMod val="60000"/>
                  <a:lumOff val="40000"/>
                </a:schemeClr>
              </a:solidFill>
              <a:prstDash val="sysDash"/>
            </a:ln>
          </c:spPr>
          <c:marker>
            <c:symbol val="none"/>
          </c:marker>
          <c:cat>
            <c:numRef>
              <c:f>'[WDES 2020.xlsx]Metric 4a'!$B$32:$C$32</c:f>
              <c:numCache>
                <c:formatCode>General</c:formatCode>
                <c:ptCount val="2"/>
                <c:pt idx="0">
                  <c:v>2018</c:v>
                </c:pt>
                <c:pt idx="1">
                  <c:v>2019</c:v>
                </c:pt>
              </c:numCache>
            </c:numRef>
          </c:cat>
          <c:val>
            <c:numRef>
              <c:f>'[WDES 2020.xlsx]Metric 4a'!$B$36:$C$36</c:f>
              <c:numCache>
                <c:formatCode>0.00%</c:formatCode>
                <c:ptCount val="2"/>
                <c:pt idx="0">
                  <c:v>0.189</c:v>
                </c:pt>
                <c:pt idx="1">
                  <c:v>0.184</c:v>
                </c:pt>
              </c:numCache>
            </c:numRef>
          </c:val>
          <c:smooth val="0"/>
          <c:extLst>
            <c:ext xmlns:c16="http://schemas.microsoft.com/office/drawing/2014/chart" uri="{C3380CC4-5D6E-409C-BE32-E72D297353CC}">
              <c16:uniqueId val="{00000003-C978-41C4-BA27-2054ADBBB908}"/>
            </c:ext>
          </c:extLst>
        </c:ser>
        <c:dLbls>
          <c:showLegendKey val="0"/>
          <c:showVal val="0"/>
          <c:showCatName val="0"/>
          <c:showSerName val="0"/>
          <c:showPercent val="0"/>
          <c:showBubbleSize val="0"/>
        </c:dLbls>
        <c:smooth val="0"/>
        <c:axId val="163208192"/>
        <c:axId val="163248000"/>
      </c:lineChart>
      <c:catAx>
        <c:axId val="163208192"/>
        <c:scaling>
          <c:orientation val="minMax"/>
        </c:scaling>
        <c:delete val="0"/>
        <c:axPos val="b"/>
        <c:numFmt formatCode="General" sourceLinked="1"/>
        <c:majorTickMark val="out"/>
        <c:minorTickMark val="none"/>
        <c:tickLblPos val="nextTo"/>
        <c:crossAx val="163248000"/>
        <c:crosses val="autoZero"/>
        <c:auto val="1"/>
        <c:lblAlgn val="ctr"/>
        <c:lblOffset val="100"/>
        <c:noMultiLvlLbl val="0"/>
      </c:catAx>
      <c:valAx>
        <c:axId val="163248000"/>
        <c:scaling>
          <c:orientation val="minMax"/>
          <c:min val="0.1"/>
        </c:scaling>
        <c:delete val="0"/>
        <c:axPos val="l"/>
        <c:majorGridlines/>
        <c:numFmt formatCode="0.00%" sourceLinked="1"/>
        <c:majorTickMark val="out"/>
        <c:minorTickMark val="none"/>
        <c:tickLblPos val="nextTo"/>
        <c:crossAx val="163208192"/>
        <c:crosses val="autoZero"/>
        <c:crossBetween val="between"/>
      </c:valAx>
      <c:dTable>
        <c:showHorzBorder val="1"/>
        <c:showVertBorder val="1"/>
        <c:showOutline val="1"/>
        <c:showKeys val="1"/>
      </c:dTable>
    </c:plotArea>
    <c:plotVisOnly val="1"/>
    <c:dispBlanksAs val="gap"/>
    <c:showDLblsOverMax val="0"/>
  </c:chart>
  <c:spPr>
    <a:solidFill>
      <a:schemeClr val="bg1"/>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0" i="0" u="none" strike="noStrike" baseline="0">
                <a:effectLst/>
              </a:rPr>
              <a:t>Reporting harassment, bullying or abuse at work</a:t>
            </a:r>
            <a:endParaRPr lang="en-GB"/>
          </a:p>
        </c:rich>
      </c:tx>
      <c:overlay val="0"/>
    </c:title>
    <c:autoTitleDeleted val="0"/>
    <c:plotArea>
      <c:layout>
        <c:manualLayout>
          <c:layoutTarget val="inner"/>
          <c:xMode val="edge"/>
          <c:yMode val="edge"/>
          <c:x val="0.38629001271748248"/>
          <c:y val="0.20529653745204926"/>
          <c:w val="0.57705477536957361"/>
          <c:h val="0.49052695336159902"/>
        </c:manualLayout>
      </c:layout>
      <c:lineChart>
        <c:grouping val="standard"/>
        <c:varyColors val="0"/>
        <c:ser>
          <c:idx val="0"/>
          <c:order val="0"/>
          <c:tx>
            <c:strRef>
              <c:f>'[WDES 2020.xlsx]Metric 4b'!$A$6</c:f>
              <c:strCache>
                <c:ptCount val="1"/>
                <c:pt idx="0">
                  <c:v>Disabled staff: EKHUFT</c:v>
                </c:pt>
              </c:strCache>
            </c:strRef>
          </c:tx>
          <c:spPr>
            <a:ln w="38100">
              <a:solidFill>
                <a:schemeClr val="accent1">
                  <a:lumMod val="75000"/>
                </a:schemeClr>
              </a:solidFill>
            </a:ln>
          </c:spPr>
          <c:marker>
            <c:symbol val="none"/>
          </c:marker>
          <c:cat>
            <c:numRef>
              <c:f>'[WDES 2020.xlsx]Metric 4b'!$B$5:$C$5</c:f>
              <c:numCache>
                <c:formatCode>General</c:formatCode>
                <c:ptCount val="2"/>
                <c:pt idx="0">
                  <c:v>2018</c:v>
                </c:pt>
                <c:pt idx="1">
                  <c:v>2019</c:v>
                </c:pt>
              </c:numCache>
            </c:numRef>
          </c:cat>
          <c:val>
            <c:numRef>
              <c:f>'[WDES 2020.xlsx]Metric 4b'!$B$6:$C$6</c:f>
              <c:numCache>
                <c:formatCode>0.0%</c:formatCode>
                <c:ptCount val="2"/>
                <c:pt idx="0">
                  <c:v>0.436</c:v>
                </c:pt>
                <c:pt idx="1">
                  <c:v>0.42499999999999999</c:v>
                </c:pt>
              </c:numCache>
            </c:numRef>
          </c:val>
          <c:smooth val="0"/>
          <c:extLst>
            <c:ext xmlns:c16="http://schemas.microsoft.com/office/drawing/2014/chart" uri="{C3380CC4-5D6E-409C-BE32-E72D297353CC}">
              <c16:uniqueId val="{00000000-D47D-4C7D-AE73-204BDE63A9D9}"/>
            </c:ext>
          </c:extLst>
        </c:ser>
        <c:ser>
          <c:idx val="1"/>
          <c:order val="1"/>
          <c:tx>
            <c:strRef>
              <c:f>'[WDES 2020.xlsx]Metric 4b'!$A$7</c:f>
              <c:strCache>
                <c:ptCount val="1"/>
                <c:pt idx="0">
                  <c:v>Non-disabled staff: EKHUFT</c:v>
                </c:pt>
              </c:strCache>
            </c:strRef>
          </c:tx>
          <c:spPr>
            <a:ln w="38100">
              <a:solidFill>
                <a:schemeClr val="accent1">
                  <a:lumMod val="60000"/>
                  <a:lumOff val="40000"/>
                </a:schemeClr>
              </a:solidFill>
              <a:prstDash val="sysDash"/>
            </a:ln>
          </c:spPr>
          <c:marker>
            <c:symbol val="none"/>
          </c:marker>
          <c:cat>
            <c:numRef>
              <c:f>'[WDES 2020.xlsx]Metric 4b'!$B$5:$C$5</c:f>
              <c:numCache>
                <c:formatCode>General</c:formatCode>
                <c:ptCount val="2"/>
                <c:pt idx="0">
                  <c:v>2018</c:v>
                </c:pt>
                <c:pt idx="1">
                  <c:v>2019</c:v>
                </c:pt>
              </c:numCache>
            </c:numRef>
          </c:cat>
          <c:val>
            <c:numRef>
              <c:f>'[WDES 2020.xlsx]Metric 4b'!$B$7:$C$7</c:f>
              <c:numCache>
                <c:formatCode>0.0%</c:formatCode>
                <c:ptCount val="2"/>
                <c:pt idx="0">
                  <c:v>0.41599999999999998</c:v>
                </c:pt>
                <c:pt idx="1">
                  <c:v>0.42499999999999999</c:v>
                </c:pt>
              </c:numCache>
            </c:numRef>
          </c:val>
          <c:smooth val="0"/>
          <c:extLst>
            <c:ext xmlns:c16="http://schemas.microsoft.com/office/drawing/2014/chart" uri="{C3380CC4-5D6E-409C-BE32-E72D297353CC}">
              <c16:uniqueId val="{00000001-D47D-4C7D-AE73-204BDE63A9D9}"/>
            </c:ext>
          </c:extLst>
        </c:ser>
        <c:ser>
          <c:idx val="2"/>
          <c:order val="2"/>
          <c:tx>
            <c:strRef>
              <c:f>'[WDES 2020.xlsx]Metric 4b'!$A$8</c:f>
              <c:strCache>
                <c:ptCount val="1"/>
                <c:pt idx="0">
                  <c:v>Disabled staff: Benchmark</c:v>
                </c:pt>
              </c:strCache>
            </c:strRef>
          </c:tx>
          <c:spPr>
            <a:ln w="38100">
              <a:solidFill>
                <a:schemeClr val="accent2">
                  <a:lumMod val="75000"/>
                </a:schemeClr>
              </a:solidFill>
            </a:ln>
          </c:spPr>
          <c:marker>
            <c:symbol val="none"/>
          </c:marker>
          <c:cat>
            <c:numRef>
              <c:f>'[WDES 2020.xlsx]Metric 4b'!$B$5:$C$5</c:f>
              <c:numCache>
                <c:formatCode>General</c:formatCode>
                <c:ptCount val="2"/>
                <c:pt idx="0">
                  <c:v>2018</c:v>
                </c:pt>
                <c:pt idx="1">
                  <c:v>2019</c:v>
                </c:pt>
              </c:numCache>
            </c:numRef>
          </c:cat>
          <c:val>
            <c:numRef>
              <c:f>'[WDES 2020.xlsx]Metric 4b'!$B$8:$C$8</c:f>
              <c:numCache>
                <c:formatCode>0.0%</c:formatCode>
                <c:ptCount val="2"/>
                <c:pt idx="0">
                  <c:v>0.442</c:v>
                </c:pt>
                <c:pt idx="1">
                  <c:v>0.46700000000000003</c:v>
                </c:pt>
              </c:numCache>
            </c:numRef>
          </c:val>
          <c:smooth val="0"/>
          <c:extLst>
            <c:ext xmlns:c16="http://schemas.microsoft.com/office/drawing/2014/chart" uri="{C3380CC4-5D6E-409C-BE32-E72D297353CC}">
              <c16:uniqueId val="{00000002-D47D-4C7D-AE73-204BDE63A9D9}"/>
            </c:ext>
          </c:extLst>
        </c:ser>
        <c:ser>
          <c:idx val="3"/>
          <c:order val="3"/>
          <c:tx>
            <c:strRef>
              <c:f>'[WDES 2020.xlsx]Metric 4b'!$A$9</c:f>
              <c:strCache>
                <c:ptCount val="1"/>
                <c:pt idx="0">
                  <c:v>Non-disabled staff: Benchmark</c:v>
                </c:pt>
              </c:strCache>
            </c:strRef>
          </c:tx>
          <c:spPr>
            <a:ln w="38100">
              <a:solidFill>
                <a:schemeClr val="accent2">
                  <a:lumMod val="60000"/>
                  <a:lumOff val="40000"/>
                </a:schemeClr>
              </a:solidFill>
              <a:prstDash val="sysDash"/>
            </a:ln>
          </c:spPr>
          <c:marker>
            <c:symbol val="none"/>
          </c:marker>
          <c:cat>
            <c:numRef>
              <c:f>'[WDES 2020.xlsx]Metric 4b'!$B$5:$C$5</c:f>
              <c:numCache>
                <c:formatCode>General</c:formatCode>
                <c:ptCount val="2"/>
                <c:pt idx="0">
                  <c:v>2018</c:v>
                </c:pt>
                <c:pt idx="1">
                  <c:v>2019</c:v>
                </c:pt>
              </c:numCache>
            </c:numRef>
          </c:cat>
          <c:val>
            <c:numRef>
              <c:f>'[WDES 2020.xlsx]Metric 4b'!$B$9:$C$9</c:f>
              <c:numCache>
                <c:formatCode>0.0%</c:formatCode>
                <c:ptCount val="2"/>
                <c:pt idx="0">
                  <c:v>0.44400000000000001</c:v>
                </c:pt>
                <c:pt idx="1">
                  <c:v>0.45600000000000002</c:v>
                </c:pt>
              </c:numCache>
            </c:numRef>
          </c:val>
          <c:smooth val="0"/>
          <c:extLst>
            <c:ext xmlns:c16="http://schemas.microsoft.com/office/drawing/2014/chart" uri="{C3380CC4-5D6E-409C-BE32-E72D297353CC}">
              <c16:uniqueId val="{00000003-D47D-4C7D-AE73-204BDE63A9D9}"/>
            </c:ext>
          </c:extLst>
        </c:ser>
        <c:dLbls>
          <c:showLegendKey val="0"/>
          <c:showVal val="0"/>
          <c:showCatName val="0"/>
          <c:showSerName val="0"/>
          <c:showPercent val="0"/>
          <c:showBubbleSize val="0"/>
        </c:dLbls>
        <c:smooth val="0"/>
        <c:axId val="184808576"/>
        <c:axId val="184810112"/>
      </c:lineChart>
      <c:catAx>
        <c:axId val="184808576"/>
        <c:scaling>
          <c:orientation val="minMax"/>
        </c:scaling>
        <c:delete val="0"/>
        <c:axPos val="b"/>
        <c:numFmt formatCode="General" sourceLinked="1"/>
        <c:majorTickMark val="out"/>
        <c:minorTickMark val="none"/>
        <c:tickLblPos val="nextTo"/>
        <c:crossAx val="184810112"/>
        <c:crosses val="autoZero"/>
        <c:auto val="1"/>
        <c:lblAlgn val="ctr"/>
        <c:lblOffset val="100"/>
        <c:noMultiLvlLbl val="0"/>
      </c:catAx>
      <c:valAx>
        <c:axId val="184810112"/>
        <c:scaling>
          <c:orientation val="minMax"/>
        </c:scaling>
        <c:delete val="0"/>
        <c:axPos val="l"/>
        <c:majorGridlines/>
        <c:numFmt formatCode="0.0%" sourceLinked="1"/>
        <c:majorTickMark val="out"/>
        <c:minorTickMark val="none"/>
        <c:tickLblPos val="nextTo"/>
        <c:crossAx val="184808576"/>
        <c:crosses val="autoZero"/>
        <c:crossBetween val="between"/>
      </c:valAx>
      <c:dTable>
        <c:showHorzBorder val="1"/>
        <c:showVertBorder val="1"/>
        <c:showOutline val="1"/>
        <c:showKeys val="1"/>
      </c:dTable>
    </c:plotArea>
    <c:plotVisOnly val="1"/>
    <c:dispBlanksAs val="gap"/>
    <c:showDLblsOverMax val="0"/>
  </c:chart>
  <c:spPr>
    <a:solidFill>
      <a:schemeClr val="bg1"/>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staff believing that the Trust provides equal opportunities for career progression or promotion</a:t>
            </a:r>
          </a:p>
        </c:rich>
      </c:tx>
      <c:overlay val="0"/>
    </c:title>
    <c:autoTitleDeleted val="0"/>
    <c:plotArea>
      <c:layout/>
      <c:lineChart>
        <c:grouping val="standard"/>
        <c:varyColors val="0"/>
        <c:ser>
          <c:idx val="0"/>
          <c:order val="0"/>
          <c:tx>
            <c:strRef>
              <c:f>'[WDES 2020.xlsx]Metric 5'!$A$5</c:f>
              <c:strCache>
                <c:ptCount val="1"/>
                <c:pt idx="0">
                  <c:v>Disabled staff: EKHUFT</c:v>
                </c:pt>
              </c:strCache>
            </c:strRef>
          </c:tx>
          <c:spPr>
            <a:ln w="38100">
              <a:solidFill>
                <a:schemeClr val="accent1">
                  <a:lumMod val="75000"/>
                </a:schemeClr>
              </a:solidFill>
            </a:ln>
          </c:spPr>
          <c:marker>
            <c:symbol val="none"/>
          </c:marker>
          <c:cat>
            <c:numRef>
              <c:f>'[WDES 2020.xlsx]Metric 5'!$B$4:$C$4</c:f>
              <c:numCache>
                <c:formatCode>General</c:formatCode>
                <c:ptCount val="2"/>
                <c:pt idx="0">
                  <c:v>2018</c:v>
                </c:pt>
                <c:pt idx="1">
                  <c:v>2019</c:v>
                </c:pt>
              </c:numCache>
            </c:numRef>
          </c:cat>
          <c:val>
            <c:numRef>
              <c:f>'[WDES 2020.xlsx]Metric 5'!$B$5:$C$5</c:f>
              <c:numCache>
                <c:formatCode>0.0%</c:formatCode>
                <c:ptCount val="2"/>
                <c:pt idx="0">
                  <c:v>0.70799999999999996</c:v>
                </c:pt>
                <c:pt idx="1">
                  <c:v>0.79100000000000004</c:v>
                </c:pt>
              </c:numCache>
            </c:numRef>
          </c:val>
          <c:smooth val="0"/>
          <c:extLst>
            <c:ext xmlns:c16="http://schemas.microsoft.com/office/drawing/2014/chart" uri="{C3380CC4-5D6E-409C-BE32-E72D297353CC}">
              <c16:uniqueId val="{00000000-A4A0-478F-891D-34158B3FEDBB}"/>
            </c:ext>
          </c:extLst>
        </c:ser>
        <c:ser>
          <c:idx val="1"/>
          <c:order val="1"/>
          <c:tx>
            <c:strRef>
              <c:f>'[WDES 2020.xlsx]Metric 5'!$A$6</c:f>
              <c:strCache>
                <c:ptCount val="1"/>
                <c:pt idx="0">
                  <c:v>Non-disabled staff: EKHUFT</c:v>
                </c:pt>
              </c:strCache>
            </c:strRef>
          </c:tx>
          <c:spPr>
            <a:ln w="38100">
              <a:solidFill>
                <a:schemeClr val="accent1">
                  <a:lumMod val="60000"/>
                  <a:lumOff val="40000"/>
                </a:schemeClr>
              </a:solidFill>
              <a:prstDash val="sysDash"/>
            </a:ln>
          </c:spPr>
          <c:marker>
            <c:symbol val="none"/>
          </c:marker>
          <c:cat>
            <c:numRef>
              <c:f>'[WDES 2020.xlsx]Metric 5'!$B$4:$C$4</c:f>
              <c:numCache>
                <c:formatCode>General</c:formatCode>
                <c:ptCount val="2"/>
                <c:pt idx="0">
                  <c:v>2018</c:v>
                </c:pt>
                <c:pt idx="1">
                  <c:v>2019</c:v>
                </c:pt>
              </c:numCache>
            </c:numRef>
          </c:cat>
          <c:val>
            <c:numRef>
              <c:f>'[WDES 2020.xlsx]Metric 5'!$B$6:$C$6</c:f>
              <c:numCache>
                <c:formatCode>0.0%</c:formatCode>
                <c:ptCount val="2"/>
                <c:pt idx="0">
                  <c:v>0.82199999999999995</c:v>
                </c:pt>
                <c:pt idx="1">
                  <c:v>0.84399999999999997</c:v>
                </c:pt>
              </c:numCache>
            </c:numRef>
          </c:val>
          <c:smooth val="0"/>
          <c:extLst>
            <c:ext xmlns:c16="http://schemas.microsoft.com/office/drawing/2014/chart" uri="{C3380CC4-5D6E-409C-BE32-E72D297353CC}">
              <c16:uniqueId val="{00000001-A4A0-478F-891D-34158B3FEDBB}"/>
            </c:ext>
          </c:extLst>
        </c:ser>
        <c:ser>
          <c:idx val="2"/>
          <c:order val="2"/>
          <c:tx>
            <c:strRef>
              <c:f>'[WDES 2020.xlsx]Metric 5'!$A$7</c:f>
              <c:strCache>
                <c:ptCount val="1"/>
                <c:pt idx="0">
                  <c:v>Disabled staff: Benchmark</c:v>
                </c:pt>
              </c:strCache>
            </c:strRef>
          </c:tx>
          <c:spPr>
            <a:ln w="38100">
              <a:solidFill>
                <a:schemeClr val="accent2">
                  <a:lumMod val="75000"/>
                </a:schemeClr>
              </a:solidFill>
            </a:ln>
          </c:spPr>
          <c:marker>
            <c:symbol val="none"/>
          </c:marker>
          <c:cat>
            <c:numRef>
              <c:f>'[WDES 2020.xlsx]Metric 5'!$B$4:$C$4</c:f>
              <c:numCache>
                <c:formatCode>General</c:formatCode>
                <c:ptCount val="2"/>
                <c:pt idx="0">
                  <c:v>2018</c:v>
                </c:pt>
                <c:pt idx="1">
                  <c:v>2019</c:v>
                </c:pt>
              </c:numCache>
            </c:numRef>
          </c:cat>
          <c:val>
            <c:numRef>
              <c:f>'[WDES 2020.xlsx]Metric 5'!$B$7:$C$7</c:f>
              <c:numCache>
                <c:formatCode>0.0%</c:formatCode>
                <c:ptCount val="2"/>
                <c:pt idx="0">
                  <c:v>0.78200000000000003</c:v>
                </c:pt>
                <c:pt idx="1">
                  <c:v>0.79100000000000004</c:v>
                </c:pt>
              </c:numCache>
            </c:numRef>
          </c:val>
          <c:smooth val="0"/>
          <c:extLst>
            <c:ext xmlns:c16="http://schemas.microsoft.com/office/drawing/2014/chart" uri="{C3380CC4-5D6E-409C-BE32-E72D297353CC}">
              <c16:uniqueId val="{00000002-A4A0-478F-891D-34158B3FEDBB}"/>
            </c:ext>
          </c:extLst>
        </c:ser>
        <c:ser>
          <c:idx val="3"/>
          <c:order val="3"/>
          <c:tx>
            <c:strRef>
              <c:f>'[WDES 2020.xlsx]Metric 5'!$A$8</c:f>
              <c:strCache>
                <c:ptCount val="1"/>
                <c:pt idx="0">
                  <c:v>Non-disabled staff: Benchmark</c:v>
                </c:pt>
              </c:strCache>
            </c:strRef>
          </c:tx>
          <c:spPr>
            <a:ln w="38100">
              <a:solidFill>
                <a:schemeClr val="accent2">
                  <a:lumMod val="60000"/>
                  <a:lumOff val="40000"/>
                </a:schemeClr>
              </a:solidFill>
              <a:prstDash val="sysDash"/>
            </a:ln>
          </c:spPr>
          <c:marker>
            <c:symbol val="none"/>
          </c:marker>
          <c:cat>
            <c:numRef>
              <c:f>'[WDES 2020.xlsx]Metric 5'!$B$4:$C$4</c:f>
              <c:numCache>
                <c:formatCode>General</c:formatCode>
                <c:ptCount val="2"/>
                <c:pt idx="0">
                  <c:v>2018</c:v>
                </c:pt>
                <c:pt idx="1">
                  <c:v>2019</c:v>
                </c:pt>
              </c:numCache>
            </c:numRef>
          </c:cat>
          <c:val>
            <c:numRef>
              <c:f>'[WDES 2020.xlsx]Metric 5'!$B$8:$C$8</c:f>
              <c:numCache>
                <c:formatCode>0.0%</c:formatCode>
                <c:ptCount val="2"/>
                <c:pt idx="0">
                  <c:v>0.85299999999999998</c:v>
                </c:pt>
                <c:pt idx="1">
                  <c:v>0.85599999999999998</c:v>
                </c:pt>
              </c:numCache>
            </c:numRef>
          </c:val>
          <c:smooth val="0"/>
          <c:extLst>
            <c:ext xmlns:c16="http://schemas.microsoft.com/office/drawing/2014/chart" uri="{C3380CC4-5D6E-409C-BE32-E72D297353CC}">
              <c16:uniqueId val="{00000003-A4A0-478F-891D-34158B3FEDBB}"/>
            </c:ext>
          </c:extLst>
        </c:ser>
        <c:dLbls>
          <c:showLegendKey val="0"/>
          <c:showVal val="0"/>
          <c:showCatName val="0"/>
          <c:showSerName val="0"/>
          <c:showPercent val="0"/>
          <c:showBubbleSize val="0"/>
        </c:dLbls>
        <c:smooth val="0"/>
        <c:axId val="192703488"/>
        <c:axId val="192705280"/>
      </c:lineChart>
      <c:catAx>
        <c:axId val="192703488"/>
        <c:scaling>
          <c:orientation val="minMax"/>
        </c:scaling>
        <c:delete val="0"/>
        <c:axPos val="b"/>
        <c:numFmt formatCode="General" sourceLinked="1"/>
        <c:majorTickMark val="out"/>
        <c:minorTickMark val="none"/>
        <c:tickLblPos val="nextTo"/>
        <c:crossAx val="192705280"/>
        <c:crosses val="autoZero"/>
        <c:auto val="1"/>
        <c:lblAlgn val="ctr"/>
        <c:lblOffset val="100"/>
        <c:noMultiLvlLbl val="0"/>
      </c:catAx>
      <c:valAx>
        <c:axId val="192705280"/>
        <c:scaling>
          <c:orientation val="minMax"/>
          <c:min val="0.60000000000000009"/>
        </c:scaling>
        <c:delete val="0"/>
        <c:axPos val="l"/>
        <c:majorGridlines/>
        <c:numFmt formatCode="0.0%" sourceLinked="1"/>
        <c:majorTickMark val="out"/>
        <c:minorTickMark val="none"/>
        <c:tickLblPos val="nextTo"/>
        <c:crossAx val="192703488"/>
        <c:crosses val="autoZero"/>
        <c:crossBetween val="between"/>
      </c:valAx>
      <c:dTable>
        <c:showHorzBorder val="1"/>
        <c:showVertBorder val="1"/>
        <c:showOutline val="1"/>
        <c:showKeys val="1"/>
      </c:dTable>
    </c:plotArea>
    <c:plotVisOnly val="1"/>
    <c:dispBlanksAs val="gap"/>
    <c:showDLblsOverMax val="0"/>
  </c:chart>
  <c:spPr>
    <a:solidFill>
      <a:schemeClr val="bg1"/>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staff saying that they have felt pressure from their manager to come to work, despite not feeling well enough</a:t>
            </a:r>
          </a:p>
        </c:rich>
      </c:tx>
      <c:overlay val="0"/>
    </c:title>
    <c:autoTitleDeleted val="0"/>
    <c:plotArea>
      <c:layout/>
      <c:lineChart>
        <c:grouping val="standard"/>
        <c:varyColors val="0"/>
        <c:ser>
          <c:idx val="0"/>
          <c:order val="0"/>
          <c:tx>
            <c:strRef>
              <c:f>'[WDES 2020.xlsx]Metric 6'!$A$6</c:f>
              <c:strCache>
                <c:ptCount val="1"/>
                <c:pt idx="0">
                  <c:v>Disabled staff: EKHUFT</c:v>
                </c:pt>
              </c:strCache>
            </c:strRef>
          </c:tx>
          <c:spPr>
            <a:ln w="38100">
              <a:solidFill>
                <a:schemeClr val="accent1">
                  <a:lumMod val="75000"/>
                </a:schemeClr>
              </a:solidFill>
            </a:ln>
          </c:spPr>
          <c:marker>
            <c:symbol val="none"/>
          </c:marker>
          <c:cat>
            <c:numRef>
              <c:f>'[WDES 2020.xlsx]Metric 6'!$B$5:$C$5</c:f>
              <c:numCache>
                <c:formatCode>General</c:formatCode>
                <c:ptCount val="2"/>
                <c:pt idx="0">
                  <c:v>2018</c:v>
                </c:pt>
                <c:pt idx="1">
                  <c:v>2019</c:v>
                </c:pt>
              </c:numCache>
            </c:numRef>
          </c:cat>
          <c:val>
            <c:numRef>
              <c:f>'[WDES 2020.xlsx]Metric 6'!$B$6:$C$6</c:f>
              <c:numCache>
                <c:formatCode>0.0%</c:formatCode>
                <c:ptCount val="2"/>
                <c:pt idx="0">
                  <c:v>0.432</c:v>
                </c:pt>
                <c:pt idx="1">
                  <c:v>0.35199999999999998</c:v>
                </c:pt>
              </c:numCache>
            </c:numRef>
          </c:val>
          <c:smooth val="0"/>
          <c:extLst>
            <c:ext xmlns:c16="http://schemas.microsoft.com/office/drawing/2014/chart" uri="{C3380CC4-5D6E-409C-BE32-E72D297353CC}">
              <c16:uniqueId val="{00000000-6E91-4974-B688-BDA85A1ED0F4}"/>
            </c:ext>
          </c:extLst>
        </c:ser>
        <c:ser>
          <c:idx val="1"/>
          <c:order val="1"/>
          <c:tx>
            <c:strRef>
              <c:f>'[WDES 2020.xlsx]Metric 6'!$A$7</c:f>
              <c:strCache>
                <c:ptCount val="1"/>
                <c:pt idx="0">
                  <c:v>Non-disabled staff: EKHUFT</c:v>
                </c:pt>
              </c:strCache>
            </c:strRef>
          </c:tx>
          <c:spPr>
            <a:ln w="38100">
              <a:solidFill>
                <a:schemeClr val="accent1">
                  <a:lumMod val="60000"/>
                  <a:lumOff val="40000"/>
                </a:schemeClr>
              </a:solidFill>
              <a:prstDash val="sysDash"/>
            </a:ln>
          </c:spPr>
          <c:marker>
            <c:symbol val="none"/>
          </c:marker>
          <c:cat>
            <c:numRef>
              <c:f>'[WDES 2020.xlsx]Metric 6'!$B$5:$C$5</c:f>
              <c:numCache>
                <c:formatCode>General</c:formatCode>
                <c:ptCount val="2"/>
                <c:pt idx="0">
                  <c:v>2018</c:v>
                </c:pt>
                <c:pt idx="1">
                  <c:v>2019</c:v>
                </c:pt>
              </c:numCache>
            </c:numRef>
          </c:cat>
          <c:val>
            <c:numRef>
              <c:f>'[WDES 2020.xlsx]Metric 6'!$B$7:$C$7</c:f>
              <c:numCache>
                <c:formatCode>0.0%</c:formatCode>
                <c:ptCount val="2"/>
                <c:pt idx="0">
                  <c:v>0.29399999999999998</c:v>
                </c:pt>
                <c:pt idx="1">
                  <c:v>0.25700000000000001</c:v>
                </c:pt>
              </c:numCache>
            </c:numRef>
          </c:val>
          <c:smooth val="0"/>
          <c:extLst>
            <c:ext xmlns:c16="http://schemas.microsoft.com/office/drawing/2014/chart" uri="{C3380CC4-5D6E-409C-BE32-E72D297353CC}">
              <c16:uniqueId val="{00000001-6E91-4974-B688-BDA85A1ED0F4}"/>
            </c:ext>
          </c:extLst>
        </c:ser>
        <c:ser>
          <c:idx val="2"/>
          <c:order val="2"/>
          <c:tx>
            <c:strRef>
              <c:f>'[WDES 2020.xlsx]Metric 6'!$A$8</c:f>
              <c:strCache>
                <c:ptCount val="1"/>
                <c:pt idx="0">
                  <c:v>Disabled staff: Benchmark</c:v>
                </c:pt>
              </c:strCache>
            </c:strRef>
          </c:tx>
          <c:spPr>
            <a:ln w="38100">
              <a:solidFill>
                <a:schemeClr val="accent2">
                  <a:lumMod val="75000"/>
                </a:schemeClr>
              </a:solidFill>
            </a:ln>
          </c:spPr>
          <c:marker>
            <c:symbol val="none"/>
          </c:marker>
          <c:cat>
            <c:numRef>
              <c:f>'[WDES 2020.xlsx]Metric 6'!$B$5:$C$5</c:f>
              <c:numCache>
                <c:formatCode>General</c:formatCode>
                <c:ptCount val="2"/>
                <c:pt idx="0">
                  <c:v>2018</c:v>
                </c:pt>
                <c:pt idx="1">
                  <c:v>2019</c:v>
                </c:pt>
              </c:numCache>
            </c:numRef>
          </c:cat>
          <c:val>
            <c:numRef>
              <c:f>'[WDES 2020.xlsx]Metric 6'!$B$8:$C$8</c:f>
              <c:numCache>
                <c:formatCode>0.0%</c:formatCode>
                <c:ptCount val="2"/>
                <c:pt idx="0">
                  <c:v>0.33500000000000002</c:v>
                </c:pt>
                <c:pt idx="1">
                  <c:v>0.32700000000000001</c:v>
                </c:pt>
              </c:numCache>
            </c:numRef>
          </c:val>
          <c:smooth val="0"/>
          <c:extLst>
            <c:ext xmlns:c16="http://schemas.microsoft.com/office/drawing/2014/chart" uri="{C3380CC4-5D6E-409C-BE32-E72D297353CC}">
              <c16:uniqueId val="{00000002-6E91-4974-B688-BDA85A1ED0F4}"/>
            </c:ext>
          </c:extLst>
        </c:ser>
        <c:ser>
          <c:idx val="3"/>
          <c:order val="3"/>
          <c:tx>
            <c:strRef>
              <c:f>'[WDES 2020.xlsx]Metric 6'!$A$9</c:f>
              <c:strCache>
                <c:ptCount val="1"/>
                <c:pt idx="0">
                  <c:v>Non-disabled staff: Benchmark</c:v>
                </c:pt>
              </c:strCache>
            </c:strRef>
          </c:tx>
          <c:spPr>
            <a:ln w="38100">
              <a:solidFill>
                <a:schemeClr val="accent2">
                  <a:lumMod val="60000"/>
                  <a:lumOff val="40000"/>
                </a:schemeClr>
              </a:solidFill>
              <a:prstDash val="sysDash"/>
            </a:ln>
          </c:spPr>
          <c:marker>
            <c:symbol val="none"/>
          </c:marker>
          <c:cat>
            <c:numRef>
              <c:f>'[WDES 2020.xlsx]Metric 6'!$B$5:$C$5</c:f>
              <c:numCache>
                <c:formatCode>General</c:formatCode>
                <c:ptCount val="2"/>
                <c:pt idx="0">
                  <c:v>2018</c:v>
                </c:pt>
                <c:pt idx="1">
                  <c:v>2019</c:v>
                </c:pt>
              </c:numCache>
            </c:numRef>
          </c:cat>
          <c:val>
            <c:numRef>
              <c:f>'[WDES 2020.xlsx]Metric 6'!$B$9:$C$9</c:f>
              <c:numCache>
                <c:formatCode>0.0%</c:formatCode>
                <c:ptCount val="2"/>
                <c:pt idx="0">
                  <c:v>0.23899999999999999</c:v>
                </c:pt>
                <c:pt idx="1">
                  <c:v>0.224</c:v>
                </c:pt>
              </c:numCache>
            </c:numRef>
          </c:val>
          <c:smooth val="0"/>
          <c:extLst>
            <c:ext xmlns:c16="http://schemas.microsoft.com/office/drawing/2014/chart" uri="{C3380CC4-5D6E-409C-BE32-E72D297353CC}">
              <c16:uniqueId val="{00000003-6E91-4974-B688-BDA85A1ED0F4}"/>
            </c:ext>
          </c:extLst>
        </c:ser>
        <c:dLbls>
          <c:showLegendKey val="0"/>
          <c:showVal val="0"/>
          <c:showCatName val="0"/>
          <c:showSerName val="0"/>
          <c:showPercent val="0"/>
          <c:showBubbleSize val="0"/>
        </c:dLbls>
        <c:smooth val="0"/>
        <c:axId val="27477120"/>
        <c:axId val="27478656"/>
      </c:lineChart>
      <c:catAx>
        <c:axId val="27477120"/>
        <c:scaling>
          <c:orientation val="minMax"/>
        </c:scaling>
        <c:delete val="0"/>
        <c:axPos val="b"/>
        <c:numFmt formatCode="General" sourceLinked="1"/>
        <c:majorTickMark val="out"/>
        <c:minorTickMark val="none"/>
        <c:tickLblPos val="nextTo"/>
        <c:crossAx val="27478656"/>
        <c:crosses val="autoZero"/>
        <c:auto val="1"/>
        <c:lblAlgn val="ctr"/>
        <c:lblOffset val="100"/>
        <c:noMultiLvlLbl val="0"/>
      </c:catAx>
      <c:valAx>
        <c:axId val="27478656"/>
        <c:scaling>
          <c:orientation val="minMax"/>
          <c:min val="0.15000000000000002"/>
        </c:scaling>
        <c:delete val="0"/>
        <c:axPos val="l"/>
        <c:majorGridlines/>
        <c:numFmt formatCode="0.0%" sourceLinked="1"/>
        <c:majorTickMark val="out"/>
        <c:minorTickMark val="none"/>
        <c:tickLblPos val="nextTo"/>
        <c:crossAx val="27477120"/>
        <c:crosses val="autoZero"/>
        <c:crossBetween val="between"/>
      </c:valAx>
      <c:dTable>
        <c:showHorzBorder val="1"/>
        <c:showVertBorder val="1"/>
        <c:showOutline val="1"/>
        <c:showKeys val="1"/>
      </c:dTable>
    </c:plotArea>
    <c:plotVisOnly val="1"/>
    <c:dispBlanksAs val="gap"/>
    <c:showDLblsOverMax val="0"/>
  </c:chart>
  <c:spPr>
    <a:solidFill>
      <a:schemeClr val="bg1"/>
    </a:solidFill>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804176A924FD18DF190E1CEE0F85E"/>
        <w:category>
          <w:name w:val="General"/>
          <w:gallery w:val="placeholder"/>
        </w:category>
        <w:types>
          <w:type w:val="bbPlcHdr"/>
        </w:types>
        <w:behaviors>
          <w:behavior w:val="content"/>
        </w:behaviors>
        <w:guid w:val="{66134F4B-F547-4126-8BC5-C9E2F3730790}"/>
      </w:docPartPr>
      <w:docPartBody>
        <w:p w:rsidR="00B7165C" w:rsidRDefault="00B7165C" w:rsidP="00B7165C">
          <w:pPr>
            <w:pStyle w:val="D5B804176A924FD18DF190E1CEE0F85E"/>
          </w:pPr>
          <w:r w:rsidRPr="00096119">
            <w:rPr>
              <w:rStyle w:val="PlaceholderText"/>
            </w:rPr>
            <w:t>[Title]</w:t>
          </w:r>
        </w:p>
      </w:docPartBody>
    </w:docPart>
    <w:docPart>
      <w:docPartPr>
        <w:name w:val="2C55085B2DA242139A5E466E1B371B86"/>
        <w:category>
          <w:name w:val="General"/>
          <w:gallery w:val="placeholder"/>
        </w:category>
        <w:types>
          <w:type w:val="bbPlcHdr"/>
        </w:types>
        <w:behaviors>
          <w:behavior w:val="content"/>
        </w:behaviors>
        <w:guid w:val="{9EEF4857-3034-4F4A-873C-4B8D4FEF39D9}"/>
      </w:docPartPr>
      <w:docPartBody>
        <w:p w:rsidR="00B7165C" w:rsidRDefault="00B7165C" w:rsidP="00B7165C">
          <w:pPr>
            <w:pStyle w:val="2C55085B2DA242139A5E466E1B371B86"/>
          </w:pPr>
          <w:r w:rsidRPr="00096119">
            <w:rPr>
              <w:rStyle w:val="PlaceholderText"/>
            </w:rPr>
            <w:t>[Author]</w:t>
          </w:r>
        </w:p>
      </w:docPartBody>
    </w:docPart>
    <w:docPart>
      <w:docPartPr>
        <w:name w:val="1D11C5AF214A41FE9B580DFA421705FF"/>
        <w:category>
          <w:name w:val="General"/>
          <w:gallery w:val="placeholder"/>
        </w:category>
        <w:types>
          <w:type w:val="bbPlcHdr"/>
        </w:types>
        <w:behaviors>
          <w:behavior w:val="content"/>
        </w:behaviors>
        <w:guid w:val="{A2B52BB3-6858-42CD-B174-4199C87228B5}"/>
      </w:docPartPr>
      <w:docPartBody>
        <w:p w:rsidR="00B7165C" w:rsidRDefault="00B7165C">
          <w:r w:rsidRPr="0009611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5C"/>
    <w:rsid w:val="00B71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93847CAE894DB4A930BA71F338D91F">
    <w:name w:val="2D93847CAE894DB4A930BA71F338D91F"/>
    <w:rsid w:val="00B7165C"/>
  </w:style>
  <w:style w:type="paragraph" w:customStyle="1" w:styleId="F46C626EE44E4F90A22148507118240A">
    <w:name w:val="F46C626EE44E4F90A22148507118240A"/>
    <w:rsid w:val="00B7165C"/>
  </w:style>
  <w:style w:type="character" w:styleId="PlaceholderText">
    <w:name w:val="Placeholder Text"/>
    <w:basedOn w:val="DefaultParagraphFont"/>
    <w:uiPriority w:val="99"/>
    <w:semiHidden/>
    <w:rsid w:val="00B7165C"/>
    <w:rPr>
      <w:color w:val="808080"/>
    </w:rPr>
  </w:style>
  <w:style w:type="paragraph" w:customStyle="1" w:styleId="D5B804176A924FD18DF190E1CEE0F85E">
    <w:name w:val="D5B804176A924FD18DF190E1CEE0F85E"/>
    <w:rsid w:val="00B7165C"/>
  </w:style>
  <w:style w:type="paragraph" w:customStyle="1" w:styleId="2C55085B2DA242139A5E466E1B371B86">
    <w:name w:val="2C55085B2DA242139A5E466E1B371B86"/>
    <w:rsid w:val="00B71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2EAFC-9D48-4AAB-A066-0DB9ECD1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Workforce Disability Equality Standard Report 2020</vt:lpstr>
    </vt:vector>
  </TitlesOfParts>
  <Company>East Kent Hospital University Foundation Trust</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Disability Equality Standard Report 2020</dc:title>
  <dc:subject>Data for East Kent Hospitals Workforce Disability Equality Standard In 2020</dc:subject>
  <dc:creator>Bruce Campion-Smith</dc:creator>
  <cp:lastModifiedBy>Hollie Godwin</cp:lastModifiedBy>
  <cp:revision>2</cp:revision>
  <cp:lastPrinted>2019-09-26T17:13:00Z</cp:lastPrinted>
  <dcterms:created xsi:type="dcterms:W3CDTF">2023-07-07T11:35:00Z</dcterms:created>
  <dcterms:modified xsi:type="dcterms:W3CDTF">2023-07-07T11:35:00Z</dcterms:modified>
</cp:coreProperties>
</file>