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C2D" w:rsidRPr="006F6246" w:rsidRDefault="00994F71" w:rsidP="001F1156">
      <w:pPr>
        <w:ind w:left="142"/>
        <w:rPr>
          <w:sz w:val="36"/>
          <w:szCs w:val="36"/>
        </w:rPr>
      </w:pPr>
      <w:r>
        <w:rPr>
          <w:noProof/>
        </w:rPr>
        <mc:AlternateContent>
          <mc:Choice Requires="wps">
            <w:drawing>
              <wp:inline distT="0" distB="0" distL="0" distR="0" wp14:anchorId="49F389E0" wp14:editId="1EFD2E91">
                <wp:extent cx="5597719" cy="6156251"/>
                <wp:effectExtent l="0" t="0" r="3175" b="0"/>
                <wp:docPr id="5" name="Text Box 5"/>
                <wp:cNvGraphicFramePr/>
                <a:graphic xmlns:a="http://schemas.openxmlformats.org/drawingml/2006/main">
                  <a:graphicData uri="http://schemas.microsoft.com/office/word/2010/wordprocessingShape">
                    <wps:wsp>
                      <wps:cNvSpPr txBox="1"/>
                      <wps:spPr>
                        <a:xfrm>
                          <a:off x="0" y="0"/>
                          <a:ext cx="5597719" cy="6156251"/>
                        </a:xfrm>
                        <a:prstGeom prst="rect">
                          <a:avLst/>
                        </a:prstGeom>
                        <a:solidFill>
                          <a:schemeClr val="lt1"/>
                        </a:solidFill>
                        <a:ln w="6350">
                          <a:noFill/>
                        </a:ln>
                      </wps:spPr>
                      <wps:txbx>
                        <w:txbxContent>
                          <w:sdt>
                            <w:sdtPr>
                              <w:rPr>
                                <w:rStyle w:val="TitleChar"/>
                                <w:rFonts w:eastAsiaTheme="minorHAnsi"/>
                              </w:rPr>
                              <w:alias w:val="Title"/>
                              <w:tag w:val=""/>
                              <w:id w:val="1317071641"/>
                              <w:placeholder>
                                <w:docPart w:val="7FAF091C8F5341DCB391D5DFF7505107"/>
                              </w:placeholder>
                              <w:dataBinding w:prefixMappings="xmlns:ns0='http://purl.org/dc/elements/1.1/' xmlns:ns1='http://schemas.openxmlformats.org/package/2006/metadata/core-properties' " w:xpath="/ns1:coreProperties[1]/ns0:title[1]" w:storeItemID="{6C3C8BC8-F283-45AE-878A-BAB7291924A1}"/>
                              <w:text/>
                            </w:sdtPr>
                            <w:sdtContent>
                              <w:p w:rsidR="00230A71" w:rsidRDefault="00230A71" w:rsidP="00994F71">
                                <w:pPr>
                                  <w:ind w:left="0"/>
                                  <w:rPr>
                                    <w:rStyle w:val="TitleChar"/>
                                    <w:rFonts w:eastAsiaTheme="minorHAnsi"/>
                                  </w:rPr>
                                </w:pPr>
                                <w:r>
                                  <w:rPr>
                                    <w:rStyle w:val="TitleChar"/>
                                    <w:rFonts w:eastAsiaTheme="minorHAnsi"/>
                                  </w:rPr>
                                  <w:t>Workforce Race Equality Standard (WRES) Report 2020</w:t>
                                </w:r>
                              </w:p>
                            </w:sdtContent>
                          </w:sdt>
                          <w:p w:rsidR="00230A71" w:rsidRDefault="00230A71" w:rsidP="00994F71">
                            <w:pPr>
                              <w:ind w:left="0"/>
                            </w:pPr>
                          </w:p>
                          <w:sdt>
                            <w:sdtPr>
                              <w:alias w:val="Subject"/>
                              <w:tag w:val=""/>
                              <w:id w:val="471802809"/>
                              <w:placeholder>
                                <w:docPart w:val="EDFA9545DE0745FA8543016534E50DD0"/>
                              </w:placeholder>
                              <w:dataBinding w:prefixMappings="xmlns:ns0='http://purl.org/dc/elements/1.1/' xmlns:ns1='http://schemas.openxmlformats.org/package/2006/metadata/core-properties' " w:xpath="/ns1:coreProperties[1]/ns0:subject[1]" w:storeItemID="{6C3C8BC8-F283-45AE-878A-BAB7291924A1}"/>
                              <w:text/>
                            </w:sdtPr>
                            <w:sdtContent>
                              <w:p w:rsidR="00230A71" w:rsidRDefault="00230A71" w:rsidP="00994F71">
                                <w:pPr>
                                  <w:ind w:left="0"/>
                                </w:pPr>
                                <w:r>
                                  <w:t>Data for East Kent Hospital’s Workforce Race Equality Standard 2020.</w:t>
                                </w:r>
                              </w:p>
                            </w:sdtContent>
                          </w:sdt>
                          <w:p w:rsidR="00230A71" w:rsidRDefault="00230A71" w:rsidP="00994F71">
                            <w:pPr>
                              <w:ind w:left="0"/>
                            </w:pPr>
                          </w:p>
                          <w:sdt>
                            <w:sdtPr>
                              <w:alias w:val="Author"/>
                              <w:tag w:val=""/>
                              <w:id w:val="1142005934"/>
                              <w:placeholder>
                                <w:docPart w:val="F95FE1FDE70448B3A3A25EBCDCEFC84E"/>
                              </w:placeholder>
                              <w:dataBinding w:prefixMappings="xmlns:ns0='http://purl.org/dc/elements/1.1/' xmlns:ns1='http://schemas.openxmlformats.org/package/2006/metadata/core-properties' " w:xpath="/ns1:coreProperties[1]/ns0:creator[1]" w:storeItemID="{6C3C8BC8-F283-45AE-878A-BAB7291924A1}"/>
                              <w:text/>
                            </w:sdtPr>
                            <w:sdtContent>
                              <w:p w:rsidR="00230A71" w:rsidRPr="00994F71" w:rsidRDefault="00230A71" w:rsidP="00994F71">
                                <w:pPr>
                                  <w:pStyle w:val="NoSpacing"/>
                                </w:pPr>
                                <w:r w:rsidRPr="00994F71">
                                  <w:t>Bruce Campion-Smith</w:t>
                                </w:r>
                              </w:p>
                            </w:sdtContent>
                          </w:sdt>
                          <w:p w:rsidR="00230A71" w:rsidRDefault="00230A71" w:rsidP="00994F71">
                            <w:pPr>
                              <w:pStyle w:val="NoSpacing"/>
                            </w:pPr>
                            <w:r w:rsidRPr="00090AC9">
                              <w:t>Head of Equality Diversity and Inclusion</w:t>
                            </w:r>
                          </w:p>
                          <w:p w:rsidR="00230A71" w:rsidRPr="00090AC9" w:rsidRDefault="00230A71" w:rsidP="00994F71">
                            <w:pPr>
                              <w:pStyle w:val="NoSpacing"/>
                            </w:pPr>
                            <w:r>
                              <w:t>July 2020</w:t>
                            </w:r>
                          </w:p>
                          <w:p w:rsidR="00230A71" w:rsidRPr="00090AC9" w:rsidRDefault="00230A71" w:rsidP="00994F71">
                            <w:pPr>
                              <w:ind w:left="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49F389E0" id="_x0000_t202" coordsize="21600,21600" o:spt="202" path="m,l,21600r21600,l21600,xe">
                <v:stroke joinstyle="miter"/>
                <v:path gradientshapeok="t" o:connecttype="rect"/>
              </v:shapetype>
              <v:shape id="Text Box 5" o:spid="_x0000_s1026" type="#_x0000_t202" style="width:440.75pt;height:48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" fillcolor="white [3201]" stroked="f" strokeweight=".5pt">
                <v:textbox>
                  <w:txbxContent>
                    <w:sdt>
                      <w:sdtPr>
                        <w:rPr>
                          <w:rStyle w:val="TitleChar"/>
                          <w:rFonts w:eastAsiaTheme="minorHAnsi"/>
                        </w:rPr>
                        <w:alias w:val="Title"/>
                        <w:tag w:val=""/>
                        <w:id w:val="1317071641"/>
                        <w:placeholder>
                          <w:docPart w:val="7FAF091C8F5341DCB391D5DFF7505107"/>
                        </w:placeholder>
                        <w:dataBinding w:prefixMappings="xmlns:ns0='http://purl.org/dc/elements/1.1/' xmlns:ns1='http://schemas.openxmlformats.org/package/2006/metadata/core-properties' " w:xpath="/ns1:coreProperties[1]/ns0:title[1]" w:storeItemID="{6C3C8BC8-F283-45AE-878A-BAB7291924A1}"/>
                        <w:text/>
                      </w:sdtPr>
                      <w:sdtContent>
                        <w:p w:rsidR="00230A71" w:rsidRDefault="00230A71" w:rsidP="00994F71">
                          <w:pPr>
                            <w:ind w:left="0"/>
                            <w:rPr>
                              <w:rStyle w:val="TitleChar"/>
                              <w:rFonts w:eastAsiaTheme="minorHAnsi"/>
                            </w:rPr>
                          </w:pPr>
                          <w:r>
                            <w:rPr>
                              <w:rStyle w:val="TitleChar"/>
                              <w:rFonts w:eastAsiaTheme="minorHAnsi"/>
                            </w:rPr>
                            <w:t>Workforce Race Equality Standard (WRES) Report 2020</w:t>
                          </w:r>
                        </w:p>
                      </w:sdtContent>
                    </w:sdt>
                    <w:p w:rsidR="00230A71" w:rsidRDefault="00230A71" w:rsidP="00994F71">
                      <w:pPr>
                        <w:ind w:left="0"/>
                      </w:pPr>
                    </w:p>
                    <w:sdt>
                      <w:sdtPr>
                        <w:alias w:val="Subject"/>
                        <w:tag w:val=""/>
                        <w:id w:val="471802809"/>
                        <w:placeholder>
                          <w:docPart w:val="EDFA9545DE0745FA8543016534E50DD0"/>
                        </w:placeholder>
                        <w:dataBinding w:prefixMappings="xmlns:ns0='http://purl.org/dc/elements/1.1/' xmlns:ns1='http://schemas.openxmlformats.org/package/2006/metadata/core-properties' " w:xpath="/ns1:coreProperties[1]/ns0:subject[1]" w:storeItemID="{6C3C8BC8-F283-45AE-878A-BAB7291924A1}"/>
                        <w:text/>
                      </w:sdtPr>
                      <w:sdtContent>
                        <w:p w:rsidR="00230A71" w:rsidRDefault="00230A71" w:rsidP="00994F71">
                          <w:pPr>
                            <w:ind w:left="0"/>
                          </w:pPr>
                          <w:r>
                            <w:t>Data for East Kent Hospital’s Workforce Race Equality Standard 2020.</w:t>
                          </w:r>
                        </w:p>
                      </w:sdtContent>
                    </w:sdt>
                    <w:p w:rsidR="00230A71" w:rsidRDefault="00230A71" w:rsidP="00994F71">
                      <w:pPr>
                        <w:ind w:left="0"/>
                      </w:pPr>
                    </w:p>
                    <w:sdt>
                      <w:sdtPr>
                        <w:alias w:val="Author"/>
                        <w:tag w:val=""/>
                        <w:id w:val="1142005934"/>
                        <w:placeholder>
                          <w:docPart w:val="F95FE1FDE70448B3A3A25EBCDCEFC84E"/>
                        </w:placeholder>
                        <w:dataBinding w:prefixMappings="xmlns:ns0='http://purl.org/dc/elements/1.1/' xmlns:ns1='http://schemas.openxmlformats.org/package/2006/metadata/core-properties' " w:xpath="/ns1:coreProperties[1]/ns0:creator[1]" w:storeItemID="{6C3C8BC8-F283-45AE-878A-BAB7291924A1}"/>
                        <w:text/>
                      </w:sdtPr>
                      <w:sdtContent>
                        <w:p w:rsidR="00230A71" w:rsidRPr="00994F71" w:rsidRDefault="00230A71" w:rsidP="00994F71">
                          <w:pPr>
                            <w:pStyle w:val="NoSpacing"/>
                          </w:pPr>
                          <w:r w:rsidRPr="00994F71">
                            <w:t>Bruce Campion-Smith</w:t>
                          </w:r>
                        </w:p>
                      </w:sdtContent>
                    </w:sdt>
                    <w:p w:rsidR="00230A71" w:rsidRDefault="00230A71" w:rsidP="00994F71">
                      <w:pPr>
                        <w:pStyle w:val="NoSpacing"/>
                      </w:pPr>
                      <w:r w:rsidRPr="00090AC9">
                        <w:t>Head of Equality Diversity and Inclusion</w:t>
                      </w:r>
                    </w:p>
                    <w:p w:rsidR="00230A71" w:rsidRPr="00090AC9" w:rsidRDefault="00230A71" w:rsidP="00994F71">
                      <w:pPr>
                        <w:pStyle w:val="NoSpacing"/>
                      </w:pPr>
                      <w:r>
                        <w:t>July 2020</w:t>
                      </w:r>
                    </w:p>
                    <w:p w:rsidR="00230A71" w:rsidRPr="00090AC9" w:rsidRDefault="00230A71" w:rsidP="00994F71">
                      <w:pPr>
                        <w:ind w:left="0"/>
                      </w:pPr>
                    </w:p>
                  </w:txbxContent>
                </v:textbox>
                <w10:anchorlock/>
              </v:shape>
            </w:pict>
          </mc:Fallback>
        </mc:AlternateContent>
      </w:r>
    </w:p>
    <w:p w:rsidR="00FB4C2D" w:rsidRPr="006F6246" w:rsidRDefault="00FB4C2D" w:rsidP="00FB4C2D">
      <w:pPr>
        <w:ind w:left="0"/>
        <w:sectPr w:rsidR="00FB4C2D" w:rsidRPr="006F6246" w:rsidSect="00FB4C2D">
          <w:headerReference w:type="default" r:id="rId8"/>
          <w:footerReference w:type="default" r:id="rId9"/>
          <w:footerReference w:type="first" r:id="rId10"/>
          <w:pgSz w:w="11906" w:h="16838"/>
          <w:pgMar w:top="1134" w:right="1134" w:bottom="1134" w:left="1134" w:header="426" w:footer="408" w:gutter="0"/>
          <w:cols w:space="708"/>
          <w:docGrid w:linePitch="360"/>
        </w:sectPr>
      </w:pPr>
    </w:p>
    <w:p w:rsidR="002B76E3" w:rsidRPr="006F6246" w:rsidRDefault="002B76E3" w:rsidP="00AB24C6">
      <w:pPr>
        <w:ind w:left="0"/>
        <w:rPr>
          <w:b/>
        </w:rPr>
      </w:pPr>
    </w:p>
    <w:sdt>
      <w:sdtPr>
        <w:id w:val="-317646313"/>
        <w:docPartObj>
          <w:docPartGallery w:val="Table of Contents"/>
          <w:docPartUnique/>
        </w:docPartObj>
      </w:sdtPr>
      <w:sdtContent>
        <w:p w:rsidR="00D03782" w:rsidRPr="00994F71" w:rsidRDefault="00D03782" w:rsidP="00B13BE0">
          <w:pPr>
            <w:pStyle w:val="TOC1"/>
            <w:rPr>
              <w:b/>
              <w:sz w:val="32"/>
            </w:rPr>
          </w:pPr>
          <w:r w:rsidRPr="00994F71">
            <w:rPr>
              <w:b/>
              <w:sz w:val="32"/>
            </w:rPr>
            <w:t>Contents</w:t>
          </w:r>
        </w:p>
        <w:p w:rsidR="003A1BE2" w:rsidRDefault="00D03782">
          <w:pPr>
            <w:pStyle w:val="TOC1"/>
            <w:rPr>
              <w:rFonts w:asciiTheme="minorHAnsi" w:eastAsiaTheme="minorEastAsia" w:hAnsiTheme="minorHAnsi" w:cstheme="minorBidi"/>
              <w:bCs w:val="0"/>
              <w:noProof/>
              <w:sz w:val="22"/>
              <w:szCs w:val="22"/>
              <w:lang w:eastAsia="en-GB"/>
            </w:rPr>
          </w:pPr>
          <w:r w:rsidRPr="006F6246">
            <w:fldChar w:fldCharType="begin"/>
          </w:r>
          <w:r w:rsidRPr="006F6246">
            <w:instrText xml:space="preserve"> TOC \o "1-1" \h \z \u </w:instrText>
          </w:r>
          <w:r w:rsidRPr="006F6246">
            <w:fldChar w:fldCharType="separate"/>
          </w:r>
          <w:hyperlink w:anchor="_Toc50029644" w:history="1">
            <w:r w:rsidR="003A1BE2" w:rsidRPr="00E6581D">
              <w:rPr>
                <w:rStyle w:val="Hyperlink"/>
                <w:noProof/>
              </w:rPr>
              <w:t>1</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Introduction</w:t>
            </w:r>
            <w:r w:rsidR="003A1BE2">
              <w:rPr>
                <w:noProof/>
                <w:webHidden/>
              </w:rPr>
              <w:tab/>
            </w:r>
            <w:r w:rsidR="003A1BE2">
              <w:rPr>
                <w:noProof/>
                <w:webHidden/>
              </w:rPr>
              <w:fldChar w:fldCharType="begin"/>
            </w:r>
            <w:r w:rsidR="003A1BE2">
              <w:rPr>
                <w:noProof/>
                <w:webHidden/>
              </w:rPr>
              <w:instrText xml:space="preserve"> PAGEREF _Toc50029644 \h </w:instrText>
            </w:r>
            <w:r w:rsidR="003A1BE2">
              <w:rPr>
                <w:noProof/>
                <w:webHidden/>
              </w:rPr>
            </w:r>
            <w:r w:rsidR="003A1BE2">
              <w:rPr>
                <w:noProof/>
                <w:webHidden/>
              </w:rPr>
              <w:fldChar w:fldCharType="separate"/>
            </w:r>
            <w:r w:rsidR="003A1BE2">
              <w:rPr>
                <w:noProof/>
                <w:webHidden/>
              </w:rPr>
              <w:t>3</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45" w:history="1">
            <w:r w:rsidR="003A1BE2" w:rsidRPr="00E6581D">
              <w:rPr>
                <w:rStyle w:val="Hyperlink"/>
                <w:noProof/>
              </w:rPr>
              <w:t>2</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NHS Standard Contract</w:t>
            </w:r>
            <w:r w:rsidR="003A1BE2">
              <w:rPr>
                <w:noProof/>
                <w:webHidden/>
              </w:rPr>
              <w:tab/>
            </w:r>
            <w:r w:rsidR="003A1BE2">
              <w:rPr>
                <w:noProof/>
                <w:webHidden/>
              </w:rPr>
              <w:fldChar w:fldCharType="begin"/>
            </w:r>
            <w:r w:rsidR="003A1BE2">
              <w:rPr>
                <w:noProof/>
                <w:webHidden/>
              </w:rPr>
              <w:instrText xml:space="preserve"> PAGEREF _Toc50029645 \h </w:instrText>
            </w:r>
            <w:r w:rsidR="003A1BE2">
              <w:rPr>
                <w:noProof/>
                <w:webHidden/>
              </w:rPr>
            </w:r>
            <w:r w:rsidR="003A1BE2">
              <w:rPr>
                <w:noProof/>
                <w:webHidden/>
              </w:rPr>
              <w:fldChar w:fldCharType="separate"/>
            </w:r>
            <w:r w:rsidR="003A1BE2">
              <w:rPr>
                <w:noProof/>
                <w:webHidden/>
              </w:rPr>
              <w:t>3</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46" w:history="1">
            <w:r w:rsidR="003A1BE2" w:rsidRPr="00E6581D">
              <w:rPr>
                <w:rStyle w:val="Hyperlink"/>
                <w:noProof/>
              </w:rPr>
              <w:t>3</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Changes to NHS England data submission</w:t>
            </w:r>
            <w:r w:rsidR="003A1BE2">
              <w:rPr>
                <w:noProof/>
                <w:webHidden/>
              </w:rPr>
              <w:tab/>
            </w:r>
            <w:r w:rsidR="003A1BE2">
              <w:rPr>
                <w:noProof/>
                <w:webHidden/>
              </w:rPr>
              <w:fldChar w:fldCharType="begin"/>
            </w:r>
            <w:r w:rsidR="003A1BE2">
              <w:rPr>
                <w:noProof/>
                <w:webHidden/>
              </w:rPr>
              <w:instrText xml:space="preserve"> PAGEREF _Toc50029646 \h </w:instrText>
            </w:r>
            <w:r w:rsidR="003A1BE2">
              <w:rPr>
                <w:noProof/>
                <w:webHidden/>
              </w:rPr>
            </w:r>
            <w:r w:rsidR="003A1BE2">
              <w:rPr>
                <w:noProof/>
                <w:webHidden/>
              </w:rPr>
              <w:fldChar w:fldCharType="separate"/>
            </w:r>
            <w:r w:rsidR="003A1BE2">
              <w:rPr>
                <w:noProof/>
                <w:webHidden/>
              </w:rPr>
              <w:t>4</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47" w:history="1">
            <w:r w:rsidR="003A1BE2" w:rsidRPr="00E6581D">
              <w:rPr>
                <w:rStyle w:val="Hyperlink"/>
                <w:noProof/>
              </w:rPr>
              <w:t>4</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Business Benefits to the Trust</w:t>
            </w:r>
            <w:r w:rsidR="003A1BE2">
              <w:rPr>
                <w:noProof/>
                <w:webHidden/>
              </w:rPr>
              <w:tab/>
            </w:r>
            <w:r w:rsidR="003A1BE2">
              <w:rPr>
                <w:noProof/>
                <w:webHidden/>
              </w:rPr>
              <w:fldChar w:fldCharType="begin"/>
            </w:r>
            <w:r w:rsidR="003A1BE2">
              <w:rPr>
                <w:noProof/>
                <w:webHidden/>
              </w:rPr>
              <w:instrText xml:space="preserve"> PAGEREF _Toc50029647 \h </w:instrText>
            </w:r>
            <w:r w:rsidR="003A1BE2">
              <w:rPr>
                <w:noProof/>
                <w:webHidden/>
              </w:rPr>
            </w:r>
            <w:r w:rsidR="003A1BE2">
              <w:rPr>
                <w:noProof/>
                <w:webHidden/>
              </w:rPr>
              <w:fldChar w:fldCharType="separate"/>
            </w:r>
            <w:r w:rsidR="003A1BE2">
              <w:rPr>
                <w:noProof/>
                <w:webHidden/>
              </w:rPr>
              <w:t>4</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48" w:history="1">
            <w:r w:rsidR="003A1BE2" w:rsidRPr="00E6581D">
              <w:rPr>
                <w:rStyle w:val="Hyperlink"/>
                <w:noProof/>
              </w:rPr>
              <w:t>5</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Legal Duties</w:t>
            </w:r>
            <w:r w:rsidR="003A1BE2">
              <w:rPr>
                <w:noProof/>
                <w:webHidden/>
              </w:rPr>
              <w:tab/>
            </w:r>
            <w:r w:rsidR="003A1BE2">
              <w:rPr>
                <w:noProof/>
                <w:webHidden/>
              </w:rPr>
              <w:fldChar w:fldCharType="begin"/>
            </w:r>
            <w:r w:rsidR="003A1BE2">
              <w:rPr>
                <w:noProof/>
                <w:webHidden/>
              </w:rPr>
              <w:instrText xml:space="preserve"> PAGEREF _Toc50029648 \h </w:instrText>
            </w:r>
            <w:r w:rsidR="003A1BE2">
              <w:rPr>
                <w:noProof/>
                <w:webHidden/>
              </w:rPr>
            </w:r>
            <w:r w:rsidR="003A1BE2">
              <w:rPr>
                <w:noProof/>
                <w:webHidden/>
              </w:rPr>
              <w:fldChar w:fldCharType="separate"/>
            </w:r>
            <w:r w:rsidR="003A1BE2">
              <w:rPr>
                <w:noProof/>
                <w:webHidden/>
              </w:rPr>
              <w:t>4</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49" w:history="1">
            <w:r w:rsidR="003A1BE2" w:rsidRPr="00E6581D">
              <w:rPr>
                <w:rStyle w:val="Hyperlink"/>
                <w:noProof/>
              </w:rPr>
              <w:t>6</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1</w:t>
            </w:r>
            <w:r w:rsidR="003A1BE2">
              <w:rPr>
                <w:noProof/>
                <w:webHidden/>
              </w:rPr>
              <w:tab/>
            </w:r>
            <w:r w:rsidR="003A1BE2">
              <w:rPr>
                <w:noProof/>
                <w:webHidden/>
              </w:rPr>
              <w:fldChar w:fldCharType="begin"/>
            </w:r>
            <w:r w:rsidR="003A1BE2">
              <w:rPr>
                <w:noProof/>
                <w:webHidden/>
              </w:rPr>
              <w:instrText xml:space="preserve"> PAGEREF _Toc50029649 \h </w:instrText>
            </w:r>
            <w:r w:rsidR="003A1BE2">
              <w:rPr>
                <w:noProof/>
                <w:webHidden/>
              </w:rPr>
            </w:r>
            <w:r w:rsidR="003A1BE2">
              <w:rPr>
                <w:noProof/>
                <w:webHidden/>
              </w:rPr>
              <w:fldChar w:fldCharType="separate"/>
            </w:r>
            <w:r w:rsidR="003A1BE2">
              <w:rPr>
                <w:noProof/>
                <w:webHidden/>
              </w:rPr>
              <w:t>5</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0" w:history="1">
            <w:r w:rsidR="003A1BE2" w:rsidRPr="00E6581D">
              <w:rPr>
                <w:rStyle w:val="Hyperlink"/>
                <w:noProof/>
              </w:rPr>
              <w:t>7</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2</w:t>
            </w:r>
            <w:r w:rsidR="003A1BE2">
              <w:rPr>
                <w:noProof/>
                <w:webHidden/>
              </w:rPr>
              <w:tab/>
            </w:r>
            <w:r w:rsidR="003A1BE2">
              <w:rPr>
                <w:noProof/>
                <w:webHidden/>
              </w:rPr>
              <w:fldChar w:fldCharType="begin"/>
            </w:r>
            <w:r w:rsidR="003A1BE2">
              <w:rPr>
                <w:noProof/>
                <w:webHidden/>
              </w:rPr>
              <w:instrText xml:space="preserve"> PAGEREF _Toc50029650 \h </w:instrText>
            </w:r>
            <w:r w:rsidR="003A1BE2">
              <w:rPr>
                <w:noProof/>
                <w:webHidden/>
              </w:rPr>
            </w:r>
            <w:r w:rsidR="003A1BE2">
              <w:rPr>
                <w:noProof/>
                <w:webHidden/>
              </w:rPr>
              <w:fldChar w:fldCharType="separate"/>
            </w:r>
            <w:r w:rsidR="003A1BE2">
              <w:rPr>
                <w:noProof/>
                <w:webHidden/>
              </w:rPr>
              <w:t>12</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1" w:history="1">
            <w:r w:rsidR="003A1BE2" w:rsidRPr="00E6581D">
              <w:rPr>
                <w:rStyle w:val="Hyperlink"/>
                <w:noProof/>
              </w:rPr>
              <w:t>8</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3</w:t>
            </w:r>
            <w:r w:rsidR="003A1BE2">
              <w:rPr>
                <w:noProof/>
                <w:webHidden/>
              </w:rPr>
              <w:tab/>
            </w:r>
            <w:r w:rsidR="003A1BE2">
              <w:rPr>
                <w:noProof/>
                <w:webHidden/>
              </w:rPr>
              <w:fldChar w:fldCharType="begin"/>
            </w:r>
            <w:r w:rsidR="003A1BE2">
              <w:rPr>
                <w:noProof/>
                <w:webHidden/>
              </w:rPr>
              <w:instrText xml:space="preserve"> PAGEREF _Toc50029651 \h </w:instrText>
            </w:r>
            <w:r w:rsidR="003A1BE2">
              <w:rPr>
                <w:noProof/>
                <w:webHidden/>
              </w:rPr>
            </w:r>
            <w:r w:rsidR="003A1BE2">
              <w:rPr>
                <w:noProof/>
                <w:webHidden/>
              </w:rPr>
              <w:fldChar w:fldCharType="separate"/>
            </w:r>
            <w:r w:rsidR="003A1BE2">
              <w:rPr>
                <w:noProof/>
                <w:webHidden/>
              </w:rPr>
              <w:t>12</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2" w:history="1">
            <w:r w:rsidR="003A1BE2" w:rsidRPr="00E6581D">
              <w:rPr>
                <w:rStyle w:val="Hyperlink"/>
                <w:noProof/>
              </w:rPr>
              <w:t>9</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4</w:t>
            </w:r>
            <w:r w:rsidR="003A1BE2">
              <w:rPr>
                <w:noProof/>
                <w:webHidden/>
              </w:rPr>
              <w:tab/>
            </w:r>
            <w:r w:rsidR="003A1BE2">
              <w:rPr>
                <w:noProof/>
                <w:webHidden/>
              </w:rPr>
              <w:fldChar w:fldCharType="begin"/>
            </w:r>
            <w:r w:rsidR="003A1BE2">
              <w:rPr>
                <w:noProof/>
                <w:webHidden/>
              </w:rPr>
              <w:instrText xml:space="preserve"> PAGEREF _Toc50029652 \h </w:instrText>
            </w:r>
            <w:r w:rsidR="003A1BE2">
              <w:rPr>
                <w:noProof/>
                <w:webHidden/>
              </w:rPr>
            </w:r>
            <w:r w:rsidR="003A1BE2">
              <w:rPr>
                <w:noProof/>
                <w:webHidden/>
              </w:rPr>
              <w:fldChar w:fldCharType="separate"/>
            </w:r>
            <w:r w:rsidR="003A1BE2">
              <w:rPr>
                <w:noProof/>
                <w:webHidden/>
              </w:rPr>
              <w:t>14</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3" w:history="1">
            <w:r w:rsidR="003A1BE2" w:rsidRPr="00E6581D">
              <w:rPr>
                <w:rStyle w:val="Hyperlink"/>
                <w:noProof/>
              </w:rPr>
              <w:t>10</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5</w:t>
            </w:r>
            <w:r w:rsidR="003A1BE2">
              <w:rPr>
                <w:noProof/>
                <w:webHidden/>
              </w:rPr>
              <w:tab/>
            </w:r>
            <w:r w:rsidR="003A1BE2">
              <w:rPr>
                <w:noProof/>
                <w:webHidden/>
              </w:rPr>
              <w:fldChar w:fldCharType="begin"/>
            </w:r>
            <w:r w:rsidR="003A1BE2">
              <w:rPr>
                <w:noProof/>
                <w:webHidden/>
              </w:rPr>
              <w:instrText xml:space="preserve"> PAGEREF _Toc50029653 \h </w:instrText>
            </w:r>
            <w:r w:rsidR="003A1BE2">
              <w:rPr>
                <w:noProof/>
                <w:webHidden/>
              </w:rPr>
            </w:r>
            <w:r w:rsidR="003A1BE2">
              <w:rPr>
                <w:noProof/>
                <w:webHidden/>
              </w:rPr>
              <w:fldChar w:fldCharType="separate"/>
            </w:r>
            <w:r w:rsidR="003A1BE2">
              <w:rPr>
                <w:noProof/>
                <w:webHidden/>
              </w:rPr>
              <w:t>15</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4" w:history="1">
            <w:r w:rsidR="003A1BE2" w:rsidRPr="00E6581D">
              <w:rPr>
                <w:rStyle w:val="Hyperlink"/>
                <w:noProof/>
              </w:rPr>
              <w:t>11</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6</w:t>
            </w:r>
            <w:r w:rsidR="003A1BE2">
              <w:rPr>
                <w:noProof/>
                <w:webHidden/>
              </w:rPr>
              <w:tab/>
            </w:r>
            <w:r w:rsidR="003A1BE2">
              <w:rPr>
                <w:noProof/>
                <w:webHidden/>
              </w:rPr>
              <w:fldChar w:fldCharType="begin"/>
            </w:r>
            <w:r w:rsidR="003A1BE2">
              <w:rPr>
                <w:noProof/>
                <w:webHidden/>
              </w:rPr>
              <w:instrText xml:space="preserve"> PAGEREF _Toc50029654 \h </w:instrText>
            </w:r>
            <w:r w:rsidR="003A1BE2">
              <w:rPr>
                <w:noProof/>
                <w:webHidden/>
              </w:rPr>
            </w:r>
            <w:r w:rsidR="003A1BE2">
              <w:rPr>
                <w:noProof/>
                <w:webHidden/>
              </w:rPr>
              <w:fldChar w:fldCharType="separate"/>
            </w:r>
            <w:r w:rsidR="003A1BE2">
              <w:rPr>
                <w:noProof/>
                <w:webHidden/>
              </w:rPr>
              <w:t>16</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5" w:history="1">
            <w:r w:rsidR="003A1BE2" w:rsidRPr="00E6581D">
              <w:rPr>
                <w:rStyle w:val="Hyperlink"/>
                <w:noProof/>
              </w:rPr>
              <w:t>12</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7</w:t>
            </w:r>
            <w:r w:rsidR="003A1BE2">
              <w:rPr>
                <w:noProof/>
                <w:webHidden/>
              </w:rPr>
              <w:tab/>
            </w:r>
            <w:r w:rsidR="003A1BE2">
              <w:rPr>
                <w:noProof/>
                <w:webHidden/>
              </w:rPr>
              <w:fldChar w:fldCharType="begin"/>
            </w:r>
            <w:r w:rsidR="003A1BE2">
              <w:rPr>
                <w:noProof/>
                <w:webHidden/>
              </w:rPr>
              <w:instrText xml:space="preserve"> PAGEREF _Toc50029655 \h </w:instrText>
            </w:r>
            <w:r w:rsidR="003A1BE2">
              <w:rPr>
                <w:noProof/>
                <w:webHidden/>
              </w:rPr>
            </w:r>
            <w:r w:rsidR="003A1BE2">
              <w:rPr>
                <w:noProof/>
                <w:webHidden/>
              </w:rPr>
              <w:fldChar w:fldCharType="separate"/>
            </w:r>
            <w:r w:rsidR="003A1BE2">
              <w:rPr>
                <w:noProof/>
                <w:webHidden/>
              </w:rPr>
              <w:t>17</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6" w:history="1">
            <w:r w:rsidR="003A1BE2" w:rsidRPr="00E6581D">
              <w:rPr>
                <w:rStyle w:val="Hyperlink"/>
                <w:noProof/>
              </w:rPr>
              <w:t>13</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8</w:t>
            </w:r>
            <w:r w:rsidR="003A1BE2">
              <w:rPr>
                <w:noProof/>
                <w:webHidden/>
              </w:rPr>
              <w:tab/>
            </w:r>
            <w:r w:rsidR="003A1BE2">
              <w:rPr>
                <w:noProof/>
                <w:webHidden/>
              </w:rPr>
              <w:fldChar w:fldCharType="begin"/>
            </w:r>
            <w:r w:rsidR="003A1BE2">
              <w:rPr>
                <w:noProof/>
                <w:webHidden/>
              </w:rPr>
              <w:instrText xml:space="preserve"> PAGEREF _Toc50029656 \h </w:instrText>
            </w:r>
            <w:r w:rsidR="003A1BE2">
              <w:rPr>
                <w:noProof/>
                <w:webHidden/>
              </w:rPr>
            </w:r>
            <w:r w:rsidR="003A1BE2">
              <w:rPr>
                <w:noProof/>
                <w:webHidden/>
              </w:rPr>
              <w:fldChar w:fldCharType="separate"/>
            </w:r>
            <w:r w:rsidR="003A1BE2">
              <w:rPr>
                <w:noProof/>
                <w:webHidden/>
              </w:rPr>
              <w:t>18</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7" w:history="1">
            <w:r w:rsidR="003A1BE2" w:rsidRPr="00E6581D">
              <w:rPr>
                <w:rStyle w:val="Hyperlink"/>
                <w:noProof/>
              </w:rPr>
              <w:t>14</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Workforce Indicator 9</w:t>
            </w:r>
            <w:r w:rsidR="003A1BE2">
              <w:rPr>
                <w:noProof/>
                <w:webHidden/>
              </w:rPr>
              <w:tab/>
            </w:r>
            <w:r w:rsidR="003A1BE2">
              <w:rPr>
                <w:noProof/>
                <w:webHidden/>
              </w:rPr>
              <w:fldChar w:fldCharType="begin"/>
            </w:r>
            <w:r w:rsidR="003A1BE2">
              <w:rPr>
                <w:noProof/>
                <w:webHidden/>
              </w:rPr>
              <w:instrText xml:space="preserve"> PAGEREF _Toc50029657 \h </w:instrText>
            </w:r>
            <w:r w:rsidR="003A1BE2">
              <w:rPr>
                <w:noProof/>
                <w:webHidden/>
              </w:rPr>
            </w:r>
            <w:r w:rsidR="003A1BE2">
              <w:rPr>
                <w:noProof/>
                <w:webHidden/>
              </w:rPr>
              <w:fldChar w:fldCharType="separate"/>
            </w:r>
            <w:r w:rsidR="003A1BE2">
              <w:rPr>
                <w:noProof/>
                <w:webHidden/>
              </w:rPr>
              <w:t>19</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8" w:history="1">
            <w:r w:rsidR="003A1BE2" w:rsidRPr="00E6581D">
              <w:rPr>
                <w:rStyle w:val="Hyperlink"/>
                <w:noProof/>
              </w:rPr>
              <w:t>15</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Action Plan</w:t>
            </w:r>
            <w:r w:rsidR="003A1BE2">
              <w:rPr>
                <w:noProof/>
                <w:webHidden/>
              </w:rPr>
              <w:tab/>
            </w:r>
            <w:r w:rsidR="003A1BE2">
              <w:rPr>
                <w:noProof/>
                <w:webHidden/>
              </w:rPr>
              <w:fldChar w:fldCharType="begin"/>
            </w:r>
            <w:r w:rsidR="003A1BE2">
              <w:rPr>
                <w:noProof/>
                <w:webHidden/>
              </w:rPr>
              <w:instrText xml:space="preserve"> PAGEREF _Toc50029658 \h </w:instrText>
            </w:r>
            <w:r w:rsidR="003A1BE2">
              <w:rPr>
                <w:noProof/>
                <w:webHidden/>
              </w:rPr>
            </w:r>
            <w:r w:rsidR="003A1BE2">
              <w:rPr>
                <w:noProof/>
                <w:webHidden/>
              </w:rPr>
              <w:fldChar w:fldCharType="separate"/>
            </w:r>
            <w:r w:rsidR="003A1BE2">
              <w:rPr>
                <w:noProof/>
                <w:webHidden/>
              </w:rPr>
              <w:t>21</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59" w:history="1">
            <w:r w:rsidR="003A1BE2" w:rsidRPr="00994F71">
              <w:rPr>
                <w:rStyle w:val="Hyperlink"/>
                <w:rFonts w:eastAsiaTheme="majorEastAsia"/>
                <w:noProof/>
              </w:rPr>
              <w:t>16</w:t>
            </w:r>
            <w:r w:rsidR="003A1BE2" w:rsidRPr="00994F71">
              <w:rPr>
                <w:rFonts w:asciiTheme="minorHAnsi" w:eastAsiaTheme="minorEastAsia" w:hAnsiTheme="minorHAnsi" w:cstheme="minorBidi"/>
                <w:bCs w:val="0"/>
                <w:noProof/>
                <w:sz w:val="22"/>
                <w:szCs w:val="22"/>
                <w:lang w:eastAsia="en-GB"/>
              </w:rPr>
              <w:tab/>
            </w:r>
            <w:r w:rsidR="003A1BE2" w:rsidRPr="00994F71">
              <w:rPr>
                <w:rStyle w:val="Hyperlink"/>
                <w:rFonts w:eastAsiaTheme="majorEastAsia"/>
                <w:noProof/>
              </w:rPr>
              <w:t>Next Steps</w:t>
            </w:r>
            <w:r w:rsidR="003A1BE2" w:rsidRPr="00994F71">
              <w:rPr>
                <w:noProof/>
                <w:webHidden/>
              </w:rPr>
              <w:tab/>
            </w:r>
            <w:r w:rsidR="003A1BE2">
              <w:rPr>
                <w:noProof/>
                <w:webHidden/>
              </w:rPr>
              <w:fldChar w:fldCharType="begin"/>
            </w:r>
            <w:r w:rsidR="003A1BE2">
              <w:rPr>
                <w:noProof/>
                <w:webHidden/>
              </w:rPr>
              <w:instrText xml:space="preserve"> PAGEREF _Toc50029659 \h </w:instrText>
            </w:r>
            <w:r w:rsidR="003A1BE2">
              <w:rPr>
                <w:noProof/>
                <w:webHidden/>
              </w:rPr>
            </w:r>
            <w:r w:rsidR="003A1BE2">
              <w:rPr>
                <w:noProof/>
                <w:webHidden/>
              </w:rPr>
              <w:fldChar w:fldCharType="separate"/>
            </w:r>
            <w:r w:rsidR="003A1BE2">
              <w:rPr>
                <w:noProof/>
                <w:webHidden/>
              </w:rPr>
              <w:t>21</w:t>
            </w:r>
            <w:r w:rsidR="003A1BE2">
              <w:rPr>
                <w:noProof/>
                <w:webHidden/>
              </w:rPr>
              <w:fldChar w:fldCharType="end"/>
            </w:r>
          </w:hyperlink>
        </w:p>
        <w:p w:rsidR="003A1BE2" w:rsidRDefault="00230A71">
          <w:pPr>
            <w:pStyle w:val="TOC1"/>
            <w:rPr>
              <w:rFonts w:asciiTheme="minorHAnsi" w:eastAsiaTheme="minorEastAsia" w:hAnsiTheme="minorHAnsi" w:cstheme="minorBidi"/>
              <w:bCs w:val="0"/>
              <w:noProof/>
              <w:sz w:val="22"/>
              <w:szCs w:val="22"/>
              <w:lang w:eastAsia="en-GB"/>
            </w:rPr>
          </w:pPr>
          <w:hyperlink w:anchor="_Toc50029660" w:history="1">
            <w:r w:rsidR="003A1BE2" w:rsidRPr="00E6581D">
              <w:rPr>
                <w:rStyle w:val="Hyperlink"/>
                <w:noProof/>
              </w:rPr>
              <w:t>17</w:t>
            </w:r>
            <w:r w:rsidR="003A1BE2">
              <w:rPr>
                <w:rFonts w:asciiTheme="minorHAnsi" w:eastAsiaTheme="minorEastAsia" w:hAnsiTheme="minorHAnsi" w:cstheme="minorBidi"/>
                <w:bCs w:val="0"/>
                <w:noProof/>
                <w:sz w:val="22"/>
                <w:szCs w:val="22"/>
                <w:lang w:eastAsia="en-GB"/>
              </w:rPr>
              <w:tab/>
            </w:r>
            <w:r w:rsidR="003A1BE2" w:rsidRPr="00E6581D">
              <w:rPr>
                <w:rStyle w:val="Hyperlink"/>
                <w:noProof/>
              </w:rPr>
              <w:t>Conclusion</w:t>
            </w:r>
            <w:r w:rsidR="003A1BE2">
              <w:rPr>
                <w:noProof/>
                <w:webHidden/>
              </w:rPr>
              <w:tab/>
            </w:r>
            <w:r w:rsidR="003A1BE2">
              <w:rPr>
                <w:noProof/>
                <w:webHidden/>
              </w:rPr>
              <w:fldChar w:fldCharType="begin"/>
            </w:r>
            <w:r w:rsidR="003A1BE2">
              <w:rPr>
                <w:noProof/>
                <w:webHidden/>
              </w:rPr>
              <w:instrText xml:space="preserve"> PAGEREF _Toc50029660 \h </w:instrText>
            </w:r>
            <w:r w:rsidR="003A1BE2">
              <w:rPr>
                <w:noProof/>
                <w:webHidden/>
              </w:rPr>
            </w:r>
            <w:r w:rsidR="003A1BE2">
              <w:rPr>
                <w:noProof/>
                <w:webHidden/>
              </w:rPr>
              <w:fldChar w:fldCharType="separate"/>
            </w:r>
            <w:r w:rsidR="003A1BE2">
              <w:rPr>
                <w:noProof/>
                <w:webHidden/>
              </w:rPr>
              <w:t>22</w:t>
            </w:r>
            <w:r w:rsidR="003A1BE2">
              <w:rPr>
                <w:noProof/>
                <w:webHidden/>
              </w:rPr>
              <w:fldChar w:fldCharType="end"/>
            </w:r>
          </w:hyperlink>
        </w:p>
        <w:p w:rsidR="00D03782" w:rsidRPr="006F6246" w:rsidRDefault="00D03782" w:rsidP="006B3F0C">
          <w:pPr>
            <w:tabs>
              <w:tab w:val="left" w:pos="709"/>
            </w:tabs>
            <w:ind w:left="0"/>
          </w:pPr>
          <w:r w:rsidRPr="006F6246">
            <w:fldChar w:fldCharType="end"/>
          </w:r>
        </w:p>
      </w:sdtContent>
    </w:sdt>
    <w:p w:rsidR="00364434" w:rsidRPr="006F6246" w:rsidRDefault="00364434">
      <w:pPr>
        <w:ind w:left="0"/>
        <w:rPr>
          <w:rFonts w:eastAsia="Times New Roman"/>
          <w:b/>
          <w:bCs w:val="0"/>
        </w:rPr>
      </w:pPr>
      <w:bookmarkStart w:id="0" w:name="_Toc487627814"/>
      <w:bookmarkStart w:id="1" w:name="_Toc493165664"/>
      <w:r w:rsidRPr="006F6246">
        <w:br w:type="page"/>
      </w:r>
    </w:p>
    <w:p w:rsidR="00846AE9" w:rsidRPr="006F6246" w:rsidRDefault="00846AE9" w:rsidP="00CC1DC1">
      <w:pPr>
        <w:pStyle w:val="Heading1"/>
      </w:pPr>
      <w:bookmarkStart w:id="2" w:name="_Toc50029644"/>
      <w:r w:rsidRPr="006F6246">
        <w:lastRenderedPageBreak/>
        <w:t>Introduction</w:t>
      </w:r>
      <w:bookmarkEnd w:id="0"/>
      <w:bookmarkEnd w:id="1"/>
      <w:bookmarkEnd w:id="2"/>
      <w:r w:rsidRPr="006F6246">
        <w:t xml:space="preserve"> </w:t>
      </w:r>
    </w:p>
    <w:p w:rsidR="00846AE9" w:rsidRPr="006F6246" w:rsidRDefault="00846AE9" w:rsidP="00CC1DC1">
      <w:pPr>
        <w:pStyle w:val="Heading2"/>
      </w:pPr>
      <w:r w:rsidRPr="006F6246">
        <w:t xml:space="preserve">The Workforce Race Equality Standard (WRES) has been in place for </w:t>
      </w:r>
      <w:r w:rsidR="00F475FE" w:rsidRPr="006F6246">
        <w:t>five</w:t>
      </w:r>
      <w:r w:rsidR="00957375" w:rsidRPr="006F6246">
        <w:t xml:space="preserve"> years</w:t>
      </w:r>
      <w:r w:rsidRPr="006F6246">
        <w:t xml:space="preserve">, the main aims are: </w:t>
      </w:r>
    </w:p>
    <w:p w:rsidR="00846AE9" w:rsidRPr="006F6246" w:rsidRDefault="00846AE9" w:rsidP="00CC1DC1">
      <w:pPr>
        <w:pStyle w:val="Style1"/>
      </w:pPr>
      <w:r w:rsidRPr="006F6246">
        <w:t xml:space="preserve">To improve workplace experiences and employment opportunities for Black Asian &amp; Minority Ethnic (BAME) people in the NHS </w:t>
      </w:r>
    </w:p>
    <w:p w:rsidR="00F475FE" w:rsidRPr="006F6246" w:rsidRDefault="00846AE9" w:rsidP="00CC1DC1">
      <w:pPr>
        <w:pStyle w:val="Style1"/>
      </w:pPr>
      <w:r w:rsidRPr="006F6246">
        <w:t xml:space="preserve">The WRES also applies to BAME people who want to work in the NHS. This can be achieved by taking positive action to help address race equalities in the application process. </w:t>
      </w:r>
    </w:p>
    <w:p w:rsidR="00846AE9" w:rsidRPr="006F6246" w:rsidRDefault="00846AE9" w:rsidP="00CC1DC1">
      <w:pPr>
        <w:pStyle w:val="Heading2"/>
      </w:pPr>
      <w:r w:rsidRPr="006F6246">
        <w:t xml:space="preserve">The Equality Diversity Council [EDC NHS] placed a priority on the development of the WRES to tackle race equalities. </w:t>
      </w:r>
    </w:p>
    <w:p w:rsidR="00846AE9" w:rsidRPr="006F6246" w:rsidRDefault="00846AE9" w:rsidP="00CC1DC1">
      <w:pPr>
        <w:pStyle w:val="Heading2"/>
      </w:pPr>
      <w:r w:rsidRPr="006F6246">
        <w:t xml:space="preserve">The EDC NHS prioritised the development of the WRES to tackle race equalities - the WRES was identified as the best means to achieve this by helping the NHS to improve by: </w:t>
      </w:r>
    </w:p>
    <w:p w:rsidR="00846AE9" w:rsidRPr="006F6246" w:rsidRDefault="00846AE9" w:rsidP="00CC1DC1">
      <w:pPr>
        <w:pStyle w:val="Style1"/>
      </w:pPr>
      <w:r w:rsidRPr="006F6246">
        <w:t xml:space="preserve">BAME representation at Senior Management and Board level. </w:t>
      </w:r>
    </w:p>
    <w:p w:rsidR="00F475FE" w:rsidRPr="006F6246" w:rsidRDefault="00846AE9" w:rsidP="00CC1DC1">
      <w:pPr>
        <w:pStyle w:val="Style1"/>
      </w:pPr>
      <w:r w:rsidRPr="006F6246">
        <w:t xml:space="preserve">To provide better working environments for the BAME workforce. </w:t>
      </w:r>
    </w:p>
    <w:p w:rsidR="00846AE9" w:rsidRPr="006F6246" w:rsidRDefault="00846AE9" w:rsidP="00CC1DC1">
      <w:pPr>
        <w:pStyle w:val="Heading2"/>
      </w:pPr>
      <w:r w:rsidRPr="006F6246">
        <w:rPr>
          <w:rStyle w:val="Heading2Char"/>
        </w:rPr>
        <w:t>The WRES is a tool to identify gaps between BAME &amp; White staff experiences in the</w:t>
      </w:r>
      <w:r w:rsidRPr="006F6246">
        <w:t xml:space="preserve"> workplace this is measured through a set of Metrics. Closing the gaps will achieve: </w:t>
      </w:r>
    </w:p>
    <w:p w:rsidR="00846AE9" w:rsidRPr="006F6246" w:rsidRDefault="00846AE9" w:rsidP="00CC1DC1">
      <w:pPr>
        <w:pStyle w:val="Style1"/>
      </w:pPr>
      <w:r w:rsidRPr="006F6246">
        <w:t xml:space="preserve">Tangible progress in tackling discrimination </w:t>
      </w:r>
    </w:p>
    <w:p w:rsidR="00846AE9" w:rsidRPr="006F6246" w:rsidRDefault="00846AE9" w:rsidP="00CC1DC1">
      <w:pPr>
        <w:pStyle w:val="Style1"/>
      </w:pPr>
      <w:r w:rsidRPr="006F6246">
        <w:t xml:space="preserve">Promoting a positive culture. </w:t>
      </w:r>
    </w:p>
    <w:p w:rsidR="00846AE9" w:rsidRDefault="00846AE9" w:rsidP="00CC1DC1">
      <w:pPr>
        <w:pStyle w:val="Style1"/>
      </w:pPr>
      <w:r w:rsidRPr="006F6246">
        <w:t xml:space="preserve">Valuing all staff for their contribution to the NHS </w:t>
      </w:r>
    </w:p>
    <w:p w:rsidR="006559D0" w:rsidRPr="006F6246" w:rsidRDefault="006559D0" w:rsidP="006559D0">
      <w:pPr>
        <w:pStyle w:val="Style1"/>
        <w:numPr>
          <w:ilvl w:val="0"/>
          <w:numId w:val="0"/>
        </w:numPr>
        <w:ind w:left="1418"/>
      </w:pPr>
    </w:p>
    <w:p w:rsidR="00846AE9" w:rsidRPr="006F6246" w:rsidRDefault="00846AE9" w:rsidP="00CC1DC1">
      <w:pPr>
        <w:pStyle w:val="Heading2"/>
      </w:pPr>
      <w:r w:rsidRPr="006F6246">
        <w:t xml:space="preserve">This will provide an environment in the NHS whereby all staff are valued and supported across its entire diverse workforce. The result will be high quality patient care and improved health outcomes for all. </w:t>
      </w:r>
    </w:p>
    <w:p w:rsidR="00846AE9" w:rsidRPr="006F6246" w:rsidRDefault="00846AE9" w:rsidP="00CC1DC1">
      <w:pPr>
        <w:pStyle w:val="Heading2"/>
      </w:pPr>
      <w:r w:rsidRPr="006F6246">
        <w:t xml:space="preserve">The WRES supports EDS2 goals in relation to a representative workforce and is already embedded in the Trust; </w:t>
      </w:r>
    </w:p>
    <w:p w:rsidR="00846AE9" w:rsidRPr="006F6246" w:rsidRDefault="00846AE9" w:rsidP="00CC1DC1">
      <w:pPr>
        <w:pStyle w:val="Style1"/>
      </w:pPr>
      <w:r w:rsidRPr="006F6246">
        <w:t xml:space="preserve">Better Health outcomes </w:t>
      </w:r>
    </w:p>
    <w:p w:rsidR="00846AE9" w:rsidRPr="006F6246" w:rsidRDefault="00846AE9" w:rsidP="00CC1DC1">
      <w:pPr>
        <w:pStyle w:val="Style1"/>
      </w:pPr>
      <w:r w:rsidRPr="006F6246">
        <w:t xml:space="preserve">Improved patient access and experience. </w:t>
      </w:r>
    </w:p>
    <w:p w:rsidR="00846AE9" w:rsidRPr="006F6246" w:rsidRDefault="00846AE9" w:rsidP="00CC1DC1">
      <w:pPr>
        <w:pStyle w:val="Style1"/>
      </w:pPr>
      <w:r w:rsidRPr="006F6246">
        <w:t xml:space="preserve">Representative and supported workforce </w:t>
      </w:r>
    </w:p>
    <w:p w:rsidR="00846AE9" w:rsidRDefault="00846AE9" w:rsidP="00CC1DC1">
      <w:pPr>
        <w:pStyle w:val="Style1"/>
      </w:pPr>
      <w:r w:rsidRPr="006F6246">
        <w:t xml:space="preserve">To provide better working environments for the BAME workforce. </w:t>
      </w:r>
    </w:p>
    <w:p w:rsidR="006559D0" w:rsidRDefault="006559D0" w:rsidP="006559D0">
      <w:pPr>
        <w:pStyle w:val="Style1"/>
        <w:numPr>
          <w:ilvl w:val="0"/>
          <w:numId w:val="0"/>
        </w:numPr>
        <w:ind w:left="1418" w:hanging="567"/>
      </w:pPr>
    </w:p>
    <w:p w:rsidR="006559D0" w:rsidRPr="006F6246" w:rsidRDefault="006559D0" w:rsidP="006559D0">
      <w:pPr>
        <w:pStyle w:val="Heading2"/>
      </w:pPr>
      <w:r w:rsidRPr="006559D0">
        <w:t xml:space="preserve">“A key message is that real and sustained changes will only be made by determined senior leadership and commitment. This requires a shift beyond over reliance on Diversity Managers and HR Directors to drive change. This should be viewed as a strategic opportunity to demonstrate commitment to diversity and to leverage improvements in patient care.” </w:t>
      </w:r>
      <w:r>
        <w:br/>
      </w:r>
      <w:r w:rsidRPr="006559D0">
        <w:rPr>
          <w:i/>
        </w:rPr>
        <w:t>Technical Guidance for the NHS Workforce Race Equality Standard (WRES) July 2018</w:t>
      </w:r>
      <w:r w:rsidRPr="006559D0">
        <w:t xml:space="preserve">  </w:t>
      </w:r>
    </w:p>
    <w:p w:rsidR="00846AE9" w:rsidRDefault="00846AE9" w:rsidP="00CC1DC1">
      <w:pPr>
        <w:pStyle w:val="Heading1"/>
      </w:pPr>
      <w:bookmarkStart w:id="3" w:name="_Toc487627817"/>
      <w:bookmarkStart w:id="4" w:name="_Toc493165667"/>
      <w:bookmarkStart w:id="5" w:name="_Toc50029645"/>
      <w:r w:rsidRPr="006F6246">
        <w:t>NHS Standard Contract</w:t>
      </w:r>
      <w:bookmarkEnd w:id="3"/>
      <w:bookmarkEnd w:id="4"/>
      <w:bookmarkEnd w:id="5"/>
      <w:r w:rsidRPr="006F6246">
        <w:t xml:space="preserve"> </w:t>
      </w:r>
    </w:p>
    <w:p w:rsidR="009F2F23" w:rsidRDefault="009F2F23" w:rsidP="009F2F23">
      <w:pPr>
        <w:pStyle w:val="Heading2"/>
      </w:pPr>
      <w:r>
        <w:t>The Workforce Race Equality Standard applies to all types of providers of non-primary healthcare services operating under the full-length version of the NHS Standard Contract, and so is applicable to NHS providers, independent sector providers, and voluntary sector providers.</w:t>
      </w:r>
    </w:p>
    <w:p w:rsidR="009F2F23" w:rsidRDefault="009F2F23" w:rsidP="009F2F23">
      <w:pPr>
        <w:pStyle w:val="Heading2"/>
      </w:pPr>
      <w:r>
        <w:lastRenderedPageBreak/>
        <w:t>Since April 2015, the WRES has been included in the full-length NHS Standard Contract, which is mandated for use by NHS commissioners when commissioning non-primary health services. The Contract requires all providers of NHS services (other than primary care) to address the issue of workforce race inequality by implementing and using the WRES. Service Condition 13.6 of the NHS Standard Contract 2020/21 states the following in relation to the WRES:</w:t>
      </w:r>
    </w:p>
    <w:p w:rsidR="009F2F23" w:rsidRDefault="009F2F23" w:rsidP="009F2F23">
      <w:r>
        <w:t>The Provider must implement the National Workforce Race Equality Standard and submit an annual report to the Co-ordinating Commissioner on its progress in implementing that standard.</w:t>
      </w:r>
    </w:p>
    <w:p w:rsidR="009F2F23" w:rsidRDefault="009F2F23" w:rsidP="009F2F23">
      <w:pPr>
        <w:pStyle w:val="Heading2"/>
      </w:pPr>
      <w:r>
        <w:t>Service Condition 13.7 states that</w:t>
      </w:r>
    </w:p>
    <w:p w:rsidR="009F2F23" w:rsidRDefault="009F2F23" w:rsidP="009F2F23">
      <w:r>
        <w:t>The Provider must work towards the achievement of its bespoke targets for black and ethnic minority representation amongst Staff at Agenda for Change Band 8a and above, as described in the NHS Model Employer Strategy</w:t>
      </w:r>
    </w:p>
    <w:p w:rsidR="009F2F23" w:rsidRDefault="009F2F23" w:rsidP="009F2F23">
      <w:pPr>
        <w:pStyle w:val="Heading2"/>
      </w:pPr>
      <w:r>
        <w:t>Schedule 6A of the NHS Standard Contract requires that providers report annually on their compliance with the WRES. These provisions do not apply to the shorter-form version of the NHS Standard Contract, which is typically used for commissioning lower value services with smaller providers.</w:t>
      </w:r>
      <w:r w:rsidRPr="009F2F23">
        <w:t xml:space="preserve"> </w:t>
      </w:r>
    </w:p>
    <w:p w:rsidR="009F2F23" w:rsidRPr="009F2F23" w:rsidRDefault="009F2F23" w:rsidP="009F2F23">
      <w:pPr>
        <w:pStyle w:val="Heading1"/>
      </w:pPr>
      <w:bookmarkStart w:id="6" w:name="_Toc50029646"/>
      <w:r w:rsidRPr="009F2F23">
        <w:t>Changes to NHS England data submission</w:t>
      </w:r>
      <w:bookmarkEnd w:id="6"/>
    </w:p>
    <w:p w:rsidR="009F2F23" w:rsidRPr="00486CC6" w:rsidRDefault="009F2F23" w:rsidP="009F2F23">
      <w:pPr>
        <w:pStyle w:val="Heading2"/>
      </w:pPr>
      <w:r>
        <w:t xml:space="preserve">Due to COVID-19 this year NHS England have not required the submission of data for indictors 5, 6, 7 and 8. They are included in this report. </w:t>
      </w:r>
    </w:p>
    <w:p w:rsidR="00846AE9" w:rsidRPr="006F6246" w:rsidRDefault="00846AE9" w:rsidP="00CC1DC1">
      <w:pPr>
        <w:pStyle w:val="Heading1"/>
      </w:pPr>
      <w:bookmarkStart w:id="7" w:name="_Toc487627818"/>
      <w:bookmarkStart w:id="8" w:name="_Toc493165668"/>
      <w:bookmarkStart w:id="9" w:name="_Toc50029647"/>
      <w:r w:rsidRPr="006F6246">
        <w:t>Business Benefits to the Trust</w:t>
      </w:r>
      <w:bookmarkEnd w:id="7"/>
      <w:bookmarkEnd w:id="8"/>
      <w:bookmarkEnd w:id="9"/>
      <w:r w:rsidRPr="006F6246">
        <w:t xml:space="preserve"> </w:t>
      </w:r>
    </w:p>
    <w:p w:rsidR="00846AE9" w:rsidRPr="006F6246" w:rsidRDefault="009A716B" w:rsidP="00CC1DC1">
      <w:pPr>
        <w:pStyle w:val="Heading2"/>
      </w:pPr>
      <w:r w:rsidRPr="006F6246">
        <w:t>Simon Stevens said</w:t>
      </w:r>
      <w:r w:rsidR="00846AE9" w:rsidRPr="006F6246">
        <w:t xml:space="preserve"> that,</w:t>
      </w:r>
    </w:p>
    <w:p w:rsidR="00846AE9" w:rsidRPr="006F6246" w:rsidRDefault="00846AE9" w:rsidP="00F475FE">
      <w:pPr>
        <w:ind w:left="1440"/>
        <w:rPr>
          <w:i/>
          <w:lang w:eastAsia="en-GB"/>
        </w:rPr>
      </w:pPr>
      <w:r w:rsidRPr="006F6246">
        <w:rPr>
          <w:i/>
          <w:lang w:eastAsia="en-GB"/>
        </w:rPr>
        <w:t xml:space="preserve"> “We want an NHS of the people, by the people, for the people. That’s because care is far more likely to meet the needs of patients we are here to serve when NHS Leadership is drawn from diverse communities.”</w:t>
      </w:r>
    </w:p>
    <w:p w:rsidR="00846AE9" w:rsidRPr="006F6246" w:rsidRDefault="00846AE9" w:rsidP="00CC1DC1">
      <w:pPr>
        <w:pStyle w:val="Heading2"/>
      </w:pPr>
      <w:r w:rsidRPr="006F6246">
        <w:t xml:space="preserve">There are numerous benefits for the Trust through the implementation of the WRES – which all make good business sense: </w:t>
      </w:r>
    </w:p>
    <w:p w:rsidR="00846AE9" w:rsidRPr="006F6246" w:rsidRDefault="00846AE9" w:rsidP="00CC1DC1">
      <w:pPr>
        <w:pStyle w:val="Style1"/>
      </w:pPr>
      <w:r w:rsidRPr="006F6246">
        <w:t xml:space="preserve">Recruitment – this would open up access to a young BAME labour market. </w:t>
      </w:r>
    </w:p>
    <w:p w:rsidR="00846AE9" w:rsidRPr="006F6246" w:rsidRDefault="00846AE9" w:rsidP="00CC1DC1">
      <w:pPr>
        <w:pStyle w:val="Style1"/>
      </w:pPr>
      <w:r w:rsidRPr="006F6246">
        <w:t xml:space="preserve">Would add value to the Trust as a “diverse employer”, raising awareness of different cultures, traditions and religious beliefs. Which in turn would provide greater understanding when delivering patient care, particularly in relation to dignity and respect. </w:t>
      </w:r>
    </w:p>
    <w:p w:rsidR="00846AE9" w:rsidRPr="006F6246" w:rsidRDefault="00846AE9" w:rsidP="00CC1DC1">
      <w:pPr>
        <w:pStyle w:val="Style1"/>
      </w:pPr>
      <w:r w:rsidRPr="006F6246">
        <w:t xml:space="preserve">This would enhance and empower mutual respect from all staff and from our communities. </w:t>
      </w:r>
    </w:p>
    <w:p w:rsidR="00846AE9" w:rsidRPr="006F6246" w:rsidRDefault="00846AE9" w:rsidP="00CC1DC1">
      <w:pPr>
        <w:pStyle w:val="Style1"/>
      </w:pPr>
      <w:r w:rsidRPr="006F6246">
        <w:t xml:space="preserve">The WRES will demonstrate our commitment as a Trust to deliver a diverse workforce, representative of the communities we serve. </w:t>
      </w:r>
    </w:p>
    <w:p w:rsidR="00846AE9" w:rsidRPr="006F6246" w:rsidRDefault="00846AE9" w:rsidP="00CC1DC1">
      <w:pPr>
        <w:pStyle w:val="Style1"/>
      </w:pPr>
      <w:r w:rsidRPr="006F6246">
        <w:t xml:space="preserve">It would demonstrate to our own BAME staff the Trust commitment to ensure staff are treated equitably and appropriately free from discriminatory practices. </w:t>
      </w:r>
    </w:p>
    <w:p w:rsidR="0071655A" w:rsidRPr="006F6246" w:rsidRDefault="00846AE9" w:rsidP="00CC1DC1">
      <w:pPr>
        <w:pStyle w:val="Style1"/>
      </w:pPr>
      <w:r w:rsidRPr="006F6246">
        <w:lastRenderedPageBreak/>
        <w:t xml:space="preserve">The WRES will provide a transparency of what the Trust is delivering and evidence to prove progress. </w:t>
      </w:r>
    </w:p>
    <w:p w:rsidR="00DF1AD5" w:rsidRPr="006F6246" w:rsidRDefault="00DF1AD5" w:rsidP="00CC1DC1">
      <w:pPr>
        <w:pStyle w:val="Heading1"/>
        <w:rPr>
          <w:rStyle w:val="Heading2Char"/>
        </w:rPr>
      </w:pPr>
      <w:bookmarkStart w:id="10" w:name="_Toc50029648"/>
      <w:r w:rsidRPr="006F6246">
        <w:rPr>
          <w:rStyle w:val="Heading2Char"/>
        </w:rPr>
        <w:t>Legal Duties</w:t>
      </w:r>
      <w:bookmarkEnd w:id="10"/>
    </w:p>
    <w:p w:rsidR="00846AE9" w:rsidRPr="006F6246" w:rsidRDefault="00846AE9" w:rsidP="00CC1DC1">
      <w:pPr>
        <w:pStyle w:val="Style2"/>
      </w:pPr>
      <w:r w:rsidRPr="006F6246">
        <w:rPr>
          <w:rStyle w:val="Heading2Char"/>
        </w:rPr>
        <w:t>The Trust needs to fulfil legal duties regarding Protected</w:t>
      </w:r>
      <w:r w:rsidRPr="006F6246">
        <w:t xml:space="preserve"> Characteristics as detailed in the Equality Act 2010 in particular relating to the General</w:t>
      </w:r>
      <w:r w:rsidR="00DF1AD5" w:rsidRPr="006F6246">
        <w:t xml:space="preserve"> Equality</w:t>
      </w:r>
      <w:r w:rsidRPr="006F6246">
        <w:t xml:space="preserve"> Duty as follows: </w:t>
      </w:r>
    </w:p>
    <w:p w:rsidR="00846AE9" w:rsidRPr="006F6246" w:rsidRDefault="00846AE9" w:rsidP="00CC1DC1">
      <w:pPr>
        <w:pStyle w:val="Heading2"/>
        <w:rPr>
          <w:lang w:eastAsia="en-GB"/>
        </w:rPr>
      </w:pPr>
      <w:r w:rsidRPr="006F6246">
        <w:rPr>
          <w:lang w:eastAsia="en-GB"/>
        </w:rPr>
        <w:t xml:space="preserve">Eliminate unlawful discrimination, harassment and victimisation </w:t>
      </w:r>
    </w:p>
    <w:p w:rsidR="00846AE9" w:rsidRPr="006F6246" w:rsidRDefault="00846AE9" w:rsidP="00CC1DC1">
      <w:pPr>
        <w:pStyle w:val="Style2"/>
        <w:rPr>
          <w:lang w:eastAsia="en-GB"/>
        </w:rPr>
      </w:pPr>
      <w:r w:rsidRPr="006F6246">
        <w:rPr>
          <w:lang w:eastAsia="en-GB"/>
        </w:rPr>
        <w:t xml:space="preserve">The Trust has in place policies and process to eliminate discrimination and harassment of all staff and continues to take legal responsibility for all Protected Characteristics. </w:t>
      </w:r>
    </w:p>
    <w:p w:rsidR="00846AE9" w:rsidRPr="006F6246" w:rsidRDefault="00846AE9" w:rsidP="00CC1DC1">
      <w:pPr>
        <w:pStyle w:val="Heading2"/>
        <w:rPr>
          <w:lang w:eastAsia="en-GB"/>
        </w:rPr>
      </w:pPr>
      <w:r w:rsidRPr="006F6246">
        <w:rPr>
          <w:lang w:eastAsia="en-GB"/>
        </w:rPr>
        <w:t xml:space="preserve">Advance equality of opportunity between different groups. </w:t>
      </w:r>
    </w:p>
    <w:p w:rsidR="00846AE9" w:rsidRPr="006F6246" w:rsidRDefault="00846AE9" w:rsidP="00CC1DC1">
      <w:pPr>
        <w:pStyle w:val="Style2"/>
      </w:pPr>
      <w:r w:rsidRPr="006F6246">
        <w:t xml:space="preserve">To mitigate risk the Trust may want to consider developing a baseline assessment of current resources and initiatives for all staff support across Protected Characteristics. </w:t>
      </w:r>
    </w:p>
    <w:p w:rsidR="00846AE9" w:rsidRPr="006F6246" w:rsidRDefault="00846AE9" w:rsidP="00CC1DC1">
      <w:pPr>
        <w:pStyle w:val="Heading2"/>
        <w:rPr>
          <w:lang w:eastAsia="en-GB"/>
        </w:rPr>
      </w:pPr>
      <w:r w:rsidRPr="006F6246">
        <w:rPr>
          <w:lang w:eastAsia="en-GB"/>
        </w:rPr>
        <w:t xml:space="preserve">Foster good relations between different groups </w:t>
      </w:r>
    </w:p>
    <w:p w:rsidR="00846AE9" w:rsidRPr="006F6246" w:rsidRDefault="00846AE9" w:rsidP="00CC1DC1">
      <w:pPr>
        <w:pStyle w:val="Style1"/>
      </w:pPr>
      <w:r w:rsidRPr="006F6246">
        <w:t xml:space="preserve">Reduce any negative impact by positive market communication. It is critical to make sure staff teams are engaged and understand the rationale and see the value of the work. </w:t>
      </w:r>
    </w:p>
    <w:p w:rsidR="002D13E0" w:rsidRDefault="00846AE9" w:rsidP="00CC1DC1">
      <w:pPr>
        <w:pStyle w:val="Style1"/>
      </w:pPr>
      <w:r w:rsidRPr="006F6246">
        <w:t xml:space="preserve">Clarity about what positive action is, it’s not about giving BAME staff an unfair advantage but addressing inequalities. </w:t>
      </w:r>
    </w:p>
    <w:p w:rsidR="00697EE9" w:rsidRDefault="002F4703" w:rsidP="002F4703">
      <w:pPr>
        <w:pStyle w:val="Heading1"/>
      </w:pPr>
      <w:bookmarkStart w:id="11" w:name="_Toc50029649"/>
      <w:r w:rsidRPr="002F4703">
        <w:t>Workforce indicator</w:t>
      </w:r>
      <w:r>
        <w:t xml:space="preserve"> 1</w:t>
      </w:r>
      <w:bookmarkEnd w:id="11"/>
    </w:p>
    <w:p w:rsidR="002F4703" w:rsidRDefault="002F4703" w:rsidP="009F2F23">
      <w:pPr>
        <w:pStyle w:val="Heading2"/>
      </w:pPr>
      <w:r>
        <w:t>Percentage of staff in each of the AfC Bands 1-9 or Medical and Dental subgroups and VSM (including executive Board members) compared with the percentage of staff in the overall workforce disaggregated by:</w:t>
      </w:r>
    </w:p>
    <w:p w:rsidR="002F4703" w:rsidRDefault="002F4703" w:rsidP="002F4703">
      <w:pPr>
        <w:ind w:left="1440"/>
      </w:pPr>
      <w:r>
        <w:t>• Non-Clinical staff</w:t>
      </w:r>
    </w:p>
    <w:p w:rsidR="002F4703" w:rsidRDefault="002F4703" w:rsidP="002F4703">
      <w:pPr>
        <w:ind w:left="1440"/>
      </w:pPr>
      <w:r>
        <w:t>• Clinical staff - of which</w:t>
      </w:r>
    </w:p>
    <w:p w:rsidR="002F4703" w:rsidRDefault="002F4703" w:rsidP="002F4703">
      <w:pPr>
        <w:ind w:left="2160"/>
      </w:pPr>
      <w:r>
        <w:t>- Non-Medical staff</w:t>
      </w:r>
    </w:p>
    <w:p w:rsidR="002F4703" w:rsidRDefault="002F4703" w:rsidP="002F4703">
      <w:pPr>
        <w:ind w:left="2160"/>
      </w:pPr>
      <w:r>
        <w:t>- Medical and Dental staff</w:t>
      </w:r>
    </w:p>
    <w:p w:rsidR="002F4703" w:rsidRPr="00697EE9" w:rsidRDefault="002F4703" w:rsidP="002F4703">
      <w:pPr>
        <w:ind w:left="851"/>
      </w:pPr>
      <w:r>
        <w:t>Note: Definitions for these categories are based on Electronic Staff Record occupation codes with the exception of Medical and Dental staff, which are based upon grade codes.</w:t>
      </w:r>
    </w:p>
    <w:p w:rsidR="00697EE9" w:rsidRPr="00697EE9" w:rsidRDefault="00697EE9" w:rsidP="00697EE9"/>
    <w:p w:rsidR="00B24214" w:rsidRPr="006F6246" w:rsidRDefault="00B24214" w:rsidP="00CC1DC1">
      <w:pPr>
        <w:pStyle w:val="Heading3"/>
        <w:sectPr w:rsidR="00B24214" w:rsidRPr="006F6246" w:rsidSect="00994F71">
          <w:headerReference w:type="default" r:id="rId11"/>
          <w:footerReference w:type="default" r:id="rId12"/>
          <w:pgSz w:w="11906" w:h="16838"/>
          <w:pgMar w:top="1818" w:right="1134" w:bottom="1134" w:left="1134" w:header="709" w:footer="831" w:gutter="0"/>
          <w:cols w:space="708"/>
          <w:titlePg/>
          <w:docGrid w:linePitch="360"/>
        </w:sectPr>
      </w:pPr>
    </w:p>
    <w:p w:rsidR="002F4703" w:rsidRPr="00994F71" w:rsidRDefault="002F4703" w:rsidP="00994F71">
      <w:pPr>
        <w:pStyle w:val="Heading2"/>
        <w:numPr>
          <w:ilvl w:val="0"/>
          <w:numId w:val="0"/>
        </w:numPr>
        <w:rPr>
          <w:b/>
        </w:rPr>
      </w:pPr>
      <w:r w:rsidRPr="00994F71">
        <w:rPr>
          <w:b/>
        </w:rPr>
        <w:lastRenderedPageBreak/>
        <w:t>Non-Clinical staff</w:t>
      </w:r>
    </w:p>
    <w:tbl>
      <w:tblPr>
        <w:tblStyle w:val="TableGrid"/>
        <w:tblW w:w="11080" w:type="dxa"/>
        <w:tblInd w:w="607" w:type="dxa"/>
        <w:tblLook w:val="06A0" w:firstRow="1" w:lastRow="0" w:firstColumn="1" w:lastColumn="0" w:noHBand="1" w:noVBand="1"/>
      </w:tblPr>
      <w:tblGrid>
        <w:gridCol w:w="1431"/>
        <w:gridCol w:w="1140"/>
        <w:gridCol w:w="960"/>
        <w:gridCol w:w="960"/>
        <w:gridCol w:w="960"/>
        <w:gridCol w:w="1053"/>
        <w:gridCol w:w="1460"/>
        <w:gridCol w:w="1169"/>
        <w:gridCol w:w="960"/>
        <w:gridCol w:w="987"/>
      </w:tblGrid>
      <w:tr w:rsidR="002F4703" w:rsidRPr="0025592F" w:rsidTr="00994F71">
        <w:trPr>
          <w:trHeight w:val="9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proofErr w:type="gramStart"/>
            <w:r w:rsidRPr="0025592F">
              <w:rPr>
                <w:rFonts w:ascii="Calibri" w:eastAsia="Times New Roman" w:hAnsi="Calibri" w:cs="Calibri"/>
                <w:bCs w:val="0"/>
                <w:color w:val="000000"/>
                <w:sz w:val="22"/>
                <w:szCs w:val="22"/>
                <w:lang w:eastAsia="en-GB"/>
              </w:rPr>
              <w:t>Non clinical</w:t>
            </w:r>
            <w:proofErr w:type="gramEnd"/>
          </w:p>
        </w:tc>
        <w:tc>
          <w:tcPr>
            <w:tcW w:w="114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BAME</w:t>
            </w:r>
          </w:p>
        </w:tc>
        <w:tc>
          <w:tcPr>
            <w:tcW w:w="96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Not Stated</w:t>
            </w:r>
          </w:p>
        </w:tc>
        <w:tc>
          <w:tcPr>
            <w:tcW w:w="96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White</w:t>
            </w:r>
          </w:p>
        </w:tc>
        <w:tc>
          <w:tcPr>
            <w:tcW w:w="96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Grand Total</w:t>
            </w:r>
          </w:p>
        </w:tc>
        <w:tc>
          <w:tcPr>
            <w:tcW w:w="1053"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of BAME Staff</w:t>
            </w:r>
          </w:p>
        </w:tc>
        <w:tc>
          <w:tcPr>
            <w:tcW w:w="146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Average</w:t>
            </w:r>
            <w:r w:rsidRPr="0025592F">
              <w:rPr>
                <w:rFonts w:ascii="Calibri" w:eastAsia="Times New Roman" w:hAnsi="Calibri" w:cs="Calibri"/>
                <w:b/>
                <w:color w:val="000000"/>
                <w:sz w:val="22"/>
                <w:szCs w:val="22"/>
                <w:lang w:eastAsia="en-GB"/>
              </w:rPr>
              <w:br/>
              <w:t xml:space="preserve">BAME Staff % </w:t>
            </w:r>
          </w:p>
        </w:tc>
        <w:tc>
          <w:tcPr>
            <w:tcW w:w="1169"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Difference</w:t>
            </w:r>
          </w:p>
        </w:tc>
        <w:tc>
          <w:tcPr>
            <w:tcW w:w="960"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Not Stated</w:t>
            </w:r>
          </w:p>
        </w:tc>
        <w:tc>
          <w:tcPr>
            <w:tcW w:w="987" w:type="dxa"/>
            <w:hideMark/>
          </w:tcPr>
          <w:p w:rsidR="002F4703" w:rsidRPr="0025592F" w:rsidRDefault="002F4703" w:rsidP="00564A32">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of White Staff</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Apprentice</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14.29%</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85.71%</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1</w:t>
            </w:r>
          </w:p>
        </w:tc>
        <w:tc>
          <w:tcPr>
            <w:tcW w:w="1140" w:type="dxa"/>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100.00%</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2</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533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623</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0.041734</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-0.08%</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10.27%</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85.55%</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3</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19</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420</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485</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0.039175</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-0.33%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9.48%</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86.60%</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4</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30</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270</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313</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0.041534</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-0.10%</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9.58%</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86.26%</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5</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129</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162</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0.074074</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3.16%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12.96%</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79.63%</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6</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97</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125</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0.032</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19.20%</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77.60%</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7</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77</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94</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0.031915</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14.89%</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81.91%</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8A</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57</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67</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0.029851</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11.94%</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85.07%</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8B</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53</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0.037736</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-0.48%</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9.43%</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86.79%</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8C</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0.142857</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10.04%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14.29%</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71.43%</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Band 8D</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17.65%</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82.35%</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xml:space="preserve">Exec Director </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20.00%</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80.00%</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VSM</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18</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0.111111</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6.86%</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16.67%</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72.22%</w:t>
            </w:r>
          </w:p>
        </w:tc>
      </w:tr>
      <w:tr w:rsidR="002F4703" w:rsidRPr="0025592F" w:rsidTr="00994F71">
        <w:trPr>
          <w:trHeight w:val="300"/>
        </w:trPr>
        <w:tc>
          <w:tcPr>
            <w:tcW w:w="1431" w:type="dxa"/>
            <w:hideMark/>
          </w:tcPr>
          <w:p w:rsidR="002F4703" w:rsidRPr="0025592F" w:rsidRDefault="002F4703" w:rsidP="00564A32">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Grand Total</w:t>
            </w:r>
          </w:p>
        </w:tc>
        <w:tc>
          <w:tcPr>
            <w:tcW w:w="114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84</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221</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1672</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1977</w:t>
            </w:r>
          </w:p>
        </w:tc>
        <w:tc>
          <w:tcPr>
            <w:tcW w:w="1053"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0.042489</w:t>
            </w:r>
          </w:p>
        </w:tc>
        <w:tc>
          <w:tcPr>
            <w:tcW w:w="14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4.25%</w:t>
            </w:r>
          </w:p>
        </w:tc>
        <w:tc>
          <w:tcPr>
            <w:tcW w:w="1169"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11.18%</w:t>
            </w:r>
          </w:p>
        </w:tc>
        <w:tc>
          <w:tcPr>
            <w:tcW w:w="987" w:type="dxa"/>
            <w:noWrap/>
            <w:hideMark/>
          </w:tcPr>
          <w:p w:rsidR="002F4703" w:rsidRPr="0025592F" w:rsidRDefault="002F4703" w:rsidP="00564A32">
            <w:pPr>
              <w:ind w:left="0"/>
              <w:jc w:val="right"/>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84.57%</w:t>
            </w:r>
          </w:p>
        </w:tc>
      </w:tr>
    </w:tbl>
    <w:p w:rsidR="002F4703" w:rsidRPr="006F6246" w:rsidRDefault="002F4703" w:rsidP="002F4703">
      <w:pPr>
        <w:ind w:left="0"/>
        <w:rPr>
          <w:b/>
        </w:rPr>
      </w:pPr>
    </w:p>
    <w:p w:rsidR="002F4703" w:rsidRDefault="002F4703" w:rsidP="002F4703">
      <w:r w:rsidRPr="006F6246">
        <w:t>This table shows the distribution of BAME staff in Non-Clinical Bands</w:t>
      </w:r>
      <w:r w:rsidR="00994F71">
        <w:t>.</w:t>
      </w:r>
    </w:p>
    <w:p w:rsidR="00994F71" w:rsidRDefault="00994F71" w:rsidP="002F4703">
      <w:r>
        <w:t>Band 5, 8C and VSM show the percentage of BAME staff is more than the percentage of staff across the workforce.</w:t>
      </w:r>
    </w:p>
    <w:p w:rsidR="00994F71" w:rsidRPr="006F6246" w:rsidRDefault="00994F71" w:rsidP="002F4703">
      <w:r>
        <w:t>All other bands indicate the percentage of BAME staff is less than the percentage of staff across the workforce.</w:t>
      </w:r>
    </w:p>
    <w:p w:rsidR="002F4703" w:rsidRDefault="002F4703" w:rsidP="002F4703">
      <w:r>
        <w:rPr>
          <w:noProof/>
        </w:rPr>
        <w:lastRenderedPageBreak/>
        <w:drawing>
          <wp:inline distT="0" distB="0" distL="0" distR="0" wp14:anchorId="01BDC5A5" wp14:editId="685402C3">
            <wp:extent cx="7541443" cy="6042582"/>
            <wp:effectExtent l="0" t="0" r="2540" b="15875"/>
            <wp:docPr id="4" name="Chart 4" descr="Bar graph representation of non-clinical BAME staff">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19A4" w:rsidRPr="00994F71" w:rsidRDefault="00B24214" w:rsidP="00994F71">
      <w:pPr>
        <w:pStyle w:val="Heading2"/>
        <w:numPr>
          <w:ilvl w:val="0"/>
          <w:numId w:val="0"/>
        </w:numPr>
        <w:rPr>
          <w:b/>
        </w:rPr>
      </w:pPr>
      <w:r w:rsidRPr="00994F71">
        <w:rPr>
          <w:b/>
        </w:rPr>
        <w:lastRenderedPageBreak/>
        <w:t>Clinical staff</w:t>
      </w:r>
    </w:p>
    <w:tbl>
      <w:tblPr>
        <w:tblStyle w:val="TableGrid"/>
        <w:tblW w:w="11156" w:type="dxa"/>
        <w:tblInd w:w="607" w:type="dxa"/>
        <w:tblLook w:val="06A0" w:firstRow="1" w:lastRow="0" w:firstColumn="1" w:lastColumn="0" w:noHBand="1" w:noVBand="1"/>
      </w:tblPr>
      <w:tblGrid>
        <w:gridCol w:w="1600"/>
        <w:gridCol w:w="1140"/>
        <w:gridCol w:w="960"/>
        <w:gridCol w:w="960"/>
        <w:gridCol w:w="960"/>
        <w:gridCol w:w="960"/>
        <w:gridCol w:w="1460"/>
        <w:gridCol w:w="1169"/>
        <w:gridCol w:w="960"/>
        <w:gridCol w:w="987"/>
      </w:tblGrid>
      <w:tr w:rsidR="006F57C2" w:rsidRPr="006F57C2" w:rsidTr="00994F71">
        <w:trPr>
          <w:trHeight w:val="747"/>
        </w:trPr>
        <w:tc>
          <w:tcPr>
            <w:tcW w:w="160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Clinical</w:t>
            </w:r>
          </w:p>
        </w:tc>
        <w:tc>
          <w:tcPr>
            <w:tcW w:w="114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BAME</w:t>
            </w:r>
          </w:p>
        </w:tc>
        <w:tc>
          <w:tcPr>
            <w:tcW w:w="9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Not Stated</w:t>
            </w:r>
          </w:p>
        </w:tc>
        <w:tc>
          <w:tcPr>
            <w:tcW w:w="9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White</w:t>
            </w:r>
          </w:p>
        </w:tc>
        <w:tc>
          <w:tcPr>
            <w:tcW w:w="9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Grand Total</w:t>
            </w:r>
          </w:p>
        </w:tc>
        <w:tc>
          <w:tcPr>
            <w:tcW w:w="9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 of BAME Staff</w:t>
            </w:r>
          </w:p>
        </w:tc>
        <w:tc>
          <w:tcPr>
            <w:tcW w:w="14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Average</w:t>
            </w:r>
            <w:r w:rsidRPr="006F57C2">
              <w:rPr>
                <w:rFonts w:ascii="Calibri" w:eastAsia="Times New Roman" w:hAnsi="Calibri" w:cs="Calibri"/>
                <w:b/>
                <w:color w:val="000000"/>
                <w:sz w:val="22"/>
                <w:szCs w:val="22"/>
                <w:lang w:eastAsia="en-GB"/>
              </w:rPr>
              <w:br/>
              <w:t xml:space="preserve">BAME Staff %  </w:t>
            </w:r>
          </w:p>
        </w:tc>
        <w:tc>
          <w:tcPr>
            <w:tcW w:w="1169"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 Difference</w:t>
            </w:r>
          </w:p>
        </w:tc>
        <w:tc>
          <w:tcPr>
            <w:tcW w:w="960"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 Not Stated</w:t>
            </w:r>
          </w:p>
        </w:tc>
        <w:tc>
          <w:tcPr>
            <w:tcW w:w="987" w:type="dxa"/>
            <w:hideMark/>
          </w:tcPr>
          <w:p w:rsidR="006F57C2" w:rsidRPr="006F57C2" w:rsidRDefault="006F57C2" w:rsidP="006F57C2">
            <w:pPr>
              <w:ind w:left="0"/>
              <w:jc w:val="center"/>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 of White Staff</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Apprentice</w:t>
            </w:r>
          </w:p>
        </w:tc>
        <w:tc>
          <w:tcPr>
            <w:tcW w:w="114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12.50%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-8.83%</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987"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87.50%</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2</w:t>
            </w:r>
          </w:p>
        </w:tc>
        <w:tc>
          <w:tcPr>
            <w:tcW w:w="114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239</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187</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884</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1310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18.24%</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-3.08%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14.27%</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67.48%</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3</w:t>
            </w:r>
          </w:p>
        </w:tc>
        <w:tc>
          <w:tcPr>
            <w:tcW w:w="114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31</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38</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264</w:t>
            </w:r>
          </w:p>
        </w:tc>
        <w:tc>
          <w:tcPr>
            <w:tcW w:w="960" w:type="dxa"/>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9.31%</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-12.02%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11.41%</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79.28%</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4</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37</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230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340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21.47%</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0.14%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10.88%</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67.65%</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5</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329</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199</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820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1348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24.41%</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3.08%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14.76%</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60.83%</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6</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204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149</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813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1166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17.50%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-3.83%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12.78%</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69.73%</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7</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640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796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9.55%</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-11.78%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10.05%</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80.40%</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8A</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114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140</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-11.33%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8.57%</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81.43%</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8B</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52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-21.33%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18.75%</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81.25%</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8C</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15</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-21.33%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16.67%</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83.33%</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8D</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5</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-21.33%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40.00%</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60.00%</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Band 9</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-21.33%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100.00%</w:t>
            </w:r>
          </w:p>
        </w:tc>
      </w:tr>
      <w:tr w:rsidR="006F57C2" w:rsidRPr="006F57C2" w:rsidTr="00994F71">
        <w:trPr>
          <w:trHeight w:val="300"/>
        </w:trPr>
        <w:tc>
          <w:tcPr>
            <w:tcW w:w="1600" w:type="dxa"/>
            <w:noWrap/>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Consultant</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71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201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454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40.09%</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18.76%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15.64%</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44.27%</w:t>
            </w:r>
          </w:p>
        </w:tc>
      </w:tr>
      <w:tr w:rsidR="006F57C2" w:rsidRPr="006F57C2" w:rsidTr="00994F71">
        <w:trPr>
          <w:trHeight w:val="300"/>
        </w:trPr>
        <w:tc>
          <w:tcPr>
            <w:tcW w:w="1600" w:type="dxa"/>
            <w:noWrap/>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Non-Consultant</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98</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32</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176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55.68%</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34.35%</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18.18%</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26.14%</w:t>
            </w:r>
          </w:p>
        </w:tc>
      </w:tr>
      <w:tr w:rsidR="006F57C2" w:rsidRPr="006F57C2" w:rsidTr="00994F71">
        <w:trPr>
          <w:trHeight w:val="300"/>
        </w:trPr>
        <w:tc>
          <w:tcPr>
            <w:tcW w:w="1600" w:type="dxa"/>
            <w:noWrap/>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Trainee Grade</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166</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209</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89</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464</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35.78%</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14.45%</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45.04%</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19.18%</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 xml:space="preserve">Exec Director </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994F71" w:rsidRDefault="006F57C2" w:rsidP="006F57C2">
            <w:pPr>
              <w:ind w:left="0"/>
              <w:jc w:val="right"/>
              <w:rPr>
                <w:rFonts w:ascii="Calibri" w:eastAsia="Times New Roman" w:hAnsi="Calibri" w:cs="Calibri"/>
                <w:bCs w:val="0"/>
                <w:color w:val="000000"/>
                <w:sz w:val="22"/>
                <w:szCs w:val="22"/>
                <w:lang w:eastAsia="en-GB"/>
              </w:rPr>
            </w:pPr>
            <w:r w:rsidRPr="00994F71">
              <w:rPr>
                <w:rFonts w:ascii="Calibri" w:eastAsia="Times New Roman" w:hAnsi="Calibri" w:cs="Calibri"/>
                <w:bCs w:val="0"/>
                <w:color w:val="000000"/>
                <w:sz w:val="22"/>
                <w:szCs w:val="22"/>
                <w:lang w:eastAsia="en-GB"/>
              </w:rPr>
              <w:t>-21.33%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0.00%</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100.00%</w:t>
            </w:r>
          </w:p>
        </w:tc>
      </w:tr>
      <w:tr w:rsidR="006F57C2" w:rsidRPr="006F57C2" w:rsidTr="00994F71">
        <w:trPr>
          <w:trHeight w:val="300"/>
        </w:trPr>
        <w:tc>
          <w:tcPr>
            <w:tcW w:w="1600" w:type="dxa"/>
            <w:hideMark/>
          </w:tcPr>
          <w:p w:rsidR="006F57C2" w:rsidRPr="006F57C2" w:rsidRDefault="006F57C2" w:rsidP="006F57C2">
            <w:pPr>
              <w:ind w:left="0"/>
              <w:rPr>
                <w:rFonts w:ascii="Calibri" w:eastAsia="Times New Roman" w:hAnsi="Calibri" w:cs="Calibri"/>
                <w:b/>
                <w:color w:val="000000"/>
                <w:sz w:val="22"/>
                <w:szCs w:val="22"/>
                <w:lang w:eastAsia="en-GB"/>
              </w:rPr>
            </w:pPr>
            <w:r w:rsidRPr="006F57C2">
              <w:rPr>
                <w:rFonts w:ascii="Calibri" w:eastAsia="Times New Roman" w:hAnsi="Calibri" w:cs="Calibri"/>
                <w:b/>
                <w:color w:val="000000"/>
                <w:sz w:val="22"/>
                <w:szCs w:val="22"/>
                <w:lang w:eastAsia="en-GB"/>
              </w:rPr>
              <w:t>Grand Total</w:t>
            </w:r>
          </w:p>
        </w:tc>
        <w:tc>
          <w:tcPr>
            <w:tcW w:w="114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1413</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1031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4181</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6625</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4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21.33%</w:t>
            </w:r>
          </w:p>
        </w:tc>
        <w:tc>
          <w:tcPr>
            <w:tcW w:w="1169"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 </w:t>
            </w:r>
          </w:p>
        </w:tc>
        <w:tc>
          <w:tcPr>
            <w:tcW w:w="960"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15.56%</w:t>
            </w:r>
          </w:p>
        </w:tc>
        <w:tc>
          <w:tcPr>
            <w:tcW w:w="987" w:type="dxa"/>
            <w:noWrap/>
            <w:hideMark/>
          </w:tcPr>
          <w:p w:rsidR="006F57C2" w:rsidRPr="006F57C2" w:rsidRDefault="006F57C2" w:rsidP="006F57C2">
            <w:pPr>
              <w:ind w:left="0"/>
              <w:jc w:val="right"/>
              <w:rPr>
                <w:rFonts w:ascii="Calibri" w:eastAsia="Times New Roman" w:hAnsi="Calibri" w:cs="Calibri"/>
                <w:bCs w:val="0"/>
                <w:color w:val="000000"/>
                <w:sz w:val="22"/>
                <w:szCs w:val="22"/>
                <w:lang w:eastAsia="en-GB"/>
              </w:rPr>
            </w:pPr>
            <w:r w:rsidRPr="006F57C2">
              <w:rPr>
                <w:rFonts w:ascii="Calibri" w:eastAsia="Times New Roman" w:hAnsi="Calibri" w:cs="Calibri"/>
                <w:bCs w:val="0"/>
                <w:color w:val="000000"/>
                <w:sz w:val="22"/>
                <w:szCs w:val="22"/>
                <w:lang w:eastAsia="en-GB"/>
              </w:rPr>
              <w:t>63.11%</w:t>
            </w:r>
          </w:p>
        </w:tc>
      </w:tr>
    </w:tbl>
    <w:p w:rsidR="006F57C2" w:rsidRPr="006F6246" w:rsidRDefault="006F57C2" w:rsidP="00E00EE2">
      <w:pPr>
        <w:ind w:left="0"/>
        <w:rPr>
          <w:b/>
        </w:rPr>
      </w:pPr>
    </w:p>
    <w:p w:rsidR="00C13331" w:rsidRDefault="004958F5" w:rsidP="00C13331">
      <w:pPr>
        <w:ind w:left="567"/>
      </w:pPr>
      <w:r w:rsidRPr="006F6246">
        <w:t>This table shows the distribution of BAME staff in Clinical Bands</w:t>
      </w:r>
      <w:r w:rsidR="00994F71">
        <w:t>.</w:t>
      </w:r>
    </w:p>
    <w:p w:rsidR="00994F71" w:rsidRPr="00994F71" w:rsidRDefault="00994F71" w:rsidP="00994F71">
      <w:pPr>
        <w:ind w:left="567"/>
      </w:pPr>
      <w:r w:rsidRPr="00994F71">
        <w:t xml:space="preserve">Band </w:t>
      </w:r>
      <w:r>
        <w:t xml:space="preserve">4, Band 5, Consultant, Non-Consultant, Trainee Grade </w:t>
      </w:r>
      <w:r w:rsidRPr="00994F71">
        <w:t>show the percentage of BAME staff is more than the percentage of staff across the workforce.</w:t>
      </w:r>
    </w:p>
    <w:p w:rsidR="00994F71" w:rsidRPr="00994F71" w:rsidRDefault="00994F71" w:rsidP="00994F71">
      <w:pPr>
        <w:ind w:left="567"/>
      </w:pPr>
      <w:r w:rsidRPr="00994F71">
        <w:t>All other bands indicate the percentage of BAME staff is less than the percentage of staff across the workforce.</w:t>
      </w:r>
    </w:p>
    <w:p w:rsidR="00994F71" w:rsidRPr="006F6246" w:rsidRDefault="00994F71" w:rsidP="00C13331">
      <w:pPr>
        <w:ind w:left="567"/>
      </w:pPr>
    </w:p>
    <w:p w:rsidR="004061E1" w:rsidRPr="006F6246" w:rsidRDefault="0025592F" w:rsidP="00C13331">
      <w:pPr>
        <w:ind w:left="567"/>
      </w:pPr>
      <w:r>
        <w:rPr>
          <w:noProof/>
        </w:rPr>
        <w:lastRenderedPageBreak/>
        <w:drawing>
          <wp:inline distT="0" distB="0" distL="0" distR="0" wp14:anchorId="3457C1C6" wp14:editId="2A5C8CA4">
            <wp:extent cx="8851770" cy="6165130"/>
            <wp:effectExtent l="0" t="0" r="6985" b="7620"/>
            <wp:docPr id="3" name="Chart 3" descr="Bar graph representation of clinical BAME staff">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3331" w:rsidRPr="00994F71" w:rsidRDefault="00C13331" w:rsidP="00994F71">
      <w:pPr>
        <w:pStyle w:val="Heading2"/>
        <w:numPr>
          <w:ilvl w:val="0"/>
          <w:numId w:val="0"/>
        </w:numPr>
        <w:rPr>
          <w:b/>
        </w:rPr>
      </w:pPr>
      <w:r w:rsidRPr="00994F71">
        <w:rPr>
          <w:b/>
        </w:rPr>
        <w:lastRenderedPageBreak/>
        <w:t>All Trust Staff</w:t>
      </w:r>
    </w:p>
    <w:tbl>
      <w:tblPr>
        <w:tblStyle w:val="TableGrid"/>
        <w:tblW w:w="11156" w:type="dxa"/>
        <w:tblInd w:w="607" w:type="dxa"/>
        <w:tblLook w:val="06A0" w:firstRow="1" w:lastRow="0" w:firstColumn="1" w:lastColumn="0" w:noHBand="1" w:noVBand="1"/>
      </w:tblPr>
      <w:tblGrid>
        <w:gridCol w:w="1600"/>
        <w:gridCol w:w="1140"/>
        <w:gridCol w:w="960"/>
        <w:gridCol w:w="960"/>
        <w:gridCol w:w="960"/>
        <w:gridCol w:w="960"/>
        <w:gridCol w:w="1460"/>
        <w:gridCol w:w="1169"/>
        <w:gridCol w:w="960"/>
        <w:gridCol w:w="987"/>
      </w:tblGrid>
      <w:tr w:rsidR="0025592F" w:rsidRPr="0025592F" w:rsidTr="00994F71">
        <w:trPr>
          <w:trHeight w:val="9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Trust</w:t>
            </w:r>
          </w:p>
        </w:tc>
        <w:tc>
          <w:tcPr>
            <w:tcW w:w="114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BAME</w:t>
            </w:r>
          </w:p>
        </w:tc>
        <w:tc>
          <w:tcPr>
            <w:tcW w:w="9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Not Stated</w:t>
            </w:r>
          </w:p>
        </w:tc>
        <w:tc>
          <w:tcPr>
            <w:tcW w:w="9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White</w:t>
            </w:r>
          </w:p>
        </w:tc>
        <w:tc>
          <w:tcPr>
            <w:tcW w:w="9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Grand Total</w:t>
            </w:r>
          </w:p>
        </w:tc>
        <w:tc>
          <w:tcPr>
            <w:tcW w:w="9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of BAME Staff</w:t>
            </w:r>
          </w:p>
        </w:tc>
        <w:tc>
          <w:tcPr>
            <w:tcW w:w="14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Average</w:t>
            </w:r>
            <w:r w:rsidRPr="0025592F">
              <w:rPr>
                <w:rFonts w:ascii="Calibri" w:eastAsia="Times New Roman" w:hAnsi="Calibri" w:cs="Calibri"/>
                <w:b/>
                <w:color w:val="000000"/>
                <w:sz w:val="22"/>
                <w:szCs w:val="22"/>
                <w:lang w:eastAsia="en-GB"/>
              </w:rPr>
              <w:br/>
              <w:t>BAME Staff %</w:t>
            </w:r>
          </w:p>
        </w:tc>
        <w:tc>
          <w:tcPr>
            <w:tcW w:w="1169"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Difference</w:t>
            </w:r>
          </w:p>
        </w:tc>
        <w:tc>
          <w:tcPr>
            <w:tcW w:w="96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Not Stated</w:t>
            </w:r>
          </w:p>
        </w:tc>
        <w:tc>
          <w:tcPr>
            <w:tcW w:w="987"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of White Staff</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Apprentice</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15</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6.67%</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-10.74%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6.67%</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86.67%</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1</w:t>
            </w:r>
          </w:p>
        </w:tc>
        <w:tc>
          <w:tcPr>
            <w:tcW w:w="114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100.00%</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2</w:t>
            </w:r>
          </w:p>
        </w:tc>
        <w:tc>
          <w:tcPr>
            <w:tcW w:w="114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265</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251</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1417</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1933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13.71%</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-3.69%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12.98%</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73.31%</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3</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684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818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6.11%</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-11.29%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10.27%</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83.62%</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4</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500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653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13.17%</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-4.23%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10.26%</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76.57%</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5</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341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949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1510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22.58%</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5.18%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14.57%</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62.85%</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6</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910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1291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16.11%</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13.40%</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70.49%</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7</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717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890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8.88%</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-8.53%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10.56%</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80.56%</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8A</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7.73%</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-9.67%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9.66%</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82.61%</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8B</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117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1.71%</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-15.69%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14.53%</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83.76%</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8C</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25</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4.00%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-13.40%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16.00%</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80.00%</w:t>
            </w:r>
          </w:p>
        </w:tc>
      </w:tr>
      <w:tr w:rsidR="0025592F" w:rsidRPr="0025592F" w:rsidTr="00994F71">
        <w:trPr>
          <w:trHeight w:val="382"/>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8D</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22.73%</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77.27%</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Band 9</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100.00%</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 xml:space="preserve">Exec Director </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 </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16.67%</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83.33%</w:t>
            </w:r>
          </w:p>
        </w:tc>
      </w:tr>
      <w:tr w:rsidR="0025592F" w:rsidRPr="0025592F" w:rsidTr="00994F71">
        <w:trPr>
          <w:trHeight w:val="300"/>
        </w:trPr>
        <w:tc>
          <w:tcPr>
            <w:tcW w:w="1600" w:type="dxa"/>
            <w:noWrap/>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Consultant</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182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201</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454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40.09%</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22.69%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15.64%</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44.27%</w:t>
            </w:r>
          </w:p>
        </w:tc>
      </w:tr>
      <w:tr w:rsidR="0025592F" w:rsidRPr="0025592F" w:rsidTr="00994F71">
        <w:trPr>
          <w:trHeight w:val="300"/>
        </w:trPr>
        <w:tc>
          <w:tcPr>
            <w:tcW w:w="1600" w:type="dxa"/>
            <w:noWrap/>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Non-Consultant</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98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46</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176</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55.68%</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38.28%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18.18%</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26.14%</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Trainee Grade</w:t>
            </w:r>
          </w:p>
        </w:tc>
        <w:tc>
          <w:tcPr>
            <w:tcW w:w="114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166</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209</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89</w:t>
            </w:r>
          </w:p>
        </w:tc>
        <w:tc>
          <w:tcPr>
            <w:tcW w:w="960" w:type="dxa"/>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464</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35.78%</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18.37%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45.04%</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19.18%</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VSM</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18</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11.11%</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-6.29%</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16.67%</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72.22%</w:t>
            </w:r>
          </w:p>
        </w:tc>
      </w:tr>
      <w:tr w:rsidR="0025592F" w:rsidRPr="0025592F" w:rsidTr="00994F71">
        <w:trPr>
          <w:trHeight w:val="300"/>
        </w:trPr>
        <w:tc>
          <w:tcPr>
            <w:tcW w:w="1600" w:type="dxa"/>
            <w:vAlign w:val="center"/>
            <w:hideMark/>
          </w:tcPr>
          <w:p w:rsidR="0025592F" w:rsidRPr="0025592F" w:rsidRDefault="0025592F" w:rsidP="00994F71">
            <w:pPr>
              <w:ind w:left="0"/>
              <w:rPr>
                <w:rFonts w:ascii="Calibri" w:eastAsia="Times New Roman" w:hAnsi="Calibri" w:cs="Calibri"/>
                <w:b/>
                <w:color w:val="000000"/>
                <w:sz w:val="22"/>
                <w:szCs w:val="22"/>
                <w:lang w:eastAsia="en-GB"/>
              </w:rPr>
            </w:pPr>
            <w:r w:rsidRPr="0025592F">
              <w:rPr>
                <w:rFonts w:ascii="Calibri" w:eastAsia="Times New Roman" w:hAnsi="Calibri" w:cs="Calibri"/>
                <w:b/>
                <w:color w:val="000000"/>
                <w:sz w:val="22"/>
                <w:szCs w:val="22"/>
                <w:lang w:eastAsia="en-GB"/>
              </w:rPr>
              <w:t>Grand Total</w:t>
            </w:r>
          </w:p>
        </w:tc>
        <w:tc>
          <w:tcPr>
            <w:tcW w:w="114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1497</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1252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5853</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8602</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4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17.40%</w:t>
            </w:r>
          </w:p>
        </w:tc>
        <w:tc>
          <w:tcPr>
            <w:tcW w:w="1169"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0.00%</w:t>
            </w:r>
          </w:p>
        </w:tc>
        <w:tc>
          <w:tcPr>
            <w:tcW w:w="960"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14.55%</w:t>
            </w:r>
          </w:p>
        </w:tc>
        <w:tc>
          <w:tcPr>
            <w:tcW w:w="987" w:type="dxa"/>
            <w:noWrap/>
            <w:vAlign w:val="center"/>
            <w:hideMark/>
          </w:tcPr>
          <w:p w:rsidR="0025592F" w:rsidRPr="0025592F" w:rsidRDefault="0025592F" w:rsidP="00994F71">
            <w:pPr>
              <w:ind w:left="0"/>
              <w:rPr>
                <w:rFonts w:ascii="Calibri" w:eastAsia="Times New Roman" w:hAnsi="Calibri" w:cs="Calibri"/>
                <w:bCs w:val="0"/>
                <w:color w:val="000000"/>
                <w:sz w:val="22"/>
                <w:szCs w:val="22"/>
                <w:lang w:eastAsia="en-GB"/>
              </w:rPr>
            </w:pPr>
            <w:r w:rsidRPr="0025592F">
              <w:rPr>
                <w:rFonts w:ascii="Calibri" w:eastAsia="Times New Roman" w:hAnsi="Calibri" w:cs="Calibri"/>
                <w:bCs w:val="0"/>
                <w:color w:val="000000"/>
                <w:sz w:val="22"/>
                <w:szCs w:val="22"/>
                <w:lang w:eastAsia="en-GB"/>
              </w:rPr>
              <w:t>68.04%</w:t>
            </w:r>
          </w:p>
        </w:tc>
      </w:tr>
    </w:tbl>
    <w:p w:rsidR="00D942B8" w:rsidRDefault="00D942B8" w:rsidP="00D942B8">
      <w:pPr>
        <w:spacing w:after="0" w:line="240" w:lineRule="auto"/>
      </w:pPr>
    </w:p>
    <w:p w:rsidR="007476F3" w:rsidRDefault="00C13331" w:rsidP="00D942B8">
      <w:pPr>
        <w:spacing w:after="0" w:line="240" w:lineRule="auto"/>
      </w:pPr>
      <w:r w:rsidRPr="006F6246">
        <w:t>This table shows the distribution of BAME staff in all Bands</w:t>
      </w:r>
    </w:p>
    <w:p w:rsidR="00994F71" w:rsidRPr="006F6246" w:rsidRDefault="00994F71" w:rsidP="00D942B8">
      <w:pPr>
        <w:spacing w:after="0" w:line="240" w:lineRule="auto"/>
      </w:pPr>
    </w:p>
    <w:p w:rsidR="00994F71" w:rsidRDefault="00994F71" w:rsidP="00994F71">
      <w:pPr>
        <w:spacing w:after="0" w:line="240" w:lineRule="auto"/>
      </w:pPr>
      <w:r w:rsidRPr="00994F71">
        <w:t>Band 5, Consultant, Non-Consultant, Trainee Grade show the percentage of BAME staff is more than the percentage of staff across the workforce.</w:t>
      </w:r>
    </w:p>
    <w:p w:rsidR="00994F71" w:rsidRPr="00994F71" w:rsidRDefault="00994F71" w:rsidP="00994F71">
      <w:pPr>
        <w:spacing w:after="0" w:line="240" w:lineRule="auto"/>
      </w:pPr>
    </w:p>
    <w:p w:rsidR="00994F71" w:rsidRPr="00994F71" w:rsidRDefault="00994F71" w:rsidP="00994F71">
      <w:pPr>
        <w:spacing w:after="0" w:line="240" w:lineRule="auto"/>
      </w:pPr>
      <w:r w:rsidRPr="00994F71">
        <w:t>All other bands indicate the percentage of BAME staff is less than the percentage of staff across the workforce.</w:t>
      </w:r>
    </w:p>
    <w:p w:rsidR="00994F71" w:rsidRDefault="00994F71" w:rsidP="00D942B8">
      <w:pPr>
        <w:spacing w:after="0" w:line="240" w:lineRule="auto"/>
      </w:pPr>
    </w:p>
    <w:p w:rsidR="00D942B8" w:rsidRPr="006F6246" w:rsidRDefault="00D942B8" w:rsidP="00D942B8">
      <w:pPr>
        <w:spacing w:after="0" w:line="240" w:lineRule="auto"/>
      </w:pPr>
      <w:r>
        <w:rPr>
          <w:noProof/>
        </w:rPr>
        <w:drawing>
          <wp:inline distT="0" distB="0" distL="0" distR="0" wp14:anchorId="0771BA03" wp14:editId="761950A1">
            <wp:extent cx="8389856" cy="5476973"/>
            <wp:effectExtent l="0" t="0" r="11430" b="9525"/>
            <wp:docPr id="6" name="Chart 6" descr="Bar graph of trust wide percentage of BAME staff per payband.">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1E1" w:rsidRPr="006F6246" w:rsidRDefault="004061E1" w:rsidP="00562806">
      <w:pPr>
        <w:ind w:left="284"/>
        <w:jc w:val="center"/>
      </w:pPr>
    </w:p>
    <w:p w:rsidR="00951965" w:rsidRPr="006F6246" w:rsidRDefault="00951965" w:rsidP="00994F71">
      <w:pPr>
        <w:ind w:left="0"/>
        <w:sectPr w:rsidR="00951965" w:rsidRPr="006F6246" w:rsidSect="00B24214">
          <w:pgSz w:w="16838" w:h="11906" w:orient="landscape"/>
          <w:pgMar w:top="1134" w:right="1134" w:bottom="1134" w:left="1134" w:header="426" w:footer="408" w:gutter="0"/>
          <w:cols w:space="708"/>
          <w:docGrid w:linePitch="360"/>
        </w:sectPr>
      </w:pPr>
    </w:p>
    <w:p w:rsidR="00503E38" w:rsidRDefault="00503E38" w:rsidP="00D40814">
      <w:pPr>
        <w:pStyle w:val="Heading1"/>
      </w:pPr>
      <w:bookmarkStart w:id="12" w:name="_Toc50029650"/>
      <w:r>
        <w:lastRenderedPageBreak/>
        <w:t>Workforce Indicator 2</w:t>
      </w:r>
      <w:bookmarkEnd w:id="12"/>
    </w:p>
    <w:p w:rsidR="00951965" w:rsidRPr="006F6246" w:rsidRDefault="00451A6D" w:rsidP="00503E38">
      <w:pPr>
        <w:pStyle w:val="Heading2"/>
      </w:pPr>
      <w:r w:rsidRPr="006F6246">
        <w:t>Relative likelihood of staff being appointed from shortlisting across all posts</w:t>
      </w:r>
    </w:p>
    <w:p w:rsidR="00A92128" w:rsidRPr="00A92128" w:rsidRDefault="00BF1D17" w:rsidP="00D40814">
      <w:pPr>
        <w:pStyle w:val="Heading2"/>
      </w:pPr>
      <w:r w:rsidRPr="006F6246">
        <w:t xml:space="preserve">The </w:t>
      </w:r>
      <w:r w:rsidR="00D40814">
        <w:t xml:space="preserve">relative </w:t>
      </w:r>
      <w:r w:rsidRPr="006F6246">
        <w:t>likelihood of being appointed from shortlisting for all staff was at its highest in 201</w:t>
      </w:r>
      <w:r w:rsidR="00D40814">
        <w:t>5/1</w:t>
      </w:r>
      <w:r w:rsidRPr="006F6246">
        <w:t xml:space="preserve">6 </w:t>
      </w:r>
      <w:r w:rsidR="001A739B" w:rsidRPr="006F6246">
        <w:t xml:space="preserve">when </w:t>
      </w:r>
      <w:r w:rsidR="00D40814">
        <w:t>it</w:t>
      </w:r>
      <w:r w:rsidRPr="006F6246">
        <w:t xml:space="preserve"> indicated that White </w:t>
      </w:r>
      <w:r w:rsidR="001A739B" w:rsidRPr="006F6246">
        <w:t>Applicants</w:t>
      </w:r>
      <w:r w:rsidRPr="006F6246">
        <w:t xml:space="preserve"> were 1.5 times more likely to be appointed than BAME Applicants. </w:t>
      </w:r>
      <w:r w:rsidR="00D40814">
        <w:t>T</w:t>
      </w:r>
      <w:r w:rsidRPr="006F6246">
        <w:t xml:space="preserve">he </w:t>
      </w:r>
      <w:r w:rsidR="00931B9F">
        <w:t xml:space="preserve">relative </w:t>
      </w:r>
      <w:r w:rsidRPr="006F6246">
        <w:t xml:space="preserve">likelihood of </w:t>
      </w:r>
      <w:r w:rsidR="001A739B" w:rsidRPr="006F6246">
        <w:t xml:space="preserve">appointment has decreased since 2016, White Applicants now being </w:t>
      </w:r>
      <w:r w:rsidR="00931B9F">
        <w:t xml:space="preserve">only </w:t>
      </w:r>
      <w:r w:rsidR="001A739B" w:rsidRPr="006F6246">
        <w:t>1.</w:t>
      </w:r>
      <w:r w:rsidR="00931B9F">
        <w:t>1</w:t>
      </w:r>
      <w:r w:rsidR="001A739B" w:rsidRPr="006F6246">
        <w:t>3 times more likely than BAME Applicants to be appointed</w:t>
      </w:r>
      <w:r w:rsidR="00A92128">
        <w:t xml:space="preserve">. </w:t>
      </w:r>
      <w:r w:rsidR="00A92128">
        <w:br/>
      </w:r>
      <w:r w:rsidR="004F619F" w:rsidRPr="004F619F">
        <w:t>A figure below “1” would indicate that white candidates are less likely than BME candidates to be appointed from shortlisting.</w:t>
      </w:r>
    </w:p>
    <w:p w:rsidR="00D372C8" w:rsidRPr="00D372C8" w:rsidRDefault="00D372C8" w:rsidP="00D372C8"/>
    <w:tbl>
      <w:tblPr>
        <w:tblStyle w:val="TableGrid"/>
        <w:tblW w:w="4961" w:type="dxa"/>
        <w:tblInd w:w="607" w:type="dxa"/>
        <w:tblLook w:val="06A0" w:firstRow="1" w:lastRow="0" w:firstColumn="1" w:lastColumn="0" w:noHBand="1" w:noVBand="1"/>
      </w:tblPr>
      <w:tblGrid>
        <w:gridCol w:w="1260"/>
        <w:gridCol w:w="1161"/>
        <w:gridCol w:w="1264"/>
        <w:gridCol w:w="1276"/>
      </w:tblGrid>
      <w:tr w:rsidR="00B75555" w:rsidRPr="00B75555" w:rsidTr="00230A71">
        <w:trPr>
          <w:trHeight w:val="600"/>
        </w:trPr>
        <w:tc>
          <w:tcPr>
            <w:tcW w:w="1260" w:type="dxa"/>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Year</w:t>
            </w:r>
          </w:p>
        </w:tc>
        <w:tc>
          <w:tcPr>
            <w:tcW w:w="1161" w:type="dxa"/>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Likelihood White</w:t>
            </w:r>
          </w:p>
        </w:tc>
        <w:tc>
          <w:tcPr>
            <w:tcW w:w="1264" w:type="dxa"/>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Likelihood BAME</w:t>
            </w:r>
          </w:p>
        </w:tc>
        <w:tc>
          <w:tcPr>
            <w:tcW w:w="1276" w:type="dxa"/>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Relative Likelihood</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2015</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0.24</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0.16</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1.51</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2016</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0.36</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0.24</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1.51</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2017</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0.21</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0.18</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1.17</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2018</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0.22</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0.18</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1.21</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2019</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w:t>
            </w:r>
            <w:r w:rsidR="00D40814">
              <w:rPr>
                <w:rFonts w:ascii="Calibri" w:eastAsia="Times New Roman" w:hAnsi="Calibri" w:cs="Calibri"/>
                <w:bCs w:val="0"/>
                <w:color w:val="000000"/>
                <w:sz w:val="22"/>
                <w:szCs w:val="22"/>
                <w:lang w:eastAsia="en-GB"/>
              </w:rPr>
              <w:t>0</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0.15</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1.31</w:t>
            </w:r>
          </w:p>
        </w:tc>
      </w:tr>
      <w:tr w:rsidR="00B75555" w:rsidRPr="00B75555" w:rsidTr="00230A71">
        <w:trPr>
          <w:trHeight w:val="300"/>
        </w:trPr>
        <w:tc>
          <w:tcPr>
            <w:tcW w:w="1260" w:type="dxa"/>
            <w:noWrap/>
            <w:hideMark/>
          </w:tcPr>
          <w:p w:rsidR="00B75555" w:rsidRPr="00B75555" w:rsidRDefault="00B75555" w:rsidP="00B75555">
            <w:pPr>
              <w:ind w:left="0"/>
              <w:jc w:val="center"/>
              <w:rPr>
                <w:rFonts w:ascii="Calibri" w:eastAsia="Times New Roman" w:hAnsi="Calibri" w:cs="Calibri"/>
                <w:b/>
                <w:color w:val="000000"/>
                <w:sz w:val="22"/>
                <w:szCs w:val="22"/>
                <w:lang w:eastAsia="en-GB"/>
              </w:rPr>
            </w:pPr>
            <w:r w:rsidRPr="00B75555">
              <w:rPr>
                <w:rFonts w:ascii="Calibri" w:eastAsia="Times New Roman" w:hAnsi="Calibri" w:cs="Calibri"/>
                <w:b/>
                <w:color w:val="000000"/>
                <w:sz w:val="22"/>
                <w:szCs w:val="22"/>
                <w:lang w:eastAsia="en-GB"/>
              </w:rPr>
              <w:t>2020</w:t>
            </w:r>
          </w:p>
        </w:tc>
        <w:tc>
          <w:tcPr>
            <w:tcW w:w="1161"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0.26</w:t>
            </w:r>
          </w:p>
        </w:tc>
        <w:tc>
          <w:tcPr>
            <w:tcW w:w="1264"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0.23</w:t>
            </w:r>
          </w:p>
        </w:tc>
        <w:tc>
          <w:tcPr>
            <w:tcW w:w="1276" w:type="dxa"/>
            <w:noWrap/>
            <w:hideMark/>
          </w:tcPr>
          <w:p w:rsidR="00B75555" w:rsidRPr="00B75555" w:rsidRDefault="00B75555" w:rsidP="00B75555">
            <w:pPr>
              <w:ind w:left="0"/>
              <w:jc w:val="right"/>
              <w:rPr>
                <w:rFonts w:ascii="Calibri" w:eastAsia="Times New Roman" w:hAnsi="Calibri" w:cs="Calibri"/>
                <w:bCs w:val="0"/>
                <w:color w:val="000000"/>
                <w:sz w:val="22"/>
                <w:szCs w:val="22"/>
                <w:lang w:eastAsia="en-GB"/>
              </w:rPr>
            </w:pPr>
            <w:r w:rsidRPr="00B75555">
              <w:rPr>
                <w:rFonts w:ascii="Calibri" w:eastAsia="Times New Roman" w:hAnsi="Calibri" w:cs="Calibri"/>
                <w:bCs w:val="0"/>
                <w:color w:val="000000"/>
                <w:sz w:val="22"/>
                <w:szCs w:val="22"/>
                <w:lang w:eastAsia="en-GB"/>
              </w:rPr>
              <w:t>1.13</w:t>
            </w:r>
          </w:p>
        </w:tc>
      </w:tr>
    </w:tbl>
    <w:p w:rsidR="008C0FB8" w:rsidRDefault="008C0FB8" w:rsidP="008C0FB8"/>
    <w:p w:rsidR="009B7C5A" w:rsidRPr="006F6246" w:rsidRDefault="009B7C5A" w:rsidP="009B7C5A">
      <w:pPr>
        <w:ind w:left="851"/>
      </w:pPr>
      <w:r>
        <w:rPr>
          <w:noProof/>
        </w:rPr>
        <w:drawing>
          <wp:inline distT="0" distB="0" distL="0" distR="0" wp14:anchorId="25373291" wp14:editId="519B9AB3">
            <wp:extent cx="4572000" cy="2743200"/>
            <wp:effectExtent l="0" t="0" r="0" b="0"/>
            <wp:docPr id="8" name="Chart 8" descr="Line graph of staff being appointed from shortli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728F" w:rsidRDefault="0007728F" w:rsidP="008C0FB8">
      <w:pPr>
        <w:jc w:val="center"/>
      </w:pPr>
    </w:p>
    <w:p w:rsidR="00503E38" w:rsidRDefault="00503E38" w:rsidP="00931B9F">
      <w:pPr>
        <w:pStyle w:val="Heading1"/>
      </w:pPr>
      <w:bookmarkStart w:id="13" w:name="_Toc50029651"/>
      <w:r>
        <w:t>Workforce Indicator 3</w:t>
      </w:r>
      <w:bookmarkEnd w:id="13"/>
    </w:p>
    <w:p w:rsidR="0007728F" w:rsidRPr="006F6246" w:rsidRDefault="0007728F" w:rsidP="00931B9F">
      <w:pPr>
        <w:pStyle w:val="Heading2"/>
      </w:pPr>
      <w:r w:rsidRPr="00931B9F">
        <w:t>Relative likelihood of staff entering the formal disciplinary process, as measured</w:t>
      </w:r>
      <w:r w:rsidRPr="006F6246">
        <w:t xml:space="preserve"> by entry into a formal disciplinary investigation. </w:t>
      </w:r>
      <w:r w:rsidRPr="006F6246">
        <w:br/>
        <w:t xml:space="preserve">Note: This indicator </w:t>
      </w:r>
      <w:r w:rsidR="00931B9F">
        <w:t>is</w:t>
      </w:r>
      <w:r w:rsidRPr="006F6246">
        <w:t xml:space="preserve"> be based on data from a </w:t>
      </w:r>
      <w:r w:rsidR="00503E38" w:rsidRPr="006F6246">
        <w:t>two-year</w:t>
      </w:r>
      <w:r w:rsidRPr="006F6246">
        <w:t xml:space="preserve"> rolling average of the current year and the previous year.</w:t>
      </w:r>
    </w:p>
    <w:p w:rsidR="008C0FB8" w:rsidRPr="006F6246" w:rsidRDefault="00150F14" w:rsidP="00931B9F">
      <w:pPr>
        <w:pStyle w:val="Heading2"/>
      </w:pPr>
      <w:r w:rsidRPr="006F6246">
        <w:t>The system for recording disciplinary investigations changed after 2017 and this change is the cause of the higher numbers reported after that date.</w:t>
      </w:r>
    </w:p>
    <w:p w:rsidR="00150F14" w:rsidRPr="006F6246" w:rsidRDefault="00150F14" w:rsidP="00931B9F">
      <w:pPr>
        <w:pStyle w:val="Heading2"/>
      </w:pPr>
      <w:r w:rsidRPr="006F6246">
        <w:t>Whilst the actual numbers increased after 2017 the relative likelihood remains consistent</w:t>
      </w:r>
      <w:r w:rsidR="00564A32">
        <w:t>ly low.</w:t>
      </w:r>
    </w:p>
    <w:p w:rsidR="00FB1E5F" w:rsidRDefault="004F619F" w:rsidP="00931B9F">
      <w:pPr>
        <w:pStyle w:val="Heading2"/>
      </w:pPr>
      <w:r w:rsidRPr="004F619F">
        <w:lastRenderedPageBreak/>
        <w:t>A figure below “1” indicate</w:t>
      </w:r>
      <w:r w:rsidR="00E778A0">
        <w:t>s</w:t>
      </w:r>
      <w:r w:rsidRPr="004F619F">
        <w:t xml:space="preserve"> that B</w:t>
      </w:r>
      <w:r>
        <w:t>A</w:t>
      </w:r>
      <w:r w:rsidRPr="004F619F">
        <w:t>ME staff members are less likely than white staff to enter the formal disciplinary process.</w:t>
      </w:r>
    </w:p>
    <w:p w:rsidR="004F619F" w:rsidRDefault="004F619F" w:rsidP="004F619F"/>
    <w:tbl>
      <w:tblPr>
        <w:tblStyle w:val="TableGrid"/>
        <w:tblW w:w="6709" w:type="dxa"/>
        <w:tblInd w:w="607" w:type="dxa"/>
        <w:tblLook w:val="06A0" w:firstRow="1" w:lastRow="0" w:firstColumn="1" w:lastColumn="0" w:noHBand="1" w:noVBand="1"/>
      </w:tblPr>
      <w:tblGrid>
        <w:gridCol w:w="663"/>
        <w:gridCol w:w="1506"/>
        <w:gridCol w:w="1258"/>
        <w:gridCol w:w="960"/>
        <w:gridCol w:w="1161"/>
        <w:gridCol w:w="1161"/>
      </w:tblGrid>
      <w:tr w:rsidR="00564A32" w:rsidRPr="00564A32" w:rsidTr="001F1156">
        <w:trPr>
          <w:trHeight w:val="915"/>
        </w:trPr>
        <w:tc>
          <w:tcPr>
            <w:tcW w:w="663" w:type="dxa"/>
            <w:noWrap/>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Year</w:t>
            </w:r>
          </w:p>
        </w:tc>
        <w:tc>
          <w:tcPr>
            <w:tcW w:w="1506" w:type="dxa"/>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Ethnicity</w:t>
            </w:r>
          </w:p>
        </w:tc>
        <w:tc>
          <w:tcPr>
            <w:tcW w:w="1258" w:type="dxa"/>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Entering disciplinary system</w:t>
            </w:r>
          </w:p>
        </w:tc>
        <w:tc>
          <w:tcPr>
            <w:tcW w:w="960" w:type="dxa"/>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Total No. of Staff</w:t>
            </w:r>
          </w:p>
        </w:tc>
        <w:tc>
          <w:tcPr>
            <w:tcW w:w="1161" w:type="dxa"/>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Likelihood</w:t>
            </w:r>
          </w:p>
        </w:tc>
        <w:tc>
          <w:tcPr>
            <w:tcW w:w="1161" w:type="dxa"/>
            <w:hideMark/>
          </w:tcPr>
          <w:p w:rsidR="00564A32" w:rsidRPr="00564A32" w:rsidRDefault="00564A32" w:rsidP="00564A32">
            <w:pPr>
              <w:ind w:left="0"/>
              <w:jc w:val="center"/>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Relative Likelihood</w:t>
            </w:r>
          </w:p>
        </w:tc>
      </w:tr>
      <w:tr w:rsidR="00564A32" w:rsidRPr="00564A32" w:rsidTr="001F1156">
        <w:trPr>
          <w:trHeight w:val="315"/>
        </w:trPr>
        <w:tc>
          <w:tcPr>
            <w:tcW w:w="663" w:type="dxa"/>
            <w:vMerge w:val="restart"/>
            <w:noWrap/>
            <w:hideMark/>
          </w:tcPr>
          <w:p w:rsidR="00564A32" w:rsidRPr="00564A32" w:rsidRDefault="00564A32" w:rsidP="00564A32">
            <w:pPr>
              <w:ind w:left="0"/>
              <w:jc w:val="right"/>
              <w:rPr>
                <w:rFonts w:ascii="Calibri" w:eastAsia="Times New Roman" w:hAnsi="Calibri" w:cs="Calibri"/>
                <w:b/>
                <w:color w:val="000000"/>
                <w:sz w:val="22"/>
                <w:szCs w:val="22"/>
                <w:lang w:eastAsia="en-GB"/>
              </w:rPr>
            </w:pPr>
            <w:bookmarkStart w:id="14" w:name="_GoBack" w:colFirst="0" w:colLast="0"/>
            <w:r w:rsidRPr="00564A32">
              <w:rPr>
                <w:rFonts w:ascii="Calibri" w:eastAsia="Times New Roman" w:hAnsi="Calibri" w:cs="Calibri"/>
                <w:b/>
                <w:color w:val="000000"/>
                <w:sz w:val="22"/>
                <w:szCs w:val="22"/>
                <w:lang w:eastAsia="en-GB"/>
              </w:rPr>
              <w:t>2016</w:t>
            </w:r>
          </w:p>
        </w:tc>
        <w:tc>
          <w:tcPr>
            <w:tcW w:w="1506" w:type="dxa"/>
            <w:noWrap/>
            <w:hideMark/>
          </w:tcPr>
          <w:p w:rsidR="00564A32" w:rsidRPr="00564A32" w:rsidRDefault="00564A32" w:rsidP="00564A32">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White</w:t>
            </w:r>
          </w:p>
        </w:tc>
        <w:tc>
          <w:tcPr>
            <w:tcW w:w="1258" w:type="dxa"/>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56</w:t>
            </w:r>
          </w:p>
        </w:tc>
        <w:tc>
          <w:tcPr>
            <w:tcW w:w="960"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5864</w:t>
            </w:r>
          </w:p>
        </w:tc>
        <w:tc>
          <w:tcPr>
            <w:tcW w:w="1161"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0.0095</w:t>
            </w:r>
          </w:p>
        </w:tc>
        <w:tc>
          <w:tcPr>
            <w:tcW w:w="1161" w:type="dxa"/>
            <w:noWrap/>
            <w:vAlign w:val="center"/>
            <w:hideMark/>
          </w:tcPr>
          <w:p w:rsidR="00564A32" w:rsidRPr="00564A32" w:rsidRDefault="00564A32"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0.56</w:t>
            </w:r>
          </w:p>
        </w:tc>
      </w:tr>
      <w:bookmarkEnd w:id="14"/>
      <w:tr w:rsidR="00564A32" w:rsidRPr="00564A32" w:rsidTr="001F1156">
        <w:trPr>
          <w:trHeight w:val="315"/>
        </w:trPr>
        <w:tc>
          <w:tcPr>
            <w:tcW w:w="663" w:type="dxa"/>
            <w:vMerge/>
            <w:hideMark/>
          </w:tcPr>
          <w:p w:rsidR="00564A32" w:rsidRPr="00564A32" w:rsidRDefault="00564A32" w:rsidP="00564A32">
            <w:pPr>
              <w:ind w:left="0"/>
              <w:rPr>
                <w:rFonts w:ascii="Calibri" w:eastAsia="Times New Roman" w:hAnsi="Calibri" w:cs="Calibri"/>
                <w:b/>
                <w:color w:val="000000"/>
                <w:sz w:val="22"/>
                <w:szCs w:val="22"/>
                <w:lang w:eastAsia="en-GB"/>
              </w:rPr>
            </w:pPr>
          </w:p>
        </w:tc>
        <w:tc>
          <w:tcPr>
            <w:tcW w:w="1506" w:type="dxa"/>
            <w:noWrap/>
            <w:hideMark/>
          </w:tcPr>
          <w:p w:rsidR="00564A32" w:rsidRPr="00564A32" w:rsidRDefault="00564A32" w:rsidP="00564A32">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BAME</w:t>
            </w:r>
          </w:p>
        </w:tc>
        <w:tc>
          <w:tcPr>
            <w:tcW w:w="1258" w:type="dxa"/>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6</w:t>
            </w:r>
          </w:p>
        </w:tc>
        <w:tc>
          <w:tcPr>
            <w:tcW w:w="960"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1125</w:t>
            </w:r>
          </w:p>
        </w:tc>
        <w:tc>
          <w:tcPr>
            <w:tcW w:w="1161"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0.0053</w:t>
            </w:r>
          </w:p>
        </w:tc>
        <w:tc>
          <w:tcPr>
            <w:tcW w:w="1161" w:type="dxa"/>
            <w:vAlign w:val="center"/>
            <w:hideMark/>
          </w:tcPr>
          <w:p w:rsidR="00564A32" w:rsidRPr="00564A32" w:rsidRDefault="001F1156" w:rsidP="001F1156">
            <w:pPr>
              <w:ind w:left="0"/>
              <w:jc w:val="right"/>
              <w:rPr>
                <w:rFonts w:ascii="Calibri" w:eastAsia="Times New Roman" w:hAnsi="Calibri" w:cs="Calibri"/>
                <w:bCs w:val="0"/>
                <w:color w:val="000000"/>
                <w:sz w:val="22"/>
                <w:szCs w:val="22"/>
                <w:lang w:eastAsia="en-GB"/>
              </w:rPr>
            </w:pPr>
            <w:r w:rsidRPr="001F1156">
              <w:rPr>
                <w:rFonts w:ascii="Calibri" w:eastAsia="Times New Roman" w:hAnsi="Calibri" w:cs="Calibri"/>
                <w:bCs w:val="0"/>
                <w:color w:val="000000"/>
                <w:sz w:val="22"/>
                <w:szCs w:val="22"/>
                <w:lang w:eastAsia="en-GB"/>
              </w:rPr>
              <w:t>0.56</w:t>
            </w:r>
          </w:p>
        </w:tc>
      </w:tr>
      <w:tr w:rsidR="00564A32" w:rsidRPr="00564A32" w:rsidTr="001F1156">
        <w:trPr>
          <w:trHeight w:val="330"/>
        </w:trPr>
        <w:tc>
          <w:tcPr>
            <w:tcW w:w="663" w:type="dxa"/>
            <w:vMerge/>
            <w:hideMark/>
          </w:tcPr>
          <w:p w:rsidR="00564A32" w:rsidRPr="00564A32" w:rsidRDefault="00564A32" w:rsidP="00564A32">
            <w:pPr>
              <w:ind w:left="0"/>
              <w:rPr>
                <w:rFonts w:ascii="Calibri" w:eastAsia="Times New Roman" w:hAnsi="Calibri" w:cs="Calibri"/>
                <w:b/>
                <w:color w:val="000000"/>
                <w:sz w:val="22"/>
                <w:szCs w:val="22"/>
                <w:lang w:eastAsia="en-GB"/>
              </w:rPr>
            </w:pPr>
          </w:p>
        </w:tc>
        <w:tc>
          <w:tcPr>
            <w:tcW w:w="1506" w:type="dxa"/>
            <w:noWrap/>
            <w:hideMark/>
          </w:tcPr>
          <w:p w:rsidR="00564A32" w:rsidRPr="00564A32" w:rsidRDefault="00564A32" w:rsidP="00564A32">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Not declared</w:t>
            </w:r>
          </w:p>
        </w:tc>
        <w:tc>
          <w:tcPr>
            <w:tcW w:w="1258" w:type="dxa"/>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10</w:t>
            </w:r>
          </w:p>
        </w:tc>
        <w:tc>
          <w:tcPr>
            <w:tcW w:w="960"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958</w:t>
            </w:r>
          </w:p>
        </w:tc>
        <w:tc>
          <w:tcPr>
            <w:tcW w:w="1161"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0.0104</w:t>
            </w:r>
          </w:p>
        </w:tc>
        <w:tc>
          <w:tcPr>
            <w:tcW w:w="1161" w:type="dxa"/>
            <w:vAlign w:val="center"/>
            <w:hideMark/>
          </w:tcPr>
          <w:p w:rsidR="00564A32" w:rsidRPr="00564A32" w:rsidRDefault="001F1156" w:rsidP="001F1156">
            <w:pPr>
              <w:ind w:left="0"/>
              <w:jc w:val="right"/>
              <w:rPr>
                <w:rFonts w:ascii="Calibri" w:eastAsia="Times New Roman" w:hAnsi="Calibri" w:cs="Calibri"/>
                <w:bCs w:val="0"/>
                <w:color w:val="000000"/>
                <w:sz w:val="22"/>
                <w:szCs w:val="22"/>
                <w:lang w:eastAsia="en-GB"/>
              </w:rPr>
            </w:pPr>
            <w:r w:rsidRPr="001F1156">
              <w:rPr>
                <w:rFonts w:ascii="Calibri" w:eastAsia="Times New Roman" w:hAnsi="Calibri" w:cs="Calibri"/>
                <w:bCs w:val="0"/>
                <w:color w:val="000000"/>
                <w:sz w:val="22"/>
                <w:szCs w:val="22"/>
                <w:lang w:eastAsia="en-GB"/>
              </w:rPr>
              <w:t>0.56</w:t>
            </w:r>
          </w:p>
        </w:tc>
      </w:tr>
      <w:tr w:rsidR="00564A32" w:rsidRPr="00564A32" w:rsidTr="001F1156">
        <w:trPr>
          <w:trHeight w:val="315"/>
        </w:trPr>
        <w:tc>
          <w:tcPr>
            <w:tcW w:w="663" w:type="dxa"/>
            <w:vMerge w:val="restart"/>
            <w:noWrap/>
            <w:hideMark/>
          </w:tcPr>
          <w:p w:rsidR="00564A32" w:rsidRPr="00564A32" w:rsidRDefault="00564A32" w:rsidP="00564A32">
            <w:pPr>
              <w:ind w:left="0"/>
              <w:jc w:val="right"/>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2017</w:t>
            </w:r>
          </w:p>
        </w:tc>
        <w:tc>
          <w:tcPr>
            <w:tcW w:w="1506" w:type="dxa"/>
            <w:noWrap/>
            <w:hideMark/>
          </w:tcPr>
          <w:p w:rsidR="00564A32" w:rsidRPr="00564A32" w:rsidRDefault="00564A32" w:rsidP="00564A32">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White</w:t>
            </w:r>
          </w:p>
        </w:tc>
        <w:tc>
          <w:tcPr>
            <w:tcW w:w="1258" w:type="dxa"/>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58</w:t>
            </w:r>
          </w:p>
        </w:tc>
        <w:tc>
          <w:tcPr>
            <w:tcW w:w="960"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5678</w:t>
            </w:r>
          </w:p>
        </w:tc>
        <w:tc>
          <w:tcPr>
            <w:tcW w:w="1161"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0.0102</w:t>
            </w:r>
          </w:p>
        </w:tc>
        <w:tc>
          <w:tcPr>
            <w:tcW w:w="1161" w:type="dxa"/>
            <w:noWrap/>
            <w:hideMark/>
          </w:tcPr>
          <w:p w:rsidR="00564A32" w:rsidRPr="00564A32" w:rsidRDefault="00564A32" w:rsidP="00564A32">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0.35</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BAME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4</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1120</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0.0036</w:t>
            </w:r>
          </w:p>
        </w:tc>
        <w:tc>
          <w:tcPr>
            <w:tcW w:w="1161"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0.35</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Not declared</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7</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1032</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0.0068</w:t>
            </w:r>
          </w:p>
        </w:tc>
        <w:tc>
          <w:tcPr>
            <w:tcW w:w="1161"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0.35</w:t>
            </w:r>
          </w:p>
        </w:tc>
      </w:tr>
      <w:tr w:rsidR="001F1156" w:rsidRPr="00564A32" w:rsidTr="001F1156">
        <w:trPr>
          <w:trHeight w:val="330"/>
        </w:trPr>
        <w:tc>
          <w:tcPr>
            <w:tcW w:w="663" w:type="dxa"/>
            <w:vMerge w:val="restart"/>
            <w:noWrap/>
            <w:hideMark/>
          </w:tcPr>
          <w:p w:rsidR="001F1156" w:rsidRPr="00564A32" w:rsidRDefault="001F1156" w:rsidP="001F1156">
            <w:pPr>
              <w:ind w:left="0"/>
              <w:jc w:val="right"/>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2018</w:t>
            </w: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White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121</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5515</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0.0219</w:t>
            </w:r>
          </w:p>
        </w:tc>
        <w:tc>
          <w:tcPr>
            <w:tcW w:w="1161" w:type="dxa"/>
            <w:noWrap/>
            <w:hideMark/>
          </w:tcPr>
          <w:p w:rsidR="001F1156" w:rsidRPr="00564A32" w:rsidRDefault="001F1156" w:rsidP="001F1156">
            <w:pPr>
              <w:ind w:left="0"/>
              <w:rPr>
                <w:rFonts w:ascii="Calibri" w:eastAsia="Times New Roman" w:hAnsi="Calibri" w:cs="Calibri"/>
                <w:bCs w:val="0"/>
                <w:color w:val="000000"/>
                <w:sz w:val="22"/>
                <w:szCs w:val="22"/>
                <w:lang w:eastAsia="en-GB"/>
              </w:rPr>
            </w:pPr>
          </w:p>
          <w:p w:rsidR="001F1156" w:rsidRPr="00564A32" w:rsidRDefault="001F1156" w:rsidP="001F1156">
            <w:pPr>
              <w:ind w:left="0"/>
              <w:rPr>
                <w:rFonts w:ascii="Calibri" w:eastAsia="Times New Roman" w:hAnsi="Calibri" w:cs="Calibri"/>
                <w:bCs w:val="0"/>
                <w:color w:val="000000"/>
                <w:sz w:val="22"/>
                <w:szCs w:val="22"/>
                <w:lang w:eastAsia="en-GB"/>
              </w:rPr>
            </w:pP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BAME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10.5</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1164</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0.0090</w:t>
            </w:r>
          </w:p>
        </w:tc>
        <w:tc>
          <w:tcPr>
            <w:tcW w:w="1161" w:type="dxa"/>
            <w:hideMark/>
          </w:tcPr>
          <w:p w:rsidR="001F1156" w:rsidRPr="00564A32" w:rsidRDefault="001F1156" w:rsidP="001F1156">
            <w:pPr>
              <w:ind w:left="0"/>
              <w:rPr>
                <w:rFonts w:ascii="Calibri" w:eastAsia="Times New Roman" w:hAnsi="Calibri" w:cs="Calibri"/>
                <w:bCs w:val="0"/>
                <w:color w:val="000000"/>
                <w:sz w:val="22"/>
                <w:szCs w:val="22"/>
                <w:lang w:eastAsia="en-GB"/>
              </w:rPr>
            </w:pP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Not declared</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22</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1179</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0.0187</w:t>
            </w:r>
          </w:p>
        </w:tc>
        <w:tc>
          <w:tcPr>
            <w:tcW w:w="1161" w:type="dxa"/>
            <w:hideMark/>
          </w:tcPr>
          <w:p w:rsidR="001F1156" w:rsidRPr="00564A32" w:rsidRDefault="001F1156" w:rsidP="001F1156">
            <w:pPr>
              <w:ind w:left="0"/>
              <w:rPr>
                <w:rFonts w:ascii="Calibri" w:eastAsia="Times New Roman" w:hAnsi="Calibri" w:cs="Calibri"/>
                <w:bCs w:val="0"/>
                <w:color w:val="000000"/>
                <w:sz w:val="22"/>
                <w:szCs w:val="22"/>
                <w:lang w:eastAsia="en-GB"/>
              </w:rPr>
            </w:pPr>
          </w:p>
        </w:tc>
      </w:tr>
      <w:tr w:rsidR="001F1156" w:rsidRPr="00564A32" w:rsidTr="001F1156">
        <w:trPr>
          <w:trHeight w:val="315"/>
        </w:trPr>
        <w:tc>
          <w:tcPr>
            <w:tcW w:w="663" w:type="dxa"/>
            <w:vMerge w:val="restart"/>
            <w:noWrap/>
            <w:hideMark/>
          </w:tcPr>
          <w:p w:rsidR="001F1156" w:rsidRPr="00564A32" w:rsidRDefault="001F1156" w:rsidP="001F1156">
            <w:pPr>
              <w:ind w:left="0"/>
              <w:jc w:val="right"/>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2019</w:t>
            </w: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White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156</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5573</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0.0280</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0.36</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BAME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12</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1206</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0.0100</w:t>
            </w:r>
          </w:p>
        </w:tc>
        <w:tc>
          <w:tcPr>
            <w:tcW w:w="1161"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0.36</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Not declared</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17.5</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1266</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0.0138</w:t>
            </w:r>
          </w:p>
        </w:tc>
        <w:tc>
          <w:tcPr>
            <w:tcW w:w="1161"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0.36</w:t>
            </w:r>
          </w:p>
        </w:tc>
      </w:tr>
      <w:tr w:rsidR="001F1156" w:rsidRPr="00564A32" w:rsidTr="001F1156">
        <w:trPr>
          <w:trHeight w:val="315"/>
        </w:trPr>
        <w:tc>
          <w:tcPr>
            <w:tcW w:w="663" w:type="dxa"/>
            <w:vMerge w:val="restart"/>
            <w:noWrap/>
            <w:hideMark/>
          </w:tcPr>
          <w:p w:rsidR="001F1156" w:rsidRPr="00564A32" w:rsidRDefault="001F1156" w:rsidP="001F1156">
            <w:pPr>
              <w:ind w:left="0"/>
              <w:jc w:val="right"/>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2020</w:t>
            </w: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White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66</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5853</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0.0113</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0.50</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BAME</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8.5</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1497</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0.0057</w:t>
            </w:r>
          </w:p>
        </w:tc>
        <w:tc>
          <w:tcPr>
            <w:tcW w:w="1161" w:type="dxa"/>
            <w:vAlign w:val="center"/>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1F1156">
              <w:rPr>
                <w:rFonts w:ascii="Calibri" w:eastAsia="Times New Roman" w:hAnsi="Calibri" w:cs="Calibri"/>
                <w:bCs w:val="0"/>
                <w:color w:val="000000"/>
                <w:sz w:val="22"/>
                <w:szCs w:val="22"/>
                <w:lang w:eastAsia="en-GB"/>
              </w:rPr>
              <w:t>0.50</w:t>
            </w:r>
          </w:p>
        </w:tc>
      </w:tr>
      <w:tr w:rsidR="001F1156" w:rsidRPr="00564A32" w:rsidTr="001F1156">
        <w:trPr>
          <w:trHeight w:val="315"/>
        </w:trPr>
        <w:tc>
          <w:tcPr>
            <w:tcW w:w="663" w:type="dxa"/>
            <w:vMerge/>
            <w:hideMark/>
          </w:tcPr>
          <w:p w:rsidR="001F1156" w:rsidRPr="00564A32" w:rsidRDefault="001F1156" w:rsidP="001F1156">
            <w:pPr>
              <w:ind w:left="0"/>
              <w:rPr>
                <w:rFonts w:ascii="Calibri" w:eastAsia="Times New Roman" w:hAnsi="Calibri" w:cs="Calibri"/>
                <w:b/>
                <w:color w:val="000000"/>
                <w:sz w:val="22"/>
                <w:szCs w:val="22"/>
                <w:lang w:eastAsia="en-GB"/>
              </w:rPr>
            </w:pPr>
          </w:p>
        </w:tc>
        <w:tc>
          <w:tcPr>
            <w:tcW w:w="1506" w:type="dxa"/>
            <w:noWrap/>
            <w:hideMark/>
          </w:tcPr>
          <w:p w:rsidR="001F1156" w:rsidRPr="00564A32" w:rsidRDefault="001F1156" w:rsidP="001F1156">
            <w:pPr>
              <w:ind w:left="0"/>
              <w:rPr>
                <w:rFonts w:ascii="Calibri" w:eastAsia="Times New Roman" w:hAnsi="Calibri" w:cs="Calibri"/>
                <w:b/>
                <w:color w:val="000000"/>
                <w:sz w:val="22"/>
                <w:szCs w:val="22"/>
                <w:lang w:eastAsia="en-GB"/>
              </w:rPr>
            </w:pPr>
            <w:r w:rsidRPr="00564A32">
              <w:rPr>
                <w:rFonts w:ascii="Calibri" w:eastAsia="Times New Roman" w:hAnsi="Calibri" w:cs="Calibri"/>
                <w:b/>
                <w:color w:val="000000"/>
                <w:sz w:val="22"/>
                <w:szCs w:val="22"/>
                <w:lang w:eastAsia="en-GB"/>
              </w:rPr>
              <w:t>Not declared</w:t>
            </w:r>
          </w:p>
        </w:tc>
        <w:tc>
          <w:tcPr>
            <w:tcW w:w="1258" w:type="dxa"/>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24</w:t>
            </w:r>
          </w:p>
        </w:tc>
        <w:tc>
          <w:tcPr>
            <w:tcW w:w="960"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1252</w:t>
            </w:r>
          </w:p>
        </w:tc>
        <w:tc>
          <w:tcPr>
            <w:tcW w:w="1161" w:type="dxa"/>
            <w:noWrap/>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564A32">
              <w:rPr>
                <w:rFonts w:ascii="Calibri" w:eastAsia="Times New Roman" w:hAnsi="Calibri" w:cs="Calibri"/>
                <w:bCs w:val="0"/>
                <w:color w:val="000000"/>
                <w:sz w:val="22"/>
                <w:szCs w:val="22"/>
                <w:lang w:eastAsia="en-GB"/>
              </w:rPr>
              <w:t>0.0192</w:t>
            </w:r>
          </w:p>
        </w:tc>
        <w:tc>
          <w:tcPr>
            <w:tcW w:w="1161" w:type="dxa"/>
            <w:vAlign w:val="center"/>
            <w:hideMark/>
          </w:tcPr>
          <w:p w:rsidR="001F1156" w:rsidRPr="00564A32" w:rsidRDefault="001F1156" w:rsidP="001F1156">
            <w:pPr>
              <w:ind w:left="0"/>
              <w:jc w:val="right"/>
              <w:rPr>
                <w:rFonts w:ascii="Calibri" w:eastAsia="Times New Roman" w:hAnsi="Calibri" w:cs="Calibri"/>
                <w:bCs w:val="0"/>
                <w:color w:val="000000"/>
                <w:sz w:val="22"/>
                <w:szCs w:val="22"/>
                <w:lang w:eastAsia="en-GB"/>
              </w:rPr>
            </w:pPr>
            <w:r w:rsidRPr="001F1156">
              <w:rPr>
                <w:rFonts w:ascii="Calibri" w:eastAsia="Times New Roman" w:hAnsi="Calibri" w:cs="Calibri"/>
                <w:bCs w:val="0"/>
                <w:color w:val="000000"/>
                <w:sz w:val="22"/>
                <w:szCs w:val="22"/>
                <w:lang w:eastAsia="en-GB"/>
              </w:rPr>
              <w:t>0.50</w:t>
            </w:r>
          </w:p>
        </w:tc>
      </w:tr>
    </w:tbl>
    <w:p w:rsidR="00564A32" w:rsidRDefault="00564A32" w:rsidP="004F619F"/>
    <w:p w:rsidR="00E64679" w:rsidRPr="006F6246" w:rsidRDefault="00504D2D" w:rsidP="00503E38">
      <w:pPr>
        <w:ind w:left="851"/>
      </w:pPr>
      <w:r>
        <w:rPr>
          <w:noProof/>
        </w:rPr>
        <w:drawing>
          <wp:inline distT="0" distB="0" distL="0" distR="0" wp14:anchorId="25A0E51D" wp14:editId="2C7EB34F">
            <wp:extent cx="4572000" cy="3400426"/>
            <wp:effectExtent l="0" t="0" r="0" b="9525"/>
            <wp:docPr id="1" name="Chart 1" descr="Line graph of relative likelihood of entering disciplinary system"/>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619F" w:rsidRDefault="004F619F">
      <w:pPr>
        <w:ind w:left="0"/>
      </w:pPr>
      <w:r>
        <w:br w:type="page"/>
      </w:r>
    </w:p>
    <w:p w:rsidR="003A2B04" w:rsidRDefault="003A2B04" w:rsidP="00E778A0">
      <w:pPr>
        <w:pStyle w:val="Heading1"/>
      </w:pPr>
      <w:bookmarkStart w:id="15" w:name="_Toc50029652"/>
      <w:r>
        <w:lastRenderedPageBreak/>
        <w:t>Workforce Indicator 4</w:t>
      </w:r>
      <w:bookmarkEnd w:id="15"/>
    </w:p>
    <w:p w:rsidR="00F87444" w:rsidRDefault="00F87444" w:rsidP="003A2B04">
      <w:pPr>
        <w:pStyle w:val="Heading2"/>
      </w:pPr>
      <w:r w:rsidRPr="006F6246">
        <w:t>Relative likelihood of staff accessing non-mandatory training and CPD</w:t>
      </w:r>
    </w:p>
    <w:p w:rsidR="00503E38" w:rsidRDefault="00503E38" w:rsidP="00503E38">
      <w:pPr>
        <w:pStyle w:val="Heading2"/>
        <w:rPr>
          <w:rStyle w:val="Heading2Char"/>
        </w:rPr>
      </w:pPr>
      <w:r w:rsidRPr="00E778A0">
        <w:rPr>
          <w:rStyle w:val="Heading2Char"/>
        </w:rPr>
        <w:t xml:space="preserve">A figure below “1” would indicate that white staff members are less likely to access non-mandatory training and CPD than BME staff. </w:t>
      </w:r>
    </w:p>
    <w:p w:rsidR="00503E38" w:rsidRDefault="00503E38" w:rsidP="00503E38">
      <w:pPr>
        <w:pStyle w:val="Heading2"/>
      </w:pPr>
      <w:r w:rsidRPr="00E778A0">
        <w:rPr>
          <w:rStyle w:val="Heading2Char"/>
        </w:rPr>
        <w:t>In 2019</w:t>
      </w:r>
      <w:r>
        <w:rPr>
          <w:rStyle w:val="Heading2Char"/>
        </w:rPr>
        <w:t xml:space="preserve"> and 2020</w:t>
      </w:r>
      <w:r w:rsidRPr="00E778A0">
        <w:rPr>
          <w:rStyle w:val="Heading2Char"/>
        </w:rPr>
        <w:t xml:space="preserve"> the relative likelihood was exactly one (1.00) indicating that BAME and White staff were equally likely to access</w:t>
      </w:r>
      <w:r w:rsidRPr="006F6246">
        <w:t xml:space="preserve"> the training.</w:t>
      </w:r>
    </w:p>
    <w:p w:rsidR="00850AF2" w:rsidRDefault="00850AF2" w:rsidP="002D0858">
      <w:pPr>
        <w:ind w:left="0"/>
      </w:pPr>
    </w:p>
    <w:tbl>
      <w:tblPr>
        <w:tblStyle w:val="TableGrid"/>
        <w:tblW w:w="7835" w:type="dxa"/>
        <w:tblInd w:w="607" w:type="dxa"/>
        <w:tblLook w:val="06A0" w:firstRow="1" w:lastRow="0" w:firstColumn="1" w:lastColumn="0" w:noHBand="1" w:noVBand="1"/>
      </w:tblPr>
      <w:tblGrid>
        <w:gridCol w:w="663"/>
        <w:gridCol w:w="1309"/>
        <w:gridCol w:w="1400"/>
        <w:gridCol w:w="1400"/>
        <w:gridCol w:w="780"/>
        <w:gridCol w:w="1161"/>
        <w:gridCol w:w="1122"/>
      </w:tblGrid>
      <w:tr w:rsidR="003A2B04" w:rsidRPr="003A2B04" w:rsidTr="001F1156">
        <w:trPr>
          <w:trHeight w:val="1215"/>
        </w:trPr>
        <w:tc>
          <w:tcPr>
            <w:tcW w:w="663"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Year</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Ethnicity</w:t>
            </w:r>
          </w:p>
        </w:tc>
        <w:tc>
          <w:tcPr>
            <w:tcW w:w="1400" w:type="dxa"/>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Staff accessing non-mandatory training</w:t>
            </w:r>
          </w:p>
        </w:tc>
        <w:tc>
          <w:tcPr>
            <w:tcW w:w="1400" w:type="dxa"/>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Staff not accessing non-mandatory training</w:t>
            </w:r>
          </w:p>
        </w:tc>
        <w:tc>
          <w:tcPr>
            <w:tcW w:w="780" w:type="dxa"/>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Grand Total</w:t>
            </w:r>
          </w:p>
        </w:tc>
        <w:tc>
          <w:tcPr>
            <w:tcW w:w="1161" w:type="dxa"/>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Likelihood</w:t>
            </w:r>
          </w:p>
        </w:tc>
        <w:tc>
          <w:tcPr>
            <w:tcW w:w="1122" w:type="dxa"/>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Relative likelihood</w:t>
            </w: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2015</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362</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715</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1077</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0.34</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1.16</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225</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439</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664</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0.34</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15"/>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2254</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3551</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5805</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0.39</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2016</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304</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821</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1125</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0.27</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1.25</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340</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598</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938</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0.36</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15"/>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1981</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3883</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5864</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0.34</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2017</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475</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645</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1120</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0.42</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1.21</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527</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505</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1032</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0.51</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15"/>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2911</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2767</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5678</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0.51</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2018</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525</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639</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1164</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0.45</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0.97</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506</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673</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1179</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0.43</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15"/>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2402</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3112</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5514</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0.44</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2019</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393</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756</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1149</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0.34</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327</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939</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1266</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0.26</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15"/>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1959</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3671</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5630</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0.35</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val="restart"/>
            <w:noWrap/>
            <w:hideMark/>
          </w:tcPr>
          <w:p w:rsidR="003A2B04" w:rsidRPr="003A2B04" w:rsidRDefault="003A2B04" w:rsidP="003A2B04">
            <w:pPr>
              <w:ind w:left="0"/>
              <w:jc w:val="center"/>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2020</w:t>
            </w: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BAME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625</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872</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1497</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0.42</w:t>
            </w:r>
          </w:p>
        </w:tc>
        <w:tc>
          <w:tcPr>
            <w:tcW w:w="1122" w:type="dxa"/>
            <w:vMerge w:val="restart"/>
            <w:noWrap/>
            <w:hideMark/>
          </w:tcPr>
          <w:p w:rsidR="003A2B04" w:rsidRPr="003A2B04" w:rsidRDefault="003A2B04" w:rsidP="003A2B04">
            <w:pPr>
              <w:ind w:left="0"/>
              <w:jc w:val="center"/>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w:t>
            </w: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Not Stated</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421</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831</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1252</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0.34</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r w:rsidR="003A2B04" w:rsidRPr="003A2B04" w:rsidTr="001F1156">
        <w:trPr>
          <w:trHeight w:val="300"/>
        </w:trPr>
        <w:tc>
          <w:tcPr>
            <w:tcW w:w="663" w:type="dxa"/>
            <w:vMerge/>
            <w:hideMark/>
          </w:tcPr>
          <w:p w:rsidR="003A2B04" w:rsidRPr="003A2B04" w:rsidRDefault="003A2B04" w:rsidP="003A2B04">
            <w:pPr>
              <w:ind w:left="0"/>
              <w:rPr>
                <w:rFonts w:ascii="Calibri" w:eastAsia="Times New Roman" w:hAnsi="Calibri" w:cs="Calibri"/>
                <w:b/>
                <w:color w:val="000000"/>
                <w:sz w:val="22"/>
                <w:szCs w:val="22"/>
                <w:lang w:eastAsia="en-GB"/>
              </w:rPr>
            </w:pPr>
          </w:p>
        </w:tc>
        <w:tc>
          <w:tcPr>
            <w:tcW w:w="1309" w:type="dxa"/>
            <w:noWrap/>
            <w:hideMark/>
          </w:tcPr>
          <w:p w:rsidR="003A2B04" w:rsidRPr="003A2B04" w:rsidRDefault="003A2B04" w:rsidP="003A2B04">
            <w:pPr>
              <w:ind w:left="0"/>
              <w:rPr>
                <w:rFonts w:ascii="Calibri" w:eastAsia="Times New Roman" w:hAnsi="Calibri" w:cs="Calibri"/>
                <w:b/>
                <w:color w:val="000000"/>
                <w:sz w:val="22"/>
                <w:szCs w:val="22"/>
                <w:lang w:eastAsia="en-GB"/>
              </w:rPr>
            </w:pPr>
            <w:r w:rsidRPr="003A2B04">
              <w:rPr>
                <w:rFonts w:ascii="Calibri" w:eastAsia="Times New Roman" w:hAnsi="Calibri" w:cs="Calibri"/>
                <w:b/>
                <w:color w:val="000000"/>
                <w:sz w:val="22"/>
                <w:szCs w:val="22"/>
                <w:lang w:eastAsia="en-GB"/>
              </w:rPr>
              <w:t>White</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2446</w:t>
            </w:r>
          </w:p>
        </w:tc>
        <w:tc>
          <w:tcPr>
            <w:tcW w:w="140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3407</w:t>
            </w:r>
          </w:p>
        </w:tc>
        <w:tc>
          <w:tcPr>
            <w:tcW w:w="780"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5853</w:t>
            </w:r>
          </w:p>
        </w:tc>
        <w:tc>
          <w:tcPr>
            <w:tcW w:w="1161" w:type="dxa"/>
            <w:noWrap/>
            <w:hideMark/>
          </w:tcPr>
          <w:p w:rsidR="003A2B04" w:rsidRPr="003A2B04" w:rsidRDefault="003A2B04" w:rsidP="003A2B04">
            <w:pPr>
              <w:ind w:left="0"/>
              <w:jc w:val="right"/>
              <w:rPr>
                <w:rFonts w:ascii="Calibri" w:eastAsia="Times New Roman" w:hAnsi="Calibri" w:cs="Calibri"/>
                <w:bCs w:val="0"/>
                <w:color w:val="000000"/>
                <w:sz w:val="22"/>
                <w:szCs w:val="22"/>
                <w:lang w:eastAsia="en-GB"/>
              </w:rPr>
            </w:pPr>
            <w:r w:rsidRPr="003A2B04">
              <w:rPr>
                <w:rFonts w:ascii="Calibri" w:eastAsia="Times New Roman" w:hAnsi="Calibri" w:cs="Calibri"/>
                <w:bCs w:val="0"/>
                <w:color w:val="000000"/>
                <w:sz w:val="22"/>
                <w:szCs w:val="22"/>
                <w:lang w:eastAsia="en-GB"/>
              </w:rPr>
              <w:t>0.42</w:t>
            </w:r>
          </w:p>
        </w:tc>
        <w:tc>
          <w:tcPr>
            <w:tcW w:w="1122" w:type="dxa"/>
            <w:vMerge/>
            <w:hideMark/>
          </w:tcPr>
          <w:p w:rsidR="003A2B04" w:rsidRPr="003A2B04" w:rsidRDefault="003A2B04" w:rsidP="003A2B04">
            <w:pPr>
              <w:ind w:left="0"/>
              <w:rPr>
                <w:rFonts w:ascii="Calibri" w:eastAsia="Times New Roman" w:hAnsi="Calibri" w:cs="Calibri"/>
                <w:bCs w:val="0"/>
                <w:color w:val="000000"/>
                <w:sz w:val="22"/>
                <w:szCs w:val="22"/>
                <w:lang w:eastAsia="en-GB"/>
              </w:rPr>
            </w:pPr>
          </w:p>
        </w:tc>
      </w:tr>
    </w:tbl>
    <w:p w:rsidR="003A2B04" w:rsidRDefault="003A2B04" w:rsidP="002D0858">
      <w:pPr>
        <w:ind w:left="0"/>
      </w:pPr>
    </w:p>
    <w:p w:rsidR="003A2B04" w:rsidRDefault="003A2B04" w:rsidP="002D0858">
      <w:pPr>
        <w:ind w:left="0"/>
      </w:pPr>
    </w:p>
    <w:p w:rsidR="00DA58AF" w:rsidRDefault="00DA58AF" w:rsidP="001A739B"/>
    <w:p w:rsidR="00DA58AF" w:rsidRPr="006F6246" w:rsidRDefault="002D0858" w:rsidP="001A739B">
      <w:r>
        <w:rPr>
          <w:noProof/>
        </w:rPr>
        <w:lastRenderedPageBreak/>
        <w:drawing>
          <wp:inline distT="0" distB="0" distL="0" distR="0" wp14:anchorId="615475C6" wp14:editId="00371BD4">
            <wp:extent cx="4572000" cy="2743200"/>
            <wp:effectExtent l="0" t="0" r="0" b="0"/>
            <wp:docPr id="2" name="Chart 2" descr="Relative likelihood of accessing non-mandatory tr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108" w:rsidRPr="006F6246" w:rsidRDefault="00434108" w:rsidP="00E451C5">
      <w:pPr>
        <w:ind w:left="0"/>
        <w:jc w:val="center"/>
      </w:pPr>
    </w:p>
    <w:p w:rsidR="003A2B04" w:rsidRPr="003A2B04" w:rsidRDefault="003A2B04" w:rsidP="003A2B04">
      <w:pPr>
        <w:pStyle w:val="Heading1"/>
        <w:rPr>
          <w:rStyle w:val="Heading1Char"/>
        </w:rPr>
      </w:pPr>
      <w:bookmarkStart w:id="16" w:name="_Toc50029653"/>
      <w:r>
        <w:rPr>
          <w:rStyle w:val="Heading1Char"/>
          <w:b/>
        </w:rPr>
        <w:t>Workforce Indicator 5</w:t>
      </w:r>
      <w:bookmarkEnd w:id="16"/>
    </w:p>
    <w:p w:rsidR="00503E38" w:rsidRPr="003A2B04" w:rsidRDefault="00322359" w:rsidP="003A2B04">
      <w:pPr>
        <w:pStyle w:val="Heading2"/>
      </w:pPr>
      <w:r w:rsidRPr="009C6285">
        <w:t>Percentage of staff experiencing harassment, bullying or abuse from patients,</w:t>
      </w:r>
      <w:r w:rsidRPr="003A2B04">
        <w:t xml:space="preserve"> relatives or the public in last 12 months</w:t>
      </w:r>
      <w:r w:rsidR="00503E38" w:rsidRPr="003A2B04">
        <w:t xml:space="preserve"> </w:t>
      </w:r>
    </w:p>
    <w:p w:rsidR="00503E38" w:rsidRDefault="00503E38" w:rsidP="00503E38">
      <w:pPr>
        <w:pStyle w:val="Heading2"/>
      </w:pPr>
      <w:r w:rsidRPr="006F6246">
        <w:t xml:space="preserve">Historically BAME staff have always reported lower levels of </w:t>
      </w:r>
      <w:bookmarkStart w:id="17" w:name="_Hlk45543396"/>
      <w:r w:rsidRPr="006F6246">
        <w:t>harassment, bullying or abuse from patients</w:t>
      </w:r>
      <w:bookmarkEnd w:id="17"/>
      <w:r w:rsidRPr="006F6246">
        <w:t>, relatives or the public</w:t>
      </w:r>
      <w:r w:rsidR="003A2B04">
        <w:t xml:space="preserve"> </w:t>
      </w:r>
      <w:r w:rsidR="00741B22">
        <w:t>although the level has increased consistently</w:t>
      </w:r>
      <w:r w:rsidRPr="006F6246">
        <w:t xml:space="preserve">. However, </w:t>
      </w:r>
      <w:r w:rsidR="003A2B04">
        <w:t>in 2020</w:t>
      </w:r>
      <w:r w:rsidRPr="006F6246">
        <w:t xml:space="preserve"> the </w:t>
      </w:r>
      <w:r w:rsidR="00741B22">
        <w:t xml:space="preserve">for the first time BAME staff reported higher levels of </w:t>
      </w:r>
      <w:r w:rsidR="00741B22" w:rsidRPr="003A2B04">
        <w:rPr>
          <w:rStyle w:val="Heading1Char"/>
          <w:b w:val="0"/>
        </w:rPr>
        <w:t>harassment, bullying or abuse from patients</w:t>
      </w:r>
      <w:r w:rsidR="00741B22">
        <w:t xml:space="preserve"> than white staff</w:t>
      </w:r>
      <w:r w:rsidRPr="006F6246">
        <w:t>.</w:t>
      </w:r>
    </w:p>
    <w:p w:rsidR="00741B22" w:rsidRDefault="00B623B9" w:rsidP="00B623B9">
      <w:pPr>
        <w:pStyle w:val="Heading2"/>
      </w:pPr>
      <w:r>
        <w:t xml:space="preserve">The chart below compares EKHFT figures with all </w:t>
      </w:r>
      <w:r w:rsidR="00540174">
        <w:t xml:space="preserve">85 </w:t>
      </w:r>
      <w:r w:rsidR="004E08DE">
        <w:t xml:space="preserve">Acute Trusts. It is clear that EKHUFT BAME staff consistently report higher levels of </w:t>
      </w:r>
      <w:r w:rsidR="004E08DE" w:rsidRPr="004E08DE">
        <w:t>harassment, bullying or abuse from patients</w:t>
      </w:r>
      <w:r w:rsidR="004E08DE">
        <w:t xml:space="preserve"> than our benchmark group.</w:t>
      </w:r>
    </w:p>
    <w:p w:rsidR="00B623B9" w:rsidRPr="00741B22" w:rsidRDefault="00B623B9" w:rsidP="00741B22"/>
    <w:tbl>
      <w:tblPr>
        <w:tblStyle w:val="TableGrid"/>
        <w:tblW w:w="6720" w:type="dxa"/>
        <w:tblInd w:w="607" w:type="dxa"/>
        <w:tblLook w:val="06A0" w:firstRow="1" w:lastRow="0" w:firstColumn="1" w:lastColumn="0" w:noHBand="1" w:noVBand="1"/>
      </w:tblPr>
      <w:tblGrid>
        <w:gridCol w:w="960"/>
        <w:gridCol w:w="960"/>
        <w:gridCol w:w="960"/>
        <w:gridCol w:w="960"/>
        <w:gridCol w:w="960"/>
        <w:gridCol w:w="960"/>
        <w:gridCol w:w="960"/>
      </w:tblGrid>
      <w:tr w:rsidR="008B0175" w:rsidRPr="008B0175" w:rsidTr="001F1156">
        <w:trPr>
          <w:trHeight w:val="300"/>
        </w:trPr>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2015</w:t>
            </w: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2016</w:t>
            </w: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2017</w:t>
            </w: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2018</w:t>
            </w: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2019</w:t>
            </w:r>
          </w:p>
        </w:tc>
        <w:tc>
          <w:tcPr>
            <w:tcW w:w="960" w:type="dxa"/>
            <w:noWrap/>
            <w:hideMark/>
          </w:tcPr>
          <w:p w:rsidR="008B0175" w:rsidRPr="00741B22" w:rsidRDefault="008B0175" w:rsidP="00741B22">
            <w:pPr>
              <w:ind w:left="0"/>
              <w:jc w:val="center"/>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2020</w:t>
            </w:r>
          </w:p>
        </w:tc>
      </w:tr>
      <w:tr w:rsidR="008B0175" w:rsidRPr="008B0175" w:rsidTr="001F1156">
        <w:trPr>
          <w:trHeight w:val="300"/>
        </w:trPr>
        <w:tc>
          <w:tcPr>
            <w:tcW w:w="960" w:type="dxa"/>
            <w:noWrap/>
            <w:hideMark/>
          </w:tcPr>
          <w:p w:rsidR="008B0175" w:rsidRPr="00741B22" w:rsidRDefault="008B0175" w:rsidP="008B0175">
            <w:pPr>
              <w:ind w:left="0"/>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White</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33.54</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32.19</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32.68</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33.73</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33.6</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33.4</w:t>
            </w:r>
          </w:p>
        </w:tc>
      </w:tr>
      <w:tr w:rsidR="008B0175" w:rsidRPr="008B0175" w:rsidTr="001F1156">
        <w:trPr>
          <w:trHeight w:val="300"/>
        </w:trPr>
        <w:tc>
          <w:tcPr>
            <w:tcW w:w="960" w:type="dxa"/>
            <w:noWrap/>
            <w:hideMark/>
          </w:tcPr>
          <w:p w:rsidR="008B0175" w:rsidRPr="00741B22" w:rsidRDefault="008B0175" w:rsidP="008B0175">
            <w:pPr>
              <w:ind w:left="0"/>
              <w:rPr>
                <w:rFonts w:ascii="Calibri" w:eastAsia="Times New Roman" w:hAnsi="Calibri" w:cs="Calibri"/>
                <w:b/>
                <w:bCs w:val="0"/>
                <w:color w:val="000000"/>
                <w:sz w:val="22"/>
                <w:szCs w:val="22"/>
                <w:lang w:eastAsia="en-GB"/>
              </w:rPr>
            </w:pPr>
            <w:r w:rsidRPr="00741B22">
              <w:rPr>
                <w:rFonts w:ascii="Calibri" w:eastAsia="Times New Roman" w:hAnsi="Calibri" w:cs="Calibri"/>
                <w:b/>
                <w:bCs w:val="0"/>
                <w:color w:val="000000"/>
                <w:sz w:val="22"/>
                <w:szCs w:val="22"/>
                <w:lang w:eastAsia="en-GB"/>
              </w:rPr>
              <w:t>BAME</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31.21</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31.77</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30.89</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33.33</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33.2</w:t>
            </w:r>
          </w:p>
        </w:tc>
        <w:tc>
          <w:tcPr>
            <w:tcW w:w="960" w:type="dxa"/>
            <w:noWrap/>
            <w:hideMark/>
          </w:tcPr>
          <w:p w:rsidR="008B0175" w:rsidRPr="008B0175" w:rsidRDefault="008B0175" w:rsidP="008B0175">
            <w:pPr>
              <w:ind w:left="0"/>
              <w:jc w:val="right"/>
              <w:rPr>
                <w:rFonts w:ascii="Calibri" w:eastAsia="Times New Roman" w:hAnsi="Calibri" w:cs="Calibri"/>
                <w:bCs w:val="0"/>
                <w:color w:val="000000"/>
                <w:sz w:val="22"/>
                <w:szCs w:val="22"/>
                <w:lang w:eastAsia="en-GB"/>
              </w:rPr>
            </w:pPr>
            <w:r w:rsidRPr="008B0175">
              <w:rPr>
                <w:rFonts w:ascii="Calibri" w:eastAsia="Times New Roman" w:hAnsi="Calibri" w:cs="Calibri"/>
                <w:bCs w:val="0"/>
                <w:color w:val="000000"/>
                <w:sz w:val="22"/>
                <w:szCs w:val="22"/>
                <w:lang w:eastAsia="en-GB"/>
              </w:rPr>
              <w:t>35.3</w:t>
            </w:r>
          </w:p>
        </w:tc>
      </w:tr>
    </w:tbl>
    <w:p w:rsidR="008B0175" w:rsidRDefault="008B0175" w:rsidP="00322359"/>
    <w:p w:rsidR="000C769C" w:rsidRDefault="000C769C" w:rsidP="001F57DF">
      <w:pPr>
        <w:ind w:left="851"/>
      </w:pPr>
      <w:r>
        <w:rPr>
          <w:noProof/>
        </w:rPr>
        <w:drawing>
          <wp:inline distT="0" distB="0" distL="0" distR="0" wp14:anchorId="2A167A0E" wp14:editId="4C7F409A">
            <wp:extent cx="4572000" cy="2393950"/>
            <wp:effectExtent l="0" t="0" r="0" b="6350"/>
            <wp:docPr id="22" name="Chart 22" descr="Staff survey percentage of staff experiencing bullying or harassment from the publ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3EC4" w:rsidRDefault="00FF3EC4" w:rsidP="00503E38">
      <w:pPr>
        <w:pStyle w:val="Heading1"/>
      </w:pPr>
      <w:bookmarkStart w:id="18" w:name="_Toc50029654"/>
      <w:r>
        <w:lastRenderedPageBreak/>
        <w:t>Workforce Indicator 6</w:t>
      </w:r>
      <w:bookmarkEnd w:id="18"/>
    </w:p>
    <w:p w:rsidR="007E3962" w:rsidRDefault="007E3962" w:rsidP="00FF3EC4">
      <w:pPr>
        <w:pStyle w:val="Heading2"/>
      </w:pPr>
      <w:r w:rsidRPr="006F6246">
        <w:t xml:space="preserve">Percentage of staff experiencing </w:t>
      </w:r>
      <w:bookmarkStart w:id="19" w:name="_Hlk45543481"/>
      <w:r w:rsidRPr="006F6246">
        <w:t xml:space="preserve">harassment, bullying or abuse from staff </w:t>
      </w:r>
      <w:bookmarkEnd w:id="19"/>
      <w:r w:rsidRPr="006F6246">
        <w:t>in last 12 months</w:t>
      </w:r>
    </w:p>
    <w:p w:rsidR="0082254B" w:rsidRDefault="005F12F6" w:rsidP="00F14FE3">
      <w:pPr>
        <w:pStyle w:val="Heading2"/>
      </w:pPr>
      <w:r>
        <w:t xml:space="preserve">From </w:t>
      </w:r>
      <w:r w:rsidR="00E202B5">
        <w:t xml:space="preserve">2015 until 2018 the percentage of BAME staff reporting </w:t>
      </w:r>
      <w:r w:rsidR="004E08DE" w:rsidRPr="004E08DE">
        <w:t>harassment, bullying or abuse from staff</w:t>
      </w:r>
      <w:r w:rsidR="004E08DE">
        <w:t xml:space="preserve"> was lower than white staff. The last two years have shown a swing so that currently BAME staff report higher levels of </w:t>
      </w:r>
      <w:r w:rsidR="004E08DE" w:rsidRPr="004E08DE">
        <w:t>harassment, bullying or abuse from staff</w:t>
      </w:r>
      <w:r w:rsidR="004E08DE">
        <w:t xml:space="preserve"> than white staff.</w:t>
      </w:r>
    </w:p>
    <w:p w:rsidR="004E08DE" w:rsidRPr="004E08DE" w:rsidRDefault="004E08DE" w:rsidP="004E08DE">
      <w:pPr>
        <w:pStyle w:val="Heading2"/>
      </w:pPr>
      <w:r>
        <w:t xml:space="preserve">The chart below indicates that EKHUFT staff consistently report higher levels of </w:t>
      </w:r>
      <w:r w:rsidRPr="004E08DE">
        <w:t>harassment, bullying or abuse from staff</w:t>
      </w:r>
      <w:r>
        <w:t xml:space="preserve"> than our benchmark group. (Benchmark group- All </w:t>
      </w:r>
      <w:r w:rsidR="00EA1C0E">
        <w:t>a</w:t>
      </w:r>
      <w:r>
        <w:t>cute trusts</w:t>
      </w:r>
      <w:r w:rsidR="00EA1C0E">
        <w:t>)</w:t>
      </w:r>
    </w:p>
    <w:p w:rsidR="007E3962" w:rsidRDefault="007E3962" w:rsidP="007E3962"/>
    <w:tbl>
      <w:tblPr>
        <w:tblStyle w:val="TableGrid"/>
        <w:tblW w:w="8020" w:type="dxa"/>
        <w:tblInd w:w="607" w:type="dxa"/>
        <w:tblLook w:val="06A0" w:firstRow="1" w:lastRow="0" w:firstColumn="1" w:lastColumn="0" w:noHBand="1" w:noVBand="1"/>
      </w:tblPr>
      <w:tblGrid>
        <w:gridCol w:w="960"/>
        <w:gridCol w:w="1220"/>
        <w:gridCol w:w="1220"/>
        <w:gridCol w:w="1220"/>
        <w:gridCol w:w="1220"/>
        <w:gridCol w:w="1220"/>
        <w:gridCol w:w="960"/>
      </w:tblGrid>
      <w:tr w:rsidR="008B0175" w:rsidRPr="008B0175" w:rsidTr="001F1156">
        <w:trPr>
          <w:trHeight w:val="315"/>
        </w:trPr>
        <w:tc>
          <w:tcPr>
            <w:tcW w:w="96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 </w:t>
            </w:r>
          </w:p>
        </w:tc>
        <w:tc>
          <w:tcPr>
            <w:tcW w:w="122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2015</w:t>
            </w:r>
          </w:p>
        </w:tc>
        <w:tc>
          <w:tcPr>
            <w:tcW w:w="122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2016</w:t>
            </w:r>
          </w:p>
        </w:tc>
        <w:tc>
          <w:tcPr>
            <w:tcW w:w="1220" w:type="dxa"/>
            <w:noWrap/>
            <w:hideMark/>
          </w:tcPr>
          <w:p w:rsidR="008B0175" w:rsidRPr="008B0175" w:rsidRDefault="008B0175" w:rsidP="008B0175">
            <w:pPr>
              <w:ind w:left="0"/>
              <w:jc w:val="right"/>
              <w:rPr>
                <w:rFonts w:eastAsia="Times New Roman"/>
                <w:b/>
                <w:color w:val="000000"/>
                <w:lang w:eastAsia="en-GB"/>
              </w:rPr>
            </w:pPr>
            <w:r w:rsidRPr="008B0175">
              <w:rPr>
                <w:rFonts w:eastAsia="Times New Roman"/>
                <w:b/>
                <w:color w:val="000000"/>
                <w:lang w:eastAsia="en-GB"/>
              </w:rPr>
              <w:t>2017</w:t>
            </w:r>
          </w:p>
        </w:tc>
        <w:tc>
          <w:tcPr>
            <w:tcW w:w="122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2018</w:t>
            </w:r>
          </w:p>
        </w:tc>
        <w:tc>
          <w:tcPr>
            <w:tcW w:w="122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2019</w:t>
            </w:r>
          </w:p>
        </w:tc>
        <w:tc>
          <w:tcPr>
            <w:tcW w:w="960" w:type="dxa"/>
            <w:noWrap/>
            <w:hideMark/>
          </w:tcPr>
          <w:p w:rsidR="008B0175" w:rsidRPr="008B0175" w:rsidRDefault="008B0175" w:rsidP="008B0175">
            <w:pPr>
              <w:ind w:left="0"/>
              <w:jc w:val="center"/>
              <w:rPr>
                <w:rFonts w:eastAsia="Times New Roman"/>
                <w:b/>
                <w:color w:val="000000"/>
                <w:lang w:eastAsia="en-GB"/>
              </w:rPr>
            </w:pPr>
            <w:r w:rsidRPr="008B0175">
              <w:rPr>
                <w:rFonts w:eastAsia="Times New Roman"/>
                <w:b/>
                <w:color w:val="000000"/>
                <w:lang w:eastAsia="en-GB"/>
              </w:rPr>
              <w:t>2020</w:t>
            </w:r>
          </w:p>
        </w:tc>
      </w:tr>
      <w:tr w:rsidR="008B0175" w:rsidRPr="008B0175" w:rsidTr="001F1156">
        <w:trPr>
          <w:trHeight w:val="315"/>
        </w:trPr>
        <w:tc>
          <w:tcPr>
            <w:tcW w:w="960" w:type="dxa"/>
            <w:noWrap/>
            <w:hideMark/>
          </w:tcPr>
          <w:p w:rsidR="008B0175" w:rsidRPr="008B0175" w:rsidRDefault="008B0175" w:rsidP="008B0175">
            <w:pPr>
              <w:ind w:left="0"/>
              <w:rPr>
                <w:rFonts w:eastAsia="Times New Roman"/>
                <w:b/>
                <w:color w:val="000000"/>
                <w:lang w:eastAsia="en-GB"/>
              </w:rPr>
            </w:pPr>
            <w:r w:rsidRPr="008B0175">
              <w:rPr>
                <w:rFonts w:eastAsia="Times New Roman"/>
                <w:b/>
                <w:color w:val="000000"/>
                <w:lang w:eastAsia="en-GB"/>
              </w:rPr>
              <w:t xml:space="preserve">White  </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41.82</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42.22</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35.94</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34.42</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35.70</w:t>
            </w:r>
          </w:p>
        </w:tc>
        <w:tc>
          <w:tcPr>
            <w:tcW w:w="96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32.40</w:t>
            </w:r>
          </w:p>
        </w:tc>
      </w:tr>
      <w:tr w:rsidR="008B0175" w:rsidRPr="008B0175" w:rsidTr="001F1156">
        <w:trPr>
          <w:trHeight w:val="315"/>
        </w:trPr>
        <w:tc>
          <w:tcPr>
            <w:tcW w:w="960" w:type="dxa"/>
            <w:noWrap/>
            <w:hideMark/>
          </w:tcPr>
          <w:p w:rsidR="008B0175" w:rsidRPr="008B0175" w:rsidRDefault="008B0175" w:rsidP="008B0175">
            <w:pPr>
              <w:ind w:left="0"/>
              <w:rPr>
                <w:rFonts w:eastAsia="Times New Roman"/>
                <w:b/>
                <w:color w:val="000000"/>
                <w:lang w:eastAsia="en-GB"/>
              </w:rPr>
            </w:pPr>
            <w:r w:rsidRPr="008B0175">
              <w:rPr>
                <w:rFonts w:eastAsia="Times New Roman"/>
                <w:b/>
                <w:color w:val="000000"/>
                <w:lang w:eastAsia="en-GB"/>
              </w:rPr>
              <w:t>BAME</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38.35</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39.43</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34.59</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31.96</w:t>
            </w:r>
          </w:p>
        </w:tc>
        <w:tc>
          <w:tcPr>
            <w:tcW w:w="122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39.50</w:t>
            </w:r>
          </w:p>
        </w:tc>
        <w:tc>
          <w:tcPr>
            <w:tcW w:w="960" w:type="dxa"/>
            <w:noWrap/>
            <w:hideMark/>
          </w:tcPr>
          <w:p w:rsidR="008B0175" w:rsidRPr="008B0175" w:rsidRDefault="008B0175" w:rsidP="008B0175">
            <w:pPr>
              <w:ind w:left="0"/>
              <w:jc w:val="right"/>
              <w:rPr>
                <w:rFonts w:eastAsia="Times New Roman"/>
                <w:bCs w:val="0"/>
                <w:color w:val="000000"/>
                <w:lang w:eastAsia="en-GB"/>
              </w:rPr>
            </w:pPr>
            <w:r w:rsidRPr="008B0175">
              <w:rPr>
                <w:rFonts w:eastAsia="Times New Roman"/>
                <w:bCs w:val="0"/>
                <w:color w:val="000000"/>
                <w:lang w:eastAsia="en-GB"/>
              </w:rPr>
              <w:t>35.70</w:t>
            </w:r>
          </w:p>
        </w:tc>
      </w:tr>
    </w:tbl>
    <w:p w:rsidR="008B0175" w:rsidRDefault="008B0175" w:rsidP="007E3962"/>
    <w:tbl>
      <w:tblPr>
        <w:tblStyle w:val="TableGrid"/>
        <w:tblW w:w="5764" w:type="dxa"/>
        <w:tblInd w:w="607" w:type="dxa"/>
        <w:tblLook w:val="06A0" w:firstRow="1" w:lastRow="0" w:firstColumn="1" w:lastColumn="0" w:noHBand="1" w:noVBand="1"/>
      </w:tblPr>
      <w:tblGrid>
        <w:gridCol w:w="2884"/>
        <w:gridCol w:w="960"/>
        <w:gridCol w:w="960"/>
        <w:gridCol w:w="960"/>
      </w:tblGrid>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Ethnicity</w:t>
            </w:r>
          </w:p>
        </w:tc>
        <w:tc>
          <w:tcPr>
            <w:tcW w:w="96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2018.0</w:t>
            </w:r>
          </w:p>
        </w:tc>
        <w:tc>
          <w:tcPr>
            <w:tcW w:w="96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2019.0</w:t>
            </w:r>
          </w:p>
        </w:tc>
        <w:tc>
          <w:tcPr>
            <w:tcW w:w="96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2020.0</w:t>
            </w:r>
          </w:p>
        </w:tc>
      </w:tr>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White ERKHUFT</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34.4</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35.7</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32.4</w:t>
            </w:r>
          </w:p>
        </w:tc>
      </w:tr>
      <w:tr w:rsidR="00A72769" w:rsidRPr="00A72769" w:rsidTr="001F1156">
        <w:trPr>
          <w:trHeight w:val="300"/>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BAME EKHUFT</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32.0</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39.5</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35.7</w:t>
            </w:r>
          </w:p>
        </w:tc>
      </w:tr>
      <w:tr w:rsidR="00A72769" w:rsidRPr="00A72769" w:rsidTr="001F1156">
        <w:trPr>
          <w:trHeight w:val="300"/>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White: Average Acute</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24.8</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26.4</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25.8</w:t>
            </w:r>
          </w:p>
        </w:tc>
      </w:tr>
      <w:tr w:rsidR="00A72769" w:rsidRPr="00A72769" w:rsidTr="001F1156">
        <w:trPr>
          <w:trHeight w:val="300"/>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BAME: Average Acute</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27.1</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28.6</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28.8</w:t>
            </w:r>
          </w:p>
        </w:tc>
      </w:tr>
    </w:tbl>
    <w:p w:rsidR="00A72769" w:rsidRDefault="00A72769" w:rsidP="007E3962"/>
    <w:p w:rsidR="008B0175" w:rsidRPr="006F6246" w:rsidRDefault="008E5DB3" w:rsidP="001F1156">
      <w:r>
        <w:rPr>
          <w:noProof/>
        </w:rPr>
        <w:drawing>
          <wp:inline distT="0" distB="0" distL="0" distR="0" wp14:anchorId="463B9F55" wp14:editId="073318D1">
            <wp:extent cx="4572000" cy="3457575"/>
            <wp:effectExtent l="0" t="0" r="0" b="9525"/>
            <wp:docPr id="21" name="Chart 21" descr="Percentage of staff experiencing harassment, bullying or abuse from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1DA2" w:rsidRPr="006F6246" w:rsidRDefault="00AF1DA2" w:rsidP="00AF1DA2">
      <w:pPr>
        <w:ind w:left="0"/>
        <w:jc w:val="center"/>
      </w:pPr>
    </w:p>
    <w:p w:rsidR="00FF3EC4" w:rsidRPr="00FF3EC4" w:rsidRDefault="00FF3EC4" w:rsidP="00FF3EC4">
      <w:pPr>
        <w:pStyle w:val="Heading1"/>
      </w:pPr>
      <w:bookmarkStart w:id="20" w:name="_Toc50029655"/>
      <w:r w:rsidRPr="00FF3EC4">
        <w:t xml:space="preserve">Workforce Indicator </w:t>
      </w:r>
      <w:r>
        <w:t>7</w:t>
      </w:r>
      <w:bookmarkEnd w:id="20"/>
    </w:p>
    <w:p w:rsidR="007E3962" w:rsidRPr="006F6246" w:rsidRDefault="00562806" w:rsidP="00FF3EC4">
      <w:pPr>
        <w:pStyle w:val="Heading2"/>
      </w:pPr>
      <w:r w:rsidRPr="006F6246">
        <w:t>Percentage of</w:t>
      </w:r>
      <w:r w:rsidR="00CD5C06" w:rsidRPr="006F6246">
        <w:t xml:space="preserve"> staff believing that </w:t>
      </w:r>
      <w:r w:rsidR="00EA1C0E">
        <w:t xml:space="preserve">the </w:t>
      </w:r>
      <w:r w:rsidR="00CD5C06" w:rsidRPr="006F6246">
        <w:t xml:space="preserve">trust provides equal opportunities for career </w:t>
      </w:r>
      <w:r w:rsidR="00CD5C06" w:rsidRPr="006F6246">
        <w:lastRenderedPageBreak/>
        <w:t>progression or promotion.</w:t>
      </w:r>
    </w:p>
    <w:p w:rsidR="00CD5C06" w:rsidRDefault="00EA1C0E" w:rsidP="00EA1C0E">
      <w:pPr>
        <w:pStyle w:val="Heading2"/>
      </w:pPr>
      <w:r>
        <w:t xml:space="preserve">BAME staff have consistently reported much lower levels of confidence that </w:t>
      </w:r>
      <w:r w:rsidRPr="00EA1C0E">
        <w:t>the trust provides equal opportunities for career progression or promotion.</w:t>
      </w:r>
    </w:p>
    <w:p w:rsidR="00EA1C0E" w:rsidRPr="00EA1C0E" w:rsidRDefault="00EA1C0E" w:rsidP="00EA1C0E">
      <w:pPr>
        <w:pStyle w:val="Heading2"/>
      </w:pPr>
      <w:r>
        <w:t xml:space="preserve">All EKHUFT staff have consistently reported much lower levels of </w:t>
      </w:r>
      <w:r w:rsidRPr="00EA1C0E">
        <w:t>believing that the trust provides equal opportunities for career progression or promotion</w:t>
      </w:r>
      <w:r w:rsidR="00EB683B">
        <w:t xml:space="preserve"> than the average score for our Benchmark Group (All acute trusts).</w:t>
      </w:r>
    </w:p>
    <w:tbl>
      <w:tblPr>
        <w:tblStyle w:val="TableGrid"/>
        <w:tblW w:w="8020" w:type="dxa"/>
        <w:tblInd w:w="607" w:type="dxa"/>
        <w:tblLook w:val="06A0" w:firstRow="1" w:lastRow="0" w:firstColumn="1" w:lastColumn="0" w:noHBand="1" w:noVBand="1"/>
      </w:tblPr>
      <w:tblGrid>
        <w:gridCol w:w="960"/>
        <w:gridCol w:w="1220"/>
        <w:gridCol w:w="1220"/>
        <w:gridCol w:w="1220"/>
        <w:gridCol w:w="1220"/>
        <w:gridCol w:w="1220"/>
        <w:gridCol w:w="960"/>
      </w:tblGrid>
      <w:tr w:rsidR="00A72769" w:rsidRPr="00A72769" w:rsidTr="001F1156">
        <w:trPr>
          <w:trHeight w:val="315"/>
        </w:trPr>
        <w:tc>
          <w:tcPr>
            <w:tcW w:w="960" w:type="dxa"/>
            <w:noWrap/>
            <w:hideMark/>
          </w:tcPr>
          <w:p w:rsidR="00A72769" w:rsidRPr="00A72769" w:rsidRDefault="00A72769" w:rsidP="00A72769">
            <w:pPr>
              <w:ind w:left="0"/>
              <w:rPr>
                <w:rFonts w:eastAsia="Times New Roman"/>
                <w:bCs w:val="0"/>
                <w:color w:val="000000"/>
                <w:lang w:eastAsia="en-GB"/>
              </w:rPr>
            </w:pPr>
            <w:r w:rsidRPr="00A72769">
              <w:rPr>
                <w:rFonts w:eastAsia="Times New Roman"/>
                <w:bCs w:val="0"/>
                <w:color w:val="000000"/>
                <w:lang w:eastAsia="en-GB"/>
              </w:rPr>
              <w:t> </w:t>
            </w:r>
          </w:p>
        </w:tc>
        <w:tc>
          <w:tcPr>
            <w:tcW w:w="122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2015</w:t>
            </w:r>
          </w:p>
        </w:tc>
        <w:tc>
          <w:tcPr>
            <w:tcW w:w="122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2016</w:t>
            </w:r>
          </w:p>
        </w:tc>
        <w:tc>
          <w:tcPr>
            <w:tcW w:w="122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2017</w:t>
            </w:r>
          </w:p>
        </w:tc>
        <w:tc>
          <w:tcPr>
            <w:tcW w:w="122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2018</w:t>
            </w:r>
          </w:p>
        </w:tc>
        <w:tc>
          <w:tcPr>
            <w:tcW w:w="122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2019</w:t>
            </w:r>
          </w:p>
        </w:tc>
        <w:tc>
          <w:tcPr>
            <w:tcW w:w="960"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2020</w:t>
            </w:r>
          </w:p>
        </w:tc>
      </w:tr>
      <w:tr w:rsidR="00A72769" w:rsidRPr="00A72769" w:rsidTr="001F1156">
        <w:trPr>
          <w:trHeight w:val="315"/>
        </w:trPr>
        <w:tc>
          <w:tcPr>
            <w:tcW w:w="960"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White</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77.4</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82.5</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83.7</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83.4</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81.2</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85.6</w:t>
            </w:r>
          </w:p>
        </w:tc>
      </w:tr>
      <w:tr w:rsidR="00A72769" w:rsidRPr="00A72769" w:rsidTr="001F1156">
        <w:trPr>
          <w:trHeight w:val="315"/>
        </w:trPr>
        <w:tc>
          <w:tcPr>
            <w:tcW w:w="960"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BAME</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67.6</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67.4</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74.7</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74.2</w:t>
            </w:r>
          </w:p>
        </w:tc>
        <w:tc>
          <w:tcPr>
            <w:tcW w:w="122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70.7</w:t>
            </w:r>
          </w:p>
        </w:tc>
        <w:tc>
          <w:tcPr>
            <w:tcW w:w="960"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74.4</w:t>
            </w:r>
          </w:p>
        </w:tc>
      </w:tr>
    </w:tbl>
    <w:p w:rsidR="00A72769" w:rsidRDefault="00A72769" w:rsidP="001F1156">
      <w:pPr>
        <w:ind w:left="0"/>
      </w:pPr>
    </w:p>
    <w:tbl>
      <w:tblPr>
        <w:tblStyle w:val="TableGrid"/>
        <w:tblW w:w="5536" w:type="dxa"/>
        <w:tblInd w:w="607" w:type="dxa"/>
        <w:tblLook w:val="06A0" w:firstRow="1" w:lastRow="0" w:firstColumn="1" w:lastColumn="0" w:noHBand="1" w:noVBand="1"/>
      </w:tblPr>
      <w:tblGrid>
        <w:gridCol w:w="2884"/>
        <w:gridCol w:w="884"/>
        <w:gridCol w:w="884"/>
        <w:gridCol w:w="884"/>
      </w:tblGrid>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Ethnicity</w:t>
            </w:r>
          </w:p>
        </w:tc>
        <w:tc>
          <w:tcPr>
            <w:tcW w:w="884"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2018</w:t>
            </w:r>
          </w:p>
        </w:tc>
        <w:tc>
          <w:tcPr>
            <w:tcW w:w="884"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2019</w:t>
            </w:r>
          </w:p>
        </w:tc>
        <w:tc>
          <w:tcPr>
            <w:tcW w:w="884" w:type="dxa"/>
            <w:noWrap/>
            <w:hideMark/>
          </w:tcPr>
          <w:p w:rsidR="00A72769" w:rsidRPr="00A72769" w:rsidRDefault="00A72769" w:rsidP="00A72769">
            <w:pPr>
              <w:ind w:left="0"/>
              <w:jc w:val="right"/>
              <w:rPr>
                <w:rFonts w:eastAsia="Times New Roman"/>
                <w:b/>
                <w:color w:val="000000"/>
                <w:lang w:eastAsia="en-GB"/>
              </w:rPr>
            </w:pPr>
            <w:r w:rsidRPr="00A72769">
              <w:rPr>
                <w:rFonts w:eastAsia="Times New Roman"/>
                <w:b/>
                <w:color w:val="000000"/>
                <w:lang w:eastAsia="en-GB"/>
              </w:rPr>
              <w:t>2020</w:t>
            </w:r>
          </w:p>
        </w:tc>
      </w:tr>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White EKHUFT</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83.4</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81.2</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85.6</w:t>
            </w:r>
          </w:p>
        </w:tc>
      </w:tr>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BAME</w:t>
            </w:r>
            <w:r>
              <w:rPr>
                <w:rFonts w:eastAsia="Times New Roman"/>
                <w:b/>
                <w:color w:val="000000"/>
                <w:lang w:eastAsia="en-GB"/>
              </w:rPr>
              <w:t xml:space="preserve"> </w:t>
            </w:r>
            <w:r w:rsidRPr="00A72769">
              <w:rPr>
                <w:rFonts w:eastAsia="Times New Roman"/>
                <w:b/>
                <w:color w:val="000000"/>
                <w:lang w:eastAsia="en-GB"/>
              </w:rPr>
              <w:t>EKHUFT</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74.1</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70.7</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74.4</w:t>
            </w:r>
          </w:p>
        </w:tc>
      </w:tr>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White: Average Acute</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86.8</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86.5</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86.7</w:t>
            </w:r>
          </w:p>
        </w:tc>
      </w:tr>
      <w:tr w:rsidR="00A72769" w:rsidRPr="00A72769" w:rsidTr="001F1156">
        <w:trPr>
          <w:trHeight w:val="315"/>
        </w:trPr>
        <w:tc>
          <w:tcPr>
            <w:tcW w:w="2884" w:type="dxa"/>
            <w:noWrap/>
            <w:hideMark/>
          </w:tcPr>
          <w:p w:rsidR="00A72769" w:rsidRPr="00A72769" w:rsidRDefault="00A72769" w:rsidP="00A72769">
            <w:pPr>
              <w:ind w:left="0"/>
              <w:rPr>
                <w:rFonts w:eastAsia="Times New Roman"/>
                <w:b/>
                <w:color w:val="000000"/>
                <w:lang w:eastAsia="en-GB"/>
              </w:rPr>
            </w:pPr>
            <w:r w:rsidRPr="00A72769">
              <w:rPr>
                <w:rFonts w:eastAsia="Times New Roman"/>
                <w:b/>
                <w:color w:val="000000"/>
                <w:lang w:eastAsia="en-GB"/>
              </w:rPr>
              <w:t>BAME: Average Acute</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75.1</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72.3</w:t>
            </w:r>
          </w:p>
        </w:tc>
        <w:tc>
          <w:tcPr>
            <w:tcW w:w="884" w:type="dxa"/>
            <w:noWrap/>
            <w:hideMark/>
          </w:tcPr>
          <w:p w:rsidR="00A72769" w:rsidRPr="00A72769" w:rsidRDefault="00A72769" w:rsidP="00A72769">
            <w:pPr>
              <w:ind w:left="0"/>
              <w:jc w:val="right"/>
              <w:rPr>
                <w:rFonts w:eastAsia="Times New Roman"/>
                <w:bCs w:val="0"/>
                <w:color w:val="000000"/>
                <w:lang w:eastAsia="en-GB"/>
              </w:rPr>
            </w:pPr>
            <w:r w:rsidRPr="00A72769">
              <w:rPr>
                <w:rFonts w:eastAsia="Times New Roman"/>
                <w:bCs w:val="0"/>
                <w:color w:val="000000"/>
                <w:lang w:eastAsia="en-GB"/>
              </w:rPr>
              <w:t>74.4</w:t>
            </w:r>
          </w:p>
        </w:tc>
      </w:tr>
    </w:tbl>
    <w:p w:rsidR="00A72769" w:rsidRDefault="00A72769" w:rsidP="00CD5C06"/>
    <w:p w:rsidR="007E3962" w:rsidRPr="006F6246" w:rsidRDefault="00773236" w:rsidP="001F1156">
      <w:r>
        <w:rPr>
          <w:noProof/>
        </w:rPr>
        <w:drawing>
          <wp:inline distT="0" distB="0" distL="0" distR="0" wp14:anchorId="26B13DBA" wp14:editId="7899D49F">
            <wp:extent cx="4572000" cy="4076700"/>
            <wp:effectExtent l="0" t="0" r="0" b="0"/>
            <wp:docPr id="17" name="Chart 17" descr="Percentage of staff believing the trust provides equal opportunity for career progression or promo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3EC4" w:rsidRPr="00FF3EC4" w:rsidRDefault="00FF3EC4" w:rsidP="00FF3EC4">
      <w:pPr>
        <w:pStyle w:val="Heading1"/>
      </w:pPr>
      <w:bookmarkStart w:id="21" w:name="_Toc50029656"/>
      <w:r w:rsidRPr="00FF3EC4">
        <w:t xml:space="preserve">Workforce Indicator </w:t>
      </w:r>
      <w:r>
        <w:t>8</w:t>
      </w:r>
      <w:bookmarkEnd w:id="21"/>
    </w:p>
    <w:p w:rsidR="00E979E1" w:rsidRDefault="00562806" w:rsidP="00FF3EC4">
      <w:pPr>
        <w:pStyle w:val="Heading2"/>
      </w:pPr>
      <w:r w:rsidRPr="006F6246">
        <w:t xml:space="preserve">Percentage </w:t>
      </w:r>
      <w:r w:rsidR="00EF3AD6" w:rsidRPr="006F6246">
        <w:t xml:space="preserve">of staff personally experienced discrimination at work from Manager/team leader or </w:t>
      </w:r>
      <w:proofErr w:type="gramStart"/>
      <w:r w:rsidR="00EF3AD6" w:rsidRPr="006F6246">
        <w:t>other</w:t>
      </w:r>
      <w:proofErr w:type="gramEnd"/>
      <w:r w:rsidR="00EF3AD6" w:rsidRPr="006F6246">
        <w:t xml:space="preserve"> colleague</w:t>
      </w:r>
    </w:p>
    <w:p w:rsidR="00EB683B" w:rsidRDefault="00EB683B" w:rsidP="00EB683B">
      <w:pPr>
        <w:pStyle w:val="Heading2"/>
      </w:pPr>
      <w:r>
        <w:t xml:space="preserve">BAME staff have always reported much higher levels of </w:t>
      </w:r>
      <w:r w:rsidRPr="00EB683B">
        <w:t xml:space="preserve">discrimination at work from Manager/team leader or </w:t>
      </w:r>
      <w:proofErr w:type="gramStart"/>
      <w:r w:rsidRPr="00EB683B">
        <w:t>other</w:t>
      </w:r>
      <w:proofErr w:type="gramEnd"/>
      <w:r w:rsidRPr="00EB683B">
        <w:t xml:space="preserve"> colleague</w:t>
      </w:r>
      <w:r>
        <w:t>.</w:t>
      </w:r>
    </w:p>
    <w:p w:rsidR="00EB683B" w:rsidRPr="00EB683B" w:rsidRDefault="00EB683B" w:rsidP="00EB683B">
      <w:pPr>
        <w:pStyle w:val="Heading2"/>
      </w:pPr>
      <w:r>
        <w:t xml:space="preserve">All EKHUFT staff report </w:t>
      </w:r>
      <w:r w:rsidRPr="00EB683B">
        <w:t xml:space="preserve">much higher levels of discrimination at work from </w:t>
      </w:r>
      <w:r w:rsidRPr="00EB683B">
        <w:lastRenderedPageBreak/>
        <w:t>Manager/team leader or other colleague</w:t>
      </w:r>
      <w:r>
        <w:t xml:space="preserve"> than their peers in our benchmark group.</w:t>
      </w:r>
    </w:p>
    <w:tbl>
      <w:tblPr>
        <w:tblStyle w:val="TableGrid"/>
        <w:tblW w:w="6720" w:type="dxa"/>
        <w:tblInd w:w="607" w:type="dxa"/>
        <w:tblLook w:val="06A0" w:firstRow="1" w:lastRow="0" w:firstColumn="1" w:lastColumn="0" w:noHBand="1" w:noVBand="1"/>
      </w:tblPr>
      <w:tblGrid>
        <w:gridCol w:w="960"/>
        <w:gridCol w:w="960"/>
        <w:gridCol w:w="960"/>
        <w:gridCol w:w="960"/>
        <w:gridCol w:w="960"/>
        <w:gridCol w:w="960"/>
        <w:gridCol w:w="960"/>
      </w:tblGrid>
      <w:tr w:rsidR="00260970" w:rsidRPr="00260970" w:rsidTr="001F1156">
        <w:trPr>
          <w:trHeight w:val="315"/>
        </w:trPr>
        <w:tc>
          <w:tcPr>
            <w:tcW w:w="960" w:type="dxa"/>
            <w:noWrap/>
            <w:hideMark/>
          </w:tcPr>
          <w:p w:rsidR="00260970" w:rsidRPr="00260970" w:rsidRDefault="00260970" w:rsidP="00260970">
            <w:pPr>
              <w:ind w:left="0"/>
              <w:rPr>
                <w:rFonts w:eastAsia="Times New Roman"/>
                <w:bCs w:val="0"/>
                <w:color w:val="000000"/>
                <w:lang w:eastAsia="en-GB"/>
              </w:rPr>
            </w:pPr>
            <w:r w:rsidRPr="00260970">
              <w:rPr>
                <w:rFonts w:eastAsia="Times New Roman"/>
                <w:bCs w:val="0"/>
                <w:color w:val="000000"/>
                <w:lang w:eastAsia="en-GB"/>
              </w:rPr>
              <w:t> </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2015</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2016</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2017</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2018</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2019</w:t>
            </w:r>
          </w:p>
        </w:tc>
        <w:tc>
          <w:tcPr>
            <w:tcW w:w="960" w:type="dxa"/>
            <w:noWrap/>
            <w:hideMark/>
          </w:tcPr>
          <w:p w:rsidR="00260970" w:rsidRPr="00260970" w:rsidRDefault="00260970" w:rsidP="00260970">
            <w:pPr>
              <w:ind w:left="0"/>
              <w:jc w:val="center"/>
              <w:rPr>
                <w:rFonts w:eastAsia="Times New Roman"/>
                <w:b/>
                <w:color w:val="000000"/>
                <w:lang w:eastAsia="en-GB"/>
              </w:rPr>
            </w:pPr>
            <w:r w:rsidRPr="00260970">
              <w:rPr>
                <w:rFonts w:eastAsia="Times New Roman"/>
                <w:b/>
                <w:color w:val="000000"/>
                <w:lang w:eastAsia="en-GB"/>
              </w:rPr>
              <w:t>2020</w:t>
            </w:r>
          </w:p>
        </w:tc>
      </w:tr>
      <w:tr w:rsidR="00260970" w:rsidRPr="00260970" w:rsidTr="001F1156">
        <w:trPr>
          <w:trHeight w:val="315"/>
        </w:trPr>
        <w:tc>
          <w:tcPr>
            <w:tcW w:w="960" w:type="dxa"/>
            <w:noWrap/>
            <w:hideMark/>
          </w:tcPr>
          <w:p w:rsidR="00260970" w:rsidRPr="00260970" w:rsidRDefault="00260970" w:rsidP="00260970">
            <w:pPr>
              <w:ind w:left="0"/>
              <w:rPr>
                <w:rFonts w:eastAsia="Times New Roman"/>
                <w:b/>
                <w:color w:val="000000"/>
                <w:lang w:eastAsia="en-GB"/>
              </w:rPr>
            </w:pPr>
            <w:r w:rsidRPr="00260970">
              <w:rPr>
                <w:rFonts w:eastAsia="Times New Roman"/>
                <w:b/>
                <w:color w:val="000000"/>
                <w:lang w:eastAsia="en-GB"/>
              </w:rPr>
              <w:t>White</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10.5</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9.0</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8.1</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8.6</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8.7</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7.5</w:t>
            </w:r>
          </w:p>
        </w:tc>
      </w:tr>
      <w:tr w:rsidR="00260970" w:rsidRPr="00260970" w:rsidTr="001F1156">
        <w:trPr>
          <w:trHeight w:val="315"/>
        </w:trPr>
        <w:tc>
          <w:tcPr>
            <w:tcW w:w="960" w:type="dxa"/>
            <w:noWrap/>
            <w:hideMark/>
          </w:tcPr>
          <w:p w:rsidR="00260970" w:rsidRPr="00260970" w:rsidRDefault="00260970" w:rsidP="00260970">
            <w:pPr>
              <w:ind w:left="0"/>
              <w:rPr>
                <w:rFonts w:eastAsia="Times New Roman"/>
                <w:b/>
                <w:color w:val="000000"/>
                <w:lang w:eastAsia="en-GB"/>
              </w:rPr>
            </w:pPr>
            <w:r w:rsidRPr="00260970">
              <w:rPr>
                <w:rFonts w:eastAsia="Times New Roman"/>
                <w:b/>
                <w:color w:val="000000"/>
                <w:lang w:eastAsia="en-GB"/>
              </w:rPr>
              <w:t>BAME</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19.6</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20.6</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16.6</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17.3</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19.8</w:t>
            </w:r>
          </w:p>
        </w:tc>
        <w:tc>
          <w:tcPr>
            <w:tcW w:w="960" w:type="dxa"/>
            <w:noWrap/>
            <w:hideMark/>
          </w:tcPr>
          <w:p w:rsidR="00260970" w:rsidRPr="00260970" w:rsidRDefault="00260970" w:rsidP="00260970">
            <w:pPr>
              <w:ind w:left="0"/>
              <w:jc w:val="right"/>
              <w:rPr>
                <w:rFonts w:eastAsia="Times New Roman"/>
                <w:bCs w:val="0"/>
                <w:color w:val="000000"/>
                <w:lang w:eastAsia="en-GB"/>
              </w:rPr>
            </w:pPr>
            <w:r w:rsidRPr="00260970">
              <w:rPr>
                <w:rFonts w:eastAsia="Times New Roman"/>
                <w:bCs w:val="0"/>
                <w:color w:val="000000"/>
                <w:lang w:eastAsia="en-GB"/>
              </w:rPr>
              <w:t>17.2</w:t>
            </w:r>
          </w:p>
        </w:tc>
      </w:tr>
    </w:tbl>
    <w:p w:rsidR="00260970" w:rsidRPr="00260970" w:rsidRDefault="00260970" w:rsidP="00260970"/>
    <w:p w:rsidR="00EF3AD6" w:rsidRDefault="008E5DB3" w:rsidP="00EF3AD6">
      <w:r>
        <w:rPr>
          <w:noProof/>
        </w:rPr>
        <w:drawing>
          <wp:inline distT="0" distB="0" distL="0" distR="0" wp14:anchorId="14769DA1" wp14:editId="2589E06A">
            <wp:extent cx="4572000" cy="4114800"/>
            <wp:effectExtent l="0" t="0" r="0" b="0"/>
            <wp:docPr id="20" name="Chart 20" descr="Line graph of discrimination at work from manager, team leader or other colleagu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4703" w:rsidRDefault="00F84703" w:rsidP="00895440">
      <w:pPr>
        <w:ind w:left="0"/>
        <w:sectPr w:rsidR="00F84703" w:rsidSect="00ED2B6B">
          <w:pgSz w:w="11906" w:h="16838"/>
          <w:pgMar w:top="1134" w:right="1134" w:bottom="1134" w:left="1134" w:header="426" w:footer="408" w:gutter="0"/>
          <w:cols w:space="708"/>
          <w:docGrid w:linePitch="360"/>
        </w:sectPr>
      </w:pPr>
    </w:p>
    <w:p w:rsidR="00260970" w:rsidRPr="006F6246" w:rsidRDefault="00260970" w:rsidP="00895440">
      <w:pPr>
        <w:ind w:left="0"/>
      </w:pPr>
    </w:p>
    <w:p w:rsidR="00FF3EC4" w:rsidRPr="00FF3EC4" w:rsidRDefault="00FF3EC4" w:rsidP="00FF3EC4">
      <w:pPr>
        <w:pStyle w:val="Heading1"/>
      </w:pPr>
      <w:bookmarkStart w:id="22" w:name="_Toc50029657"/>
      <w:r w:rsidRPr="00FF3EC4">
        <w:t xml:space="preserve">Workforce Indicator </w:t>
      </w:r>
      <w:r>
        <w:t>9</w:t>
      </w:r>
      <w:bookmarkEnd w:id="22"/>
    </w:p>
    <w:p w:rsidR="00895440" w:rsidRDefault="0076651E" w:rsidP="00FF3EC4">
      <w:pPr>
        <w:pStyle w:val="Heading2"/>
      </w:pPr>
      <w:r w:rsidRPr="006F6246">
        <w:t>Percentage difference between the organisations’ Board membership and its overall workforce disaggregated: By voting and executive membership of the Board.</w:t>
      </w:r>
      <w:r w:rsidR="00895440" w:rsidRPr="00895440">
        <w:t xml:space="preserve"> </w:t>
      </w:r>
    </w:p>
    <w:p w:rsidR="00895440" w:rsidRDefault="00895440" w:rsidP="00895440">
      <w:pPr>
        <w:pStyle w:val="Heading2"/>
      </w:pPr>
      <w:r w:rsidRPr="006F6246">
        <w:t xml:space="preserve">The difference between the organisations’ Board membership and its overall workforce consistently reduced during </w:t>
      </w:r>
      <w:r w:rsidR="00F84703">
        <w:t>until this year when the percentage of BAME board members was significantly less.</w:t>
      </w:r>
    </w:p>
    <w:p w:rsidR="001F1156" w:rsidRPr="001F1156" w:rsidRDefault="001F1156" w:rsidP="001F1156"/>
    <w:tbl>
      <w:tblPr>
        <w:tblStyle w:val="TableGrid"/>
        <w:tblW w:w="9305" w:type="dxa"/>
        <w:tblLook w:val="06A0" w:firstRow="1" w:lastRow="0" w:firstColumn="1" w:lastColumn="0" w:noHBand="1" w:noVBand="1"/>
      </w:tblPr>
      <w:tblGrid>
        <w:gridCol w:w="1800"/>
        <w:gridCol w:w="1897"/>
        <w:gridCol w:w="3911"/>
        <w:gridCol w:w="1697"/>
      </w:tblGrid>
      <w:tr w:rsidR="00895440" w:rsidRPr="00895440" w:rsidTr="001F1156">
        <w:trPr>
          <w:trHeight w:val="567"/>
        </w:trPr>
        <w:tc>
          <w:tcPr>
            <w:tcW w:w="1800" w:type="dxa"/>
            <w:noWrap/>
            <w:hideMark/>
          </w:tcPr>
          <w:p w:rsidR="00895440" w:rsidRPr="00895440" w:rsidRDefault="00895440" w:rsidP="00895440">
            <w:pPr>
              <w:ind w:left="0"/>
              <w:jc w:val="center"/>
              <w:rPr>
                <w:rFonts w:eastAsia="Times New Roman"/>
                <w:b/>
                <w:color w:val="000000"/>
                <w:lang w:eastAsia="en-GB"/>
              </w:rPr>
            </w:pPr>
          </w:p>
        </w:tc>
        <w:tc>
          <w:tcPr>
            <w:tcW w:w="1897" w:type="dxa"/>
            <w:noWrap/>
            <w:hideMark/>
          </w:tcPr>
          <w:p w:rsidR="00895440" w:rsidRPr="00895440" w:rsidRDefault="00895440" w:rsidP="00895440">
            <w:pPr>
              <w:ind w:left="0"/>
              <w:jc w:val="center"/>
              <w:rPr>
                <w:rFonts w:eastAsia="Times New Roman"/>
                <w:b/>
                <w:color w:val="000000"/>
                <w:lang w:eastAsia="en-GB"/>
              </w:rPr>
            </w:pPr>
            <w:r w:rsidRPr="00895440">
              <w:rPr>
                <w:rFonts w:eastAsia="Times New Roman"/>
                <w:b/>
                <w:color w:val="000000"/>
                <w:lang w:eastAsia="en-GB"/>
              </w:rPr>
              <w:t>Exec Director</w:t>
            </w:r>
          </w:p>
        </w:tc>
        <w:tc>
          <w:tcPr>
            <w:tcW w:w="3911" w:type="dxa"/>
            <w:noWrap/>
            <w:hideMark/>
          </w:tcPr>
          <w:p w:rsidR="00895440" w:rsidRPr="00895440" w:rsidRDefault="00895440" w:rsidP="00895440">
            <w:pPr>
              <w:ind w:left="0"/>
              <w:jc w:val="center"/>
              <w:rPr>
                <w:rFonts w:eastAsia="Times New Roman"/>
                <w:b/>
                <w:color w:val="000000"/>
                <w:lang w:eastAsia="en-GB"/>
              </w:rPr>
            </w:pPr>
            <w:r w:rsidRPr="00895440">
              <w:rPr>
                <w:rFonts w:eastAsia="Times New Roman"/>
                <w:b/>
                <w:color w:val="000000"/>
                <w:lang w:eastAsia="en-GB"/>
              </w:rPr>
              <w:t>Non-Executive Director &amp; Chair</w:t>
            </w:r>
          </w:p>
        </w:tc>
        <w:tc>
          <w:tcPr>
            <w:tcW w:w="1697" w:type="dxa"/>
            <w:noWrap/>
            <w:hideMark/>
          </w:tcPr>
          <w:p w:rsidR="00895440" w:rsidRPr="00895440" w:rsidRDefault="00895440" w:rsidP="00895440">
            <w:pPr>
              <w:ind w:left="0"/>
              <w:jc w:val="center"/>
              <w:rPr>
                <w:rFonts w:eastAsia="Times New Roman"/>
                <w:b/>
                <w:color w:val="000000"/>
                <w:lang w:eastAsia="en-GB"/>
              </w:rPr>
            </w:pPr>
            <w:r w:rsidRPr="00895440">
              <w:rPr>
                <w:rFonts w:eastAsia="Times New Roman"/>
                <w:b/>
                <w:color w:val="000000"/>
                <w:lang w:eastAsia="en-GB"/>
              </w:rPr>
              <w:t>Grand Total</w:t>
            </w:r>
          </w:p>
        </w:tc>
      </w:tr>
      <w:tr w:rsidR="00895440" w:rsidRPr="00895440" w:rsidTr="001F1156">
        <w:trPr>
          <w:trHeight w:val="567"/>
        </w:trPr>
        <w:tc>
          <w:tcPr>
            <w:tcW w:w="1800" w:type="dxa"/>
            <w:noWrap/>
            <w:hideMark/>
          </w:tcPr>
          <w:p w:rsidR="00895440" w:rsidRPr="00895440" w:rsidRDefault="00895440" w:rsidP="00895440">
            <w:pPr>
              <w:ind w:left="0"/>
              <w:rPr>
                <w:rFonts w:eastAsia="Times New Roman"/>
                <w:bCs w:val="0"/>
                <w:color w:val="000000"/>
                <w:lang w:eastAsia="en-GB"/>
              </w:rPr>
            </w:pPr>
            <w:r w:rsidRPr="00895440">
              <w:rPr>
                <w:rFonts w:eastAsia="Times New Roman"/>
                <w:bCs w:val="0"/>
                <w:color w:val="000000"/>
                <w:lang w:eastAsia="en-GB"/>
              </w:rPr>
              <w:t>BME</w:t>
            </w:r>
          </w:p>
        </w:tc>
        <w:tc>
          <w:tcPr>
            <w:tcW w:w="1897" w:type="dxa"/>
            <w:noWrap/>
            <w:hideMark/>
          </w:tcPr>
          <w:p w:rsidR="00895440" w:rsidRPr="00895440" w:rsidRDefault="00895440" w:rsidP="00895440">
            <w:pPr>
              <w:ind w:left="0"/>
              <w:jc w:val="right"/>
              <w:rPr>
                <w:rFonts w:eastAsia="Times New Roman"/>
                <w:bCs w:val="0"/>
                <w:color w:val="000000"/>
                <w:lang w:eastAsia="en-GB"/>
              </w:rPr>
            </w:pPr>
            <w:r>
              <w:rPr>
                <w:rFonts w:eastAsia="Times New Roman"/>
                <w:bCs w:val="0"/>
                <w:color w:val="000000"/>
                <w:lang w:eastAsia="en-GB"/>
              </w:rPr>
              <w:t>0</w:t>
            </w:r>
            <w:r w:rsidRPr="00895440">
              <w:rPr>
                <w:rFonts w:eastAsia="Times New Roman"/>
                <w:bCs w:val="0"/>
                <w:color w:val="000000"/>
                <w:lang w:eastAsia="en-GB"/>
              </w:rPr>
              <w:t> </w:t>
            </w:r>
          </w:p>
        </w:tc>
        <w:tc>
          <w:tcPr>
            <w:tcW w:w="3911"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1</w:t>
            </w:r>
          </w:p>
        </w:tc>
        <w:tc>
          <w:tcPr>
            <w:tcW w:w="16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1</w:t>
            </w:r>
          </w:p>
        </w:tc>
      </w:tr>
      <w:tr w:rsidR="00895440" w:rsidRPr="00895440" w:rsidTr="001F1156">
        <w:trPr>
          <w:trHeight w:val="567"/>
        </w:trPr>
        <w:tc>
          <w:tcPr>
            <w:tcW w:w="1800" w:type="dxa"/>
            <w:noWrap/>
            <w:hideMark/>
          </w:tcPr>
          <w:p w:rsidR="00895440" w:rsidRPr="00895440" w:rsidRDefault="00895440" w:rsidP="00895440">
            <w:pPr>
              <w:ind w:left="0"/>
              <w:rPr>
                <w:rFonts w:eastAsia="Times New Roman"/>
                <w:bCs w:val="0"/>
                <w:color w:val="000000"/>
                <w:lang w:eastAsia="en-GB"/>
              </w:rPr>
            </w:pPr>
            <w:r w:rsidRPr="00895440">
              <w:rPr>
                <w:rFonts w:eastAsia="Times New Roman"/>
                <w:bCs w:val="0"/>
                <w:color w:val="000000"/>
                <w:lang w:eastAsia="en-GB"/>
              </w:rPr>
              <w:t>Not Stated</w:t>
            </w:r>
          </w:p>
        </w:tc>
        <w:tc>
          <w:tcPr>
            <w:tcW w:w="18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2</w:t>
            </w:r>
          </w:p>
        </w:tc>
        <w:tc>
          <w:tcPr>
            <w:tcW w:w="3911"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2</w:t>
            </w:r>
          </w:p>
        </w:tc>
        <w:tc>
          <w:tcPr>
            <w:tcW w:w="16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4</w:t>
            </w:r>
          </w:p>
        </w:tc>
      </w:tr>
      <w:tr w:rsidR="00895440" w:rsidRPr="00895440" w:rsidTr="001F1156">
        <w:trPr>
          <w:trHeight w:val="567"/>
        </w:trPr>
        <w:tc>
          <w:tcPr>
            <w:tcW w:w="1800" w:type="dxa"/>
            <w:noWrap/>
            <w:hideMark/>
          </w:tcPr>
          <w:p w:rsidR="00895440" w:rsidRPr="00895440" w:rsidRDefault="00895440" w:rsidP="00895440">
            <w:pPr>
              <w:ind w:left="0"/>
              <w:rPr>
                <w:rFonts w:eastAsia="Times New Roman"/>
                <w:bCs w:val="0"/>
                <w:color w:val="000000"/>
                <w:lang w:eastAsia="en-GB"/>
              </w:rPr>
            </w:pPr>
            <w:r w:rsidRPr="00895440">
              <w:rPr>
                <w:rFonts w:eastAsia="Times New Roman"/>
                <w:bCs w:val="0"/>
                <w:color w:val="000000"/>
                <w:lang w:eastAsia="en-GB"/>
              </w:rPr>
              <w:t>White</w:t>
            </w:r>
          </w:p>
        </w:tc>
        <w:tc>
          <w:tcPr>
            <w:tcW w:w="18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5</w:t>
            </w:r>
          </w:p>
        </w:tc>
        <w:tc>
          <w:tcPr>
            <w:tcW w:w="3911"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5</w:t>
            </w:r>
          </w:p>
        </w:tc>
        <w:tc>
          <w:tcPr>
            <w:tcW w:w="16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10</w:t>
            </w:r>
          </w:p>
        </w:tc>
      </w:tr>
      <w:tr w:rsidR="00895440" w:rsidRPr="00895440" w:rsidTr="001F1156">
        <w:trPr>
          <w:trHeight w:val="567"/>
        </w:trPr>
        <w:tc>
          <w:tcPr>
            <w:tcW w:w="1800" w:type="dxa"/>
            <w:noWrap/>
            <w:hideMark/>
          </w:tcPr>
          <w:p w:rsidR="00895440" w:rsidRPr="00895440" w:rsidRDefault="00895440" w:rsidP="00895440">
            <w:pPr>
              <w:ind w:left="0"/>
              <w:rPr>
                <w:rFonts w:eastAsia="Times New Roman"/>
                <w:bCs w:val="0"/>
                <w:color w:val="000000"/>
                <w:lang w:eastAsia="en-GB"/>
              </w:rPr>
            </w:pPr>
            <w:r w:rsidRPr="00895440">
              <w:rPr>
                <w:rFonts w:eastAsia="Times New Roman"/>
                <w:bCs w:val="0"/>
                <w:color w:val="000000"/>
                <w:lang w:eastAsia="en-GB"/>
              </w:rPr>
              <w:t>Grand Total</w:t>
            </w:r>
          </w:p>
        </w:tc>
        <w:tc>
          <w:tcPr>
            <w:tcW w:w="18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7</w:t>
            </w:r>
          </w:p>
        </w:tc>
        <w:tc>
          <w:tcPr>
            <w:tcW w:w="3911"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8</w:t>
            </w:r>
          </w:p>
        </w:tc>
        <w:tc>
          <w:tcPr>
            <w:tcW w:w="1697" w:type="dxa"/>
            <w:noWrap/>
            <w:hideMark/>
          </w:tcPr>
          <w:p w:rsidR="00895440" w:rsidRPr="00895440" w:rsidRDefault="00895440" w:rsidP="00895440">
            <w:pPr>
              <w:ind w:left="0"/>
              <w:jc w:val="right"/>
              <w:rPr>
                <w:rFonts w:eastAsia="Times New Roman"/>
                <w:bCs w:val="0"/>
                <w:color w:val="000000"/>
                <w:lang w:eastAsia="en-GB"/>
              </w:rPr>
            </w:pPr>
            <w:r w:rsidRPr="00895440">
              <w:rPr>
                <w:rFonts w:eastAsia="Times New Roman"/>
                <w:bCs w:val="0"/>
                <w:color w:val="000000"/>
                <w:lang w:eastAsia="en-GB"/>
              </w:rPr>
              <w:t>15</w:t>
            </w:r>
          </w:p>
        </w:tc>
      </w:tr>
    </w:tbl>
    <w:p w:rsidR="00F84703" w:rsidRDefault="00F84703" w:rsidP="00ED2B6B">
      <w:pPr>
        <w:sectPr w:rsidR="00F84703" w:rsidSect="00ED2B6B">
          <w:pgSz w:w="11906" w:h="16838"/>
          <w:pgMar w:top="1134" w:right="1134" w:bottom="1134" w:left="1134" w:header="426" w:footer="408" w:gutter="0"/>
          <w:cols w:space="708"/>
          <w:docGrid w:linePitch="360"/>
        </w:sectPr>
      </w:pPr>
    </w:p>
    <w:p w:rsidR="00ED2B6B" w:rsidRDefault="00ED2B6B" w:rsidP="00ED2B6B"/>
    <w:tbl>
      <w:tblPr>
        <w:tblStyle w:val="TableGrid"/>
        <w:tblW w:w="11765" w:type="dxa"/>
        <w:tblLook w:val="04A0" w:firstRow="1" w:lastRow="0" w:firstColumn="1" w:lastColumn="0" w:noHBand="0" w:noVBand="1"/>
      </w:tblPr>
      <w:tblGrid>
        <w:gridCol w:w="510"/>
        <w:gridCol w:w="3120"/>
        <w:gridCol w:w="1484"/>
        <w:gridCol w:w="1123"/>
        <w:gridCol w:w="1276"/>
        <w:gridCol w:w="1134"/>
        <w:gridCol w:w="1134"/>
        <w:gridCol w:w="992"/>
        <w:gridCol w:w="992"/>
      </w:tblGrid>
      <w:tr w:rsidR="00ED2B6B" w:rsidRPr="00ED2B6B" w:rsidTr="001F1156">
        <w:trPr>
          <w:trHeight w:val="300"/>
        </w:trPr>
        <w:tc>
          <w:tcPr>
            <w:tcW w:w="510"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 </w:t>
            </w:r>
          </w:p>
        </w:tc>
        <w:tc>
          <w:tcPr>
            <w:tcW w:w="3120"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 </w:t>
            </w: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 </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2015</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2016</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2017</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2018</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2019</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2020</w:t>
            </w:r>
          </w:p>
        </w:tc>
      </w:tr>
      <w:tr w:rsidR="00ED2B6B" w:rsidRPr="00ED2B6B" w:rsidTr="001F1156">
        <w:trPr>
          <w:trHeight w:val="799"/>
        </w:trPr>
        <w:tc>
          <w:tcPr>
            <w:tcW w:w="510" w:type="dxa"/>
            <w:vMerge w:val="restart"/>
            <w:noWrap/>
            <w:hideMark/>
          </w:tcPr>
          <w:p w:rsidR="00ED2B6B" w:rsidRPr="00ED2B6B" w:rsidRDefault="00ED2B6B" w:rsidP="00ED2B6B">
            <w:pPr>
              <w:ind w:left="0"/>
              <w:jc w:val="center"/>
              <w:rPr>
                <w:rFonts w:eastAsia="Times New Roman"/>
                <w:bCs w:val="0"/>
                <w:color w:val="000000"/>
                <w:lang w:eastAsia="en-GB"/>
              </w:rPr>
            </w:pPr>
            <w:r w:rsidRPr="00ED2B6B">
              <w:rPr>
                <w:rFonts w:eastAsia="Times New Roman"/>
                <w:bCs w:val="0"/>
                <w:color w:val="000000"/>
                <w:lang w:eastAsia="en-GB"/>
              </w:rPr>
              <w:t>9A</w:t>
            </w:r>
          </w:p>
        </w:tc>
        <w:tc>
          <w:tcPr>
            <w:tcW w:w="3120" w:type="dxa"/>
            <w:vMerge w:val="restart"/>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Percentage difference between the organisations’ Board membership and its overall workforce disaggregated:</w:t>
            </w:r>
            <w:r w:rsidRPr="00ED2B6B">
              <w:rPr>
                <w:rFonts w:eastAsia="Times New Roman"/>
                <w:bCs w:val="0"/>
                <w:color w:val="000000"/>
                <w:lang w:eastAsia="en-GB"/>
              </w:rPr>
              <w:br/>
              <w:t>By voting membership of the Board</w:t>
            </w: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White</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8.44%</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-7.31%</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6.04%</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8.44%</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-2.61%</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-1.4%</w:t>
            </w:r>
          </w:p>
        </w:tc>
      </w:tr>
      <w:tr w:rsidR="00ED2B6B" w:rsidRPr="00ED2B6B" w:rsidTr="001F1156">
        <w:trPr>
          <w:trHeight w:val="799"/>
        </w:trPr>
        <w:tc>
          <w:tcPr>
            <w:tcW w:w="510" w:type="dxa"/>
            <w:vMerge/>
            <w:hideMark/>
          </w:tcPr>
          <w:p w:rsidR="00ED2B6B" w:rsidRPr="00ED2B6B" w:rsidRDefault="00ED2B6B" w:rsidP="00ED2B6B">
            <w:pPr>
              <w:ind w:left="0"/>
              <w:rPr>
                <w:rFonts w:eastAsia="Times New Roman"/>
                <w:bCs w:val="0"/>
                <w:color w:val="000000"/>
                <w:lang w:eastAsia="en-GB"/>
              </w:rPr>
            </w:pPr>
          </w:p>
        </w:tc>
        <w:tc>
          <w:tcPr>
            <w:tcW w:w="3120" w:type="dxa"/>
            <w:vMerge/>
            <w:hideMark/>
          </w:tcPr>
          <w:p w:rsidR="00ED2B6B" w:rsidRPr="00ED2B6B" w:rsidRDefault="00ED2B6B" w:rsidP="00ED2B6B">
            <w:pPr>
              <w:ind w:left="0"/>
              <w:rPr>
                <w:rFonts w:eastAsia="Times New Roman"/>
                <w:bCs w:val="0"/>
                <w:color w:val="000000"/>
                <w:lang w:eastAsia="en-GB"/>
              </w:rPr>
            </w:pP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Not Stated</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-7.86%</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14.83%</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-13.18%</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-7.86%</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4.26%</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12.1%</w:t>
            </w:r>
          </w:p>
        </w:tc>
      </w:tr>
      <w:tr w:rsidR="00ED2B6B" w:rsidRPr="00ED2B6B" w:rsidTr="001F1156">
        <w:trPr>
          <w:trHeight w:val="799"/>
        </w:trPr>
        <w:tc>
          <w:tcPr>
            <w:tcW w:w="510" w:type="dxa"/>
            <w:vMerge/>
            <w:hideMark/>
          </w:tcPr>
          <w:p w:rsidR="00ED2B6B" w:rsidRPr="00ED2B6B" w:rsidRDefault="00ED2B6B" w:rsidP="00ED2B6B">
            <w:pPr>
              <w:ind w:left="0"/>
              <w:rPr>
                <w:rFonts w:eastAsia="Times New Roman"/>
                <w:bCs w:val="0"/>
                <w:color w:val="000000"/>
                <w:lang w:eastAsia="en-GB"/>
              </w:rPr>
            </w:pPr>
          </w:p>
        </w:tc>
        <w:tc>
          <w:tcPr>
            <w:tcW w:w="3120" w:type="dxa"/>
            <w:vMerge/>
            <w:hideMark/>
          </w:tcPr>
          <w:p w:rsidR="00ED2B6B" w:rsidRPr="00ED2B6B" w:rsidRDefault="00ED2B6B" w:rsidP="00ED2B6B">
            <w:pPr>
              <w:ind w:left="0"/>
              <w:rPr>
                <w:rFonts w:eastAsia="Times New Roman"/>
                <w:bCs w:val="0"/>
                <w:color w:val="000000"/>
                <w:lang w:eastAsia="en-GB"/>
              </w:rPr>
            </w:pP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BAME</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-0.59%</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-7.53%</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7.14%</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-0.59%</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-1.66%</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-10.7%</w:t>
            </w:r>
          </w:p>
        </w:tc>
      </w:tr>
      <w:tr w:rsidR="00ED2B6B" w:rsidRPr="00ED2B6B" w:rsidTr="001F1156">
        <w:trPr>
          <w:trHeight w:val="799"/>
        </w:trPr>
        <w:tc>
          <w:tcPr>
            <w:tcW w:w="510" w:type="dxa"/>
            <w:vMerge w:val="restart"/>
            <w:noWrap/>
            <w:hideMark/>
          </w:tcPr>
          <w:p w:rsidR="00ED2B6B" w:rsidRPr="00ED2B6B" w:rsidRDefault="00ED2B6B" w:rsidP="00ED2B6B">
            <w:pPr>
              <w:ind w:left="0"/>
              <w:jc w:val="center"/>
              <w:rPr>
                <w:rFonts w:eastAsia="Times New Roman"/>
                <w:bCs w:val="0"/>
                <w:color w:val="000000"/>
                <w:lang w:eastAsia="en-GB"/>
              </w:rPr>
            </w:pPr>
            <w:r w:rsidRPr="00ED2B6B">
              <w:rPr>
                <w:rFonts w:eastAsia="Times New Roman"/>
                <w:bCs w:val="0"/>
                <w:color w:val="000000"/>
                <w:lang w:eastAsia="en-GB"/>
              </w:rPr>
              <w:t>9B</w:t>
            </w:r>
          </w:p>
        </w:tc>
        <w:tc>
          <w:tcPr>
            <w:tcW w:w="3120" w:type="dxa"/>
            <w:vMerge w:val="restart"/>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Percentage difference between the organisations’ Board membership and its overall workforce disaggregated:</w:t>
            </w:r>
            <w:r w:rsidRPr="00ED2B6B">
              <w:rPr>
                <w:rFonts w:eastAsia="Times New Roman"/>
                <w:bCs w:val="0"/>
                <w:color w:val="000000"/>
                <w:lang w:eastAsia="en-GB"/>
              </w:rPr>
              <w:br/>
              <w:t>By executive membership of the Board</w:t>
            </w: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White</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13.20%</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11.74%</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13.18%</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13.20%</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2.16%</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3.4%</w:t>
            </w:r>
          </w:p>
        </w:tc>
      </w:tr>
      <w:tr w:rsidR="00ED2B6B" w:rsidRPr="00ED2B6B" w:rsidTr="001F1156">
        <w:trPr>
          <w:trHeight w:val="799"/>
        </w:trPr>
        <w:tc>
          <w:tcPr>
            <w:tcW w:w="510" w:type="dxa"/>
            <w:vMerge/>
            <w:hideMark/>
          </w:tcPr>
          <w:p w:rsidR="00ED2B6B" w:rsidRPr="00ED2B6B" w:rsidRDefault="00ED2B6B" w:rsidP="00ED2B6B">
            <w:pPr>
              <w:ind w:left="0"/>
              <w:rPr>
                <w:rFonts w:eastAsia="Times New Roman"/>
                <w:bCs w:val="0"/>
                <w:color w:val="000000"/>
                <w:lang w:eastAsia="en-GB"/>
              </w:rPr>
            </w:pPr>
          </w:p>
        </w:tc>
        <w:tc>
          <w:tcPr>
            <w:tcW w:w="3120" w:type="dxa"/>
            <w:vMerge/>
            <w:hideMark/>
          </w:tcPr>
          <w:p w:rsidR="00ED2B6B" w:rsidRPr="00ED2B6B" w:rsidRDefault="00ED2B6B" w:rsidP="00ED2B6B">
            <w:pPr>
              <w:ind w:left="0"/>
              <w:rPr>
                <w:rFonts w:eastAsia="Times New Roman"/>
                <w:bCs w:val="0"/>
                <w:color w:val="000000"/>
                <w:lang w:eastAsia="en-GB"/>
              </w:rPr>
            </w:pP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Not Stated</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-15.00%</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-11.83%</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-13.18%</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-15.00%</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-1.45%</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14.0%</w:t>
            </w:r>
          </w:p>
        </w:tc>
      </w:tr>
      <w:tr w:rsidR="00ED2B6B" w:rsidRPr="00ED2B6B" w:rsidTr="001F1156">
        <w:trPr>
          <w:trHeight w:val="799"/>
        </w:trPr>
        <w:tc>
          <w:tcPr>
            <w:tcW w:w="510" w:type="dxa"/>
            <w:vMerge/>
            <w:hideMark/>
          </w:tcPr>
          <w:p w:rsidR="00ED2B6B" w:rsidRPr="00ED2B6B" w:rsidRDefault="00ED2B6B" w:rsidP="00ED2B6B">
            <w:pPr>
              <w:ind w:left="0"/>
              <w:rPr>
                <w:rFonts w:eastAsia="Times New Roman"/>
                <w:bCs w:val="0"/>
                <w:color w:val="000000"/>
                <w:lang w:eastAsia="en-GB"/>
              </w:rPr>
            </w:pPr>
          </w:p>
        </w:tc>
        <w:tc>
          <w:tcPr>
            <w:tcW w:w="3120" w:type="dxa"/>
            <w:vMerge/>
            <w:hideMark/>
          </w:tcPr>
          <w:p w:rsidR="00ED2B6B" w:rsidRPr="00ED2B6B" w:rsidRDefault="00ED2B6B" w:rsidP="00ED2B6B">
            <w:pPr>
              <w:ind w:left="0"/>
              <w:rPr>
                <w:rFonts w:eastAsia="Times New Roman"/>
                <w:bCs w:val="0"/>
                <w:color w:val="000000"/>
                <w:lang w:eastAsia="en-GB"/>
              </w:rPr>
            </w:pPr>
          </w:p>
        </w:tc>
        <w:tc>
          <w:tcPr>
            <w:tcW w:w="1484" w:type="dxa"/>
            <w:noWrap/>
            <w:hideMark/>
          </w:tcPr>
          <w:p w:rsidR="00ED2B6B" w:rsidRPr="00ED2B6B" w:rsidRDefault="00ED2B6B" w:rsidP="00ED2B6B">
            <w:pPr>
              <w:ind w:left="0"/>
              <w:rPr>
                <w:rFonts w:eastAsia="Times New Roman"/>
                <w:bCs w:val="0"/>
                <w:color w:val="000000"/>
                <w:lang w:eastAsia="en-GB"/>
              </w:rPr>
            </w:pPr>
            <w:r w:rsidRPr="00ED2B6B">
              <w:rPr>
                <w:rFonts w:eastAsia="Times New Roman"/>
                <w:bCs w:val="0"/>
                <w:color w:val="000000"/>
                <w:lang w:eastAsia="en-GB"/>
              </w:rPr>
              <w:t>BAME</w:t>
            </w:r>
          </w:p>
        </w:tc>
        <w:tc>
          <w:tcPr>
            <w:tcW w:w="1123"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1.80%</w:t>
            </w:r>
          </w:p>
        </w:tc>
        <w:tc>
          <w:tcPr>
            <w:tcW w:w="1276"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0.09%</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0.00%</w:t>
            </w:r>
          </w:p>
        </w:tc>
        <w:tc>
          <w:tcPr>
            <w:tcW w:w="1134"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1.80%</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-0.70%</w:t>
            </w:r>
          </w:p>
        </w:tc>
        <w:tc>
          <w:tcPr>
            <w:tcW w:w="992" w:type="dxa"/>
            <w:noWrap/>
            <w:hideMark/>
          </w:tcPr>
          <w:p w:rsidR="00ED2B6B" w:rsidRPr="00ED2B6B" w:rsidRDefault="00ED2B6B" w:rsidP="00ED2B6B">
            <w:pPr>
              <w:ind w:left="0"/>
              <w:jc w:val="right"/>
              <w:rPr>
                <w:rFonts w:eastAsia="Times New Roman"/>
                <w:bCs w:val="0"/>
                <w:color w:val="000000"/>
                <w:lang w:eastAsia="en-GB"/>
              </w:rPr>
            </w:pPr>
            <w:r w:rsidRPr="00ED2B6B">
              <w:rPr>
                <w:rFonts w:eastAsia="Times New Roman"/>
                <w:bCs w:val="0"/>
                <w:color w:val="000000"/>
                <w:lang w:eastAsia="en-GB"/>
              </w:rPr>
              <w:t>-17.4%</w:t>
            </w:r>
          </w:p>
        </w:tc>
      </w:tr>
    </w:tbl>
    <w:p w:rsidR="00ED2B6B" w:rsidRDefault="00ED2B6B" w:rsidP="00ED2B6B"/>
    <w:p w:rsidR="0076651E" w:rsidRPr="006F6246" w:rsidRDefault="001F49A7" w:rsidP="00F84703">
      <w:pPr>
        <w:ind w:left="851"/>
      </w:pPr>
      <w:r w:rsidRPr="006F6246">
        <w:t>+</w:t>
      </w:r>
      <w:proofErr w:type="spellStart"/>
      <w:r w:rsidRPr="006F6246">
        <w:t>ve</w:t>
      </w:r>
      <w:proofErr w:type="spellEnd"/>
      <w:r w:rsidRPr="006F6246">
        <w:t xml:space="preserve"> number indicates higher percentage on Board than in Workforce</w:t>
      </w:r>
    </w:p>
    <w:p w:rsidR="00F84703" w:rsidRDefault="001F49A7" w:rsidP="004A66A3">
      <w:pPr>
        <w:ind w:left="851"/>
        <w:sectPr w:rsidR="00F84703" w:rsidSect="00F84703">
          <w:pgSz w:w="16838" w:h="11906" w:orient="landscape"/>
          <w:pgMar w:top="1134" w:right="1134" w:bottom="1134" w:left="1134" w:header="426" w:footer="408" w:gutter="0"/>
          <w:cols w:space="708"/>
          <w:docGrid w:linePitch="360"/>
        </w:sectPr>
      </w:pPr>
      <w:r w:rsidRPr="006F6246">
        <w:t>-</w:t>
      </w:r>
      <w:proofErr w:type="spellStart"/>
      <w:r w:rsidRPr="006F6246">
        <w:t>ve</w:t>
      </w:r>
      <w:proofErr w:type="spellEnd"/>
      <w:r w:rsidRPr="006F6246">
        <w:t xml:space="preserve"> number indicates lower percentage on Board than in Workforce</w:t>
      </w:r>
    </w:p>
    <w:p w:rsidR="005F5A42" w:rsidRDefault="004A66A3" w:rsidP="004A66A3">
      <w:pPr>
        <w:pStyle w:val="Heading1"/>
      </w:pPr>
      <w:bookmarkStart w:id="23" w:name="_Toc50029658"/>
      <w:r>
        <w:lastRenderedPageBreak/>
        <w:t>Action Plan</w:t>
      </w:r>
      <w:bookmarkEnd w:id="23"/>
    </w:p>
    <w:p w:rsidR="004A66A3" w:rsidRDefault="004A66A3" w:rsidP="002A543B">
      <w:pPr>
        <w:pStyle w:val="Heading2"/>
      </w:pPr>
      <w:r>
        <w:t>The Head of EDI has developed the following action Plan to address the major issues identified in the WRES</w:t>
      </w:r>
      <w:r w:rsidR="002A543B">
        <w:t xml:space="preserve"> report.</w:t>
      </w:r>
    </w:p>
    <w:p w:rsidR="004A66A3" w:rsidRDefault="002A543B" w:rsidP="002A543B">
      <w:pPr>
        <w:pStyle w:val="Heading2"/>
      </w:pPr>
      <w:r>
        <w:t>Progress on these actions will be monitored by the EDI Steering Group and the Strategic Workforce Committee</w:t>
      </w:r>
      <w:r w:rsidR="007F038C">
        <w:t>.</w:t>
      </w:r>
    </w:p>
    <w:p w:rsidR="00E244B1" w:rsidRDefault="00E244B1" w:rsidP="007F038C"/>
    <w:p w:rsidR="007F038C" w:rsidRDefault="00E244B1" w:rsidP="001F1156">
      <w:pPr>
        <w:ind w:left="0"/>
      </w:pPr>
      <w:r w:rsidRPr="004A66A3">
        <w:rPr>
          <w:noProof/>
        </w:rPr>
        <w:drawing>
          <wp:inline distT="0" distB="0" distL="0" distR="0">
            <wp:extent cx="6120130" cy="3836670"/>
            <wp:effectExtent l="0" t="0" r="0" b="0"/>
            <wp:docPr id="9" name="Picture 9" descr="Action plan actions are to enable BAME nurse midwife and AHP progression into senior leadership positions, publicity campaign to increase reporting of protected characteristics, work with KPMG, campaign to highlight policies protecting staff from harassment, continue conscious inclusion training for managers. Work with KPMG and inclusion training is underway, the rest have not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836670"/>
                    </a:xfrm>
                    <a:prstGeom prst="rect">
                      <a:avLst/>
                    </a:prstGeom>
                    <a:noFill/>
                    <a:ln>
                      <a:noFill/>
                    </a:ln>
                  </pic:spPr>
                </pic:pic>
              </a:graphicData>
            </a:graphic>
          </wp:inline>
        </w:drawing>
      </w:r>
    </w:p>
    <w:p w:rsidR="007F038C" w:rsidRDefault="007F038C" w:rsidP="007F038C">
      <w:r w:rsidRPr="004A552B">
        <w:rPr>
          <w:noProof/>
        </w:rPr>
        <w:drawing>
          <wp:inline distT="0" distB="0" distL="0" distR="0" wp14:anchorId="40F883F1" wp14:editId="18EA7DC2">
            <wp:extent cx="3650615" cy="1617345"/>
            <wp:effectExtent l="0" t="0" r="6985" b="1905"/>
            <wp:docPr id="10" name="Picture 10" descr="Key code for action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0615" cy="1617345"/>
                    </a:xfrm>
                    <a:prstGeom prst="rect">
                      <a:avLst/>
                    </a:prstGeom>
                    <a:noFill/>
                    <a:ln>
                      <a:noFill/>
                    </a:ln>
                  </pic:spPr>
                </pic:pic>
              </a:graphicData>
            </a:graphic>
          </wp:inline>
        </w:drawing>
      </w:r>
    </w:p>
    <w:p w:rsidR="007F038C" w:rsidRPr="007F038C" w:rsidRDefault="007F038C" w:rsidP="007F038C">
      <w:pPr>
        <w:widowControl w:val="0"/>
        <w:numPr>
          <w:ilvl w:val="0"/>
          <w:numId w:val="5"/>
        </w:numPr>
        <w:spacing w:before="480" w:after="0" w:line="240" w:lineRule="auto"/>
        <w:ind w:left="851" w:hanging="851"/>
        <w:outlineLvl w:val="0"/>
        <w:rPr>
          <w:rFonts w:eastAsiaTheme="majorEastAsia"/>
          <w:b/>
        </w:rPr>
      </w:pPr>
      <w:bookmarkStart w:id="24" w:name="_Toc47416516"/>
      <w:bookmarkStart w:id="25" w:name="_Toc50029659"/>
      <w:r w:rsidRPr="007F038C">
        <w:rPr>
          <w:rFonts w:eastAsiaTheme="majorEastAsia"/>
          <w:b/>
        </w:rPr>
        <w:t>Next Steps</w:t>
      </w:r>
      <w:bookmarkEnd w:id="24"/>
      <w:bookmarkEnd w:id="25"/>
    </w:p>
    <w:p w:rsidR="007F038C" w:rsidRPr="007F038C" w:rsidRDefault="007F038C" w:rsidP="007F038C">
      <w:pPr>
        <w:widowControl w:val="0"/>
        <w:numPr>
          <w:ilvl w:val="1"/>
          <w:numId w:val="5"/>
        </w:numPr>
        <w:spacing w:before="200" w:after="0" w:line="240" w:lineRule="auto"/>
        <w:ind w:left="851" w:hanging="851"/>
        <w:outlineLvl w:val="1"/>
        <w:rPr>
          <w:rFonts w:eastAsiaTheme="majorEastAsia"/>
        </w:rPr>
      </w:pPr>
      <w:r w:rsidRPr="007F038C">
        <w:rPr>
          <w:rFonts w:eastAsiaTheme="majorEastAsia"/>
        </w:rPr>
        <w:t xml:space="preserve">EKHUFT is expected to publish data for each of the </w:t>
      </w:r>
      <w:r>
        <w:rPr>
          <w:rFonts w:eastAsiaTheme="majorEastAsia"/>
        </w:rPr>
        <w:t>indicators</w:t>
      </w:r>
      <w:r w:rsidRPr="007F038C">
        <w:rPr>
          <w:rFonts w:eastAsiaTheme="majorEastAsia"/>
        </w:rPr>
        <w:t xml:space="preserve"> and use this information to develop a local action plan to improve the experience of </w:t>
      </w:r>
      <w:r>
        <w:rPr>
          <w:rFonts w:eastAsiaTheme="majorEastAsia"/>
        </w:rPr>
        <w:t>BAME</w:t>
      </w:r>
      <w:r w:rsidRPr="007F038C">
        <w:rPr>
          <w:rFonts w:eastAsiaTheme="majorEastAsia"/>
        </w:rPr>
        <w:t xml:space="preserve"> staff. Year-to-year comparisons will demonstrate progress and challenges.</w:t>
      </w:r>
    </w:p>
    <w:p w:rsidR="007F038C" w:rsidRPr="007F038C" w:rsidRDefault="007F038C" w:rsidP="007F038C">
      <w:pPr>
        <w:widowControl w:val="0"/>
        <w:numPr>
          <w:ilvl w:val="1"/>
          <w:numId w:val="5"/>
        </w:numPr>
        <w:spacing w:before="200" w:after="0" w:line="240" w:lineRule="auto"/>
        <w:ind w:left="851" w:hanging="851"/>
        <w:outlineLvl w:val="1"/>
        <w:rPr>
          <w:rFonts w:eastAsiaTheme="majorEastAsia"/>
        </w:rPr>
      </w:pPr>
      <w:r w:rsidRPr="007F038C">
        <w:rPr>
          <w:rFonts w:eastAsiaTheme="majorEastAsia"/>
        </w:rPr>
        <w:t>NHS England has sent the Head of EDI a pre-populated W</w:t>
      </w:r>
      <w:r>
        <w:rPr>
          <w:rFonts w:eastAsiaTheme="majorEastAsia"/>
        </w:rPr>
        <w:t>R</w:t>
      </w:r>
      <w:r w:rsidRPr="007F038C">
        <w:rPr>
          <w:rFonts w:eastAsiaTheme="majorEastAsia"/>
        </w:rPr>
        <w:t xml:space="preserve">ES spreadsheet based on data from the NHS Staff Survey and ESR for the period 1 April 2019 – 31 March 2020 (similar to the Workforce </w:t>
      </w:r>
      <w:r w:rsidR="00E244B1">
        <w:rPr>
          <w:rFonts w:eastAsiaTheme="majorEastAsia"/>
        </w:rPr>
        <w:t>Disability</w:t>
      </w:r>
      <w:r w:rsidRPr="007F038C">
        <w:rPr>
          <w:rFonts w:eastAsiaTheme="majorEastAsia"/>
        </w:rPr>
        <w:t xml:space="preserve"> Equality Standard (W</w:t>
      </w:r>
      <w:r w:rsidR="00E244B1">
        <w:rPr>
          <w:rFonts w:eastAsiaTheme="majorEastAsia"/>
        </w:rPr>
        <w:t>D</w:t>
      </w:r>
      <w:r w:rsidRPr="007F038C">
        <w:rPr>
          <w:rFonts w:eastAsiaTheme="majorEastAsia"/>
        </w:rPr>
        <w:t>ES) process).</w:t>
      </w:r>
    </w:p>
    <w:p w:rsidR="007F038C" w:rsidRPr="007F038C" w:rsidRDefault="007F038C" w:rsidP="007F038C">
      <w:pPr>
        <w:widowControl w:val="0"/>
        <w:numPr>
          <w:ilvl w:val="1"/>
          <w:numId w:val="5"/>
        </w:numPr>
        <w:spacing w:before="200" w:after="0" w:line="240" w:lineRule="auto"/>
        <w:ind w:left="851" w:hanging="851"/>
        <w:outlineLvl w:val="1"/>
        <w:rPr>
          <w:rFonts w:eastAsiaTheme="majorEastAsia"/>
        </w:rPr>
      </w:pPr>
      <w:r w:rsidRPr="007F038C">
        <w:rPr>
          <w:rFonts w:eastAsiaTheme="majorEastAsia"/>
        </w:rPr>
        <w:lastRenderedPageBreak/>
        <w:t>The checked and completed spreadsheet was submitted via the Strategic Data Collection Service (SDCS) before 31 August 2020.</w:t>
      </w:r>
    </w:p>
    <w:p w:rsidR="007F038C" w:rsidRPr="007F038C" w:rsidRDefault="007F038C" w:rsidP="007F038C">
      <w:pPr>
        <w:widowControl w:val="0"/>
        <w:numPr>
          <w:ilvl w:val="1"/>
          <w:numId w:val="5"/>
        </w:numPr>
        <w:spacing w:before="200" w:after="0" w:line="240" w:lineRule="auto"/>
        <w:ind w:left="851" w:hanging="851"/>
        <w:outlineLvl w:val="1"/>
        <w:rPr>
          <w:rFonts w:eastAsiaTheme="majorEastAsia"/>
        </w:rPr>
      </w:pPr>
      <w:r w:rsidRPr="007F038C">
        <w:rPr>
          <w:rFonts w:eastAsiaTheme="majorEastAsia"/>
        </w:rPr>
        <w:t>By 31 October 2020, EKHUFT must publish the Board ratified W</w:t>
      </w:r>
      <w:r w:rsidR="00E244B1">
        <w:rPr>
          <w:rFonts w:eastAsiaTheme="majorEastAsia"/>
        </w:rPr>
        <w:t>R</w:t>
      </w:r>
      <w:r w:rsidRPr="007F038C">
        <w:rPr>
          <w:rFonts w:eastAsiaTheme="majorEastAsia"/>
        </w:rPr>
        <w:t>ES Metrics and action plan on our website.</w:t>
      </w:r>
    </w:p>
    <w:p w:rsidR="007F038C" w:rsidRPr="007F038C" w:rsidRDefault="007F038C" w:rsidP="007F038C">
      <w:pPr>
        <w:widowControl w:val="0"/>
        <w:numPr>
          <w:ilvl w:val="1"/>
          <w:numId w:val="5"/>
        </w:numPr>
        <w:spacing w:before="200" w:after="0" w:line="240" w:lineRule="auto"/>
        <w:ind w:left="851" w:hanging="851"/>
        <w:outlineLvl w:val="1"/>
        <w:rPr>
          <w:rFonts w:eastAsiaTheme="majorEastAsia"/>
        </w:rPr>
      </w:pPr>
      <w:r w:rsidRPr="007F038C">
        <w:rPr>
          <w:rFonts w:eastAsiaTheme="majorEastAsia"/>
        </w:rPr>
        <w:t>The raw data submitted to NHS England via SDCS will enable high-level comparative analysis across all NHS Trusts and Foundation Trusts.</w:t>
      </w:r>
    </w:p>
    <w:p w:rsidR="007F038C" w:rsidRDefault="007F038C" w:rsidP="007F038C"/>
    <w:p w:rsidR="00E244B1" w:rsidRPr="006F6246" w:rsidRDefault="00E244B1" w:rsidP="00E244B1">
      <w:pPr>
        <w:pStyle w:val="Heading1"/>
      </w:pPr>
      <w:bookmarkStart w:id="26" w:name="_Toc50029660"/>
      <w:r>
        <w:t>Conclusion</w:t>
      </w:r>
      <w:bookmarkEnd w:id="26"/>
    </w:p>
    <w:p w:rsidR="00E244B1" w:rsidRDefault="00E244B1" w:rsidP="00E244B1">
      <w:pPr>
        <w:pStyle w:val="Heading2"/>
      </w:pPr>
      <w:r>
        <w:t>BAME staff fare</w:t>
      </w:r>
      <w:r w:rsidR="003A1BE2">
        <w:t>-</w:t>
      </w:r>
      <w:r>
        <w:t>well in just two of the WRES Indicators. 3. The r</w:t>
      </w:r>
      <w:r w:rsidRPr="00BA23A1">
        <w:t>elative likelihood of staff entering the formal disciplinary process</w:t>
      </w:r>
      <w:r>
        <w:t xml:space="preserve"> and 4. The r</w:t>
      </w:r>
      <w:r w:rsidRPr="00BA23A1">
        <w:t>elative likelihood of staff accessing non-mandatory training and CPD</w:t>
      </w:r>
      <w:r>
        <w:t>.</w:t>
      </w:r>
    </w:p>
    <w:p w:rsidR="00E244B1" w:rsidRDefault="00E244B1" w:rsidP="00E244B1">
      <w:pPr>
        <w:pStyle w:val="Heading2"/>
      </w:pPr>
      <w:r>
        <w:t>BAME staff appear to be disadvantaged in all other areas.</w:t>
      </w:r>
    </w:p>
    <w:p w:rsidR="00E244B1" w:rsidRDefault="00E244B1" w:rsidP="00E244B1">
      <w:pPr>
        <w:pStyle w:val="Heading2"/>
      </w:pPr>
      <w:r>
        <w:t>There is now an urgent need to bring about change at EKHUFT particularly as these figures have not changed for the better since 2015.</w:t>
      </w:r>
    </w:p>
    <w:p w:rsidR="001F31B4" w:rsidRDefault="001F31B4" w:rsidP="001F31B4">
      <w:pPr>
        <w:pStyle w:val="Heading2"/>
      </w:pPr>
      <w:r>
        <w:t>It is anticipated that the action plan for 2020/21 will address these issues.</w:t>
      </w:r>
    </w:p>
    <w:p w:rsidR="005F5A42" w:rsidRPr="006F6246" w:rsidRDefault="005F5A42" w:rsidP="00E244B1">
      <w:pPr>
        <w:ind w:left="0"/>
      </w:pPr>
    </w:p>
    <w:sectPr w:rsidR="005F5A42" w:rsidRPr="006F6246" w:rsidSect="00F84703">
      <w:pgSz w:w="11906" w:h="16838"/>
      <w:pgMar w:top="1134" w:right="1134" w:bottom="1134" w:left="1134"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28" w:rsidRDefault="00C10028" w:rsidP="00CD1FBD">
      <w:r>
        <w:separator/>
      </w:r>
    </w:p>
    <w:p w:rsidR="00C10028" w:rsidRDefault="00C10028"/>
  </w:endnote>
  <w:endnote w:type="continuationSeparator" w:id="0">
    <w:p w:rsidR="00C10028" w:rsidRDefault="00C10028" w:rsidP="00CD1FBD">
      <w:r>
        <w:continuationSeparator/>
      </w:r>
    </w:p>
    <w:p w:rsidR="00C10028" w:rsidRDefault="00C1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1" w:rsidRDefault="00230A71" w:rsidP="003A1BE2">
    <w:pPr>
      <w:pStyle w:val="Footer"/>
      <w:jc w:val="right"/>
    </w:pPr>
    <w:r>
      <w:rPr>
        <w:noProof/>
      </w:rPr>
      <w:drawing>
        <wp:inline distT="0" distB="0" distL="0" distR="0" wp14:anchorId="0640E6F8">
          <wp:extent cx="914400" cy="628015"/>
          <wp:effectExtent l="0" t="0" r="0" b="635"/>
          <wp:docPr id="16" name="Picture 16" descr="W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280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1" w:rsidRDefault="00230A71" w:rsidP="00994F71">
    <w:pPr>
      <w:pStyle w:val="Footer"/>
      <w:ind w:left="0"/>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1" w:rsidRDefault="00230A71" w:rsidP="003A1B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28" w:rsidRDefault="00C10028" w:rsidP="00CD1FBD">
      <w:r>
        <w:separator/>
      </w:r>
    </w:p>
    <w:p w:rsidR="00C10028" w:rsidRDefault="00C10028"/>
  </w:footnote>
  <w:footnote w:type="continuationSeparator" w:id="0">
    <w:p w:rsidR="00C10028" w:rsidRDefault="00C10028" w:rsidP="00CD1FBD">
      <w:r>
        <w:continuationSeparator/>
      </w:r>
    </w:p>
    <w:p w:rsidR="00C10028" w:rsidRDefault="00C10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1" w:rsidRDefault="00230A71" w:rsidP="00FB4C2D">
    <w:pPr>
      <w:pStyle w:val="Footer"/>
      <w:tabs>
        <w:tab w:val="clear" w:pos="9026"/>
        <w:tab w:val="right" w:pos="9639"/>
      </w:tabs>
      <w:ind w:left="0"/>
      <w:jc w:val="right"/>
    </w:pPr>
  </w:p>
  <w:p w:rsidR="00230A71" w:rsidRDefault="00230A71" w:rsidP="00FB4C2D">
    <w:pPr>
      <w:pStyle w:val="Footer"/>
      <w:tabs>
        <w:tab w:val="clear" w:pos="9026"/>
        <w:tab w:val="right" w:pos="9639"/>
      </w:tabs>
      <w:ind w:left="0"/>
      <w:jc w:val="right"/>
    </w:pPr>
    <w:r>
      <w:rPr>
        <w:noProof/>
      </w:rPr>
      <w:drawing>
        <wp:inline distT="0" distB="0" distL="0" distR="0" wp14:anchorId="74668EBD" wp14:editId="1D7EDED3">
          <wp:extent cx="3688898" cy="1263191"/>
          <wp:effectExtent l="0" t="0" r="6985" b="0"/>
          <wp:docPr id="7" name="Picture 7"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3" r="7759" b="14074"/>
                  <a:stretch/>
                </pic:blipFill>
                <pic:spPr bwMode="auto">
                  <a:xfrm>
                    <a:off x="0" y="0"/>
                    <a:ext cx="3712045" cy="12711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1" w:rsidRPr="00994F71" w:rsidRDefault="00230A71" w:rsidP="00994F71">
    <w:pPr>
      <w:pStyle w:val="Footer"/>
      <w:tabs>
        <w:tab w:val="right" w:pos="9639"/>
      </w:tabs>
      <w:ind w:left="0"/>
      <w:jc w:val="center"/>
    </w:pPr>
    <w:r w:rsidRPr="00994F71">
      <w:t>Workforce Race Equality Standard 2019</w:t>
    </w:r>
  </w:p>
  <w:p w:rsidR="00230A71" w:rsidRDefault="00230A71" w:rsidP="00994F71">
    <w:pPr>
      <w:pStyle w:val="Footer"/>
      <w:tabs>
        <w:tab w:val="clear" w:pos="9026"/>
        <w:tab w:val="right" w:pos="9639"/>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27E4C08"/>
    <w:lvl w:ilvl="0">
      <w:start w:val="1"/>
      <w:numFmt w:val="decimal"/>
      <w:pStyle w:val="ListNumber"/>
      <w:lvlText w:val="%1."/>
      <w:lvlJc w:val="left"/>
      <w:pPr>
        <w:tabs>
          <w:tab w:val="num" w:pos="360"/>
        </w:tabs>
        <w:ind w:left="360" w:hanging="360"/>
      </w:pPr>
    </w:lvl>
  </w:abstractNum>
  <w:abstractNum w:abstractNumId="1" w15:restartNumberingAfterBreak="0">
    <w:nsid w:val="050716BB"/>
    <w:multiLevelType w:val="hybridMultilevel"/>
    <w:tmpl w:val="822A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4444D"/>
    <w:multiLevelType w:val="multilevel"/>
    <w:tmpl w:val="9CF4EDC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D4240A"/>
    <w:multiLevelType w:val="multilevel"/>
    <w:tmpl w:val="9CF4EDC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4A28EF"/>
    <w:multiLevelType w:val="multilevel"/>
    <w:tmpl w:val="4078875A"/>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F584B"/>
    <w:multiLevelType w:val="hybridMultilevel"/>
    <w:tmpl w:val="61D0D39A"/>
    <w:lvl w:ilvl="0" w:tplc="3C863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D06A3B"/>
    <w:multiLevelType w:val="hybridMultilevel"/>
    <w:tmpl w:val="2A6CB7B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7" w15:restartNumberingAfterBreak="0">
    <w:nsid w:val="3570501A"/>
    <w:multiLevelType w:val="hybridMultilevel"/>
    <w:tmpl w:val="D78A625A"/>
    <w:lvl w:ilvl="0" w:tplc="AEC0681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F7CF0"/>
    <w:multiLevelType w:val="hybridMultilevel"/>
    <w:tmpl w:val="97B0CF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1423563"/>
    <w:multiLevelType w:val="multilevel"/>
    <w:tmpl w:val="11FC2F3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9A62D8"/>
    <w:multiLevelType w:val="multilevel"/>
    <w:tmpl w:val="9CF4EDC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EEF7BE9"/>
    <w:multiLevelType w:val="hybridMultilevel"/>
    <w:tmpl w:val="B8F074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3B4C9F"/>
    <w:multiLevelType w:val="hybridMultilevel"/>
    <w:tmpl w:val="5A6A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F75A9C"/>
    <w:multiLevelType w:val="hybridMultilevel"/>
    <w:tmpl w:val="CB900C5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6CA6AE8"/>
    <w:multiLevelType w:val="multilevel"/>
    <w:tmpl w:val="95009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1"/>
  </w:num>
  <w:num w:numId="3">
    <w:abstractNumId w:val="0"/>
  </w:num>
  <w:num w:numId="4">
    <w:abstractNumId w:val="8"/>
  </w:num>
  <w:num w:numId="5">
    <w:abstractNumId w:val="14"/>
  </w:num>
  <w:num w:numId="6">
    <w:abstractNumId w:val="13"/>
  </w:num>
  <w:num w:numId="7">
    <w:abstractNumId w:val="9"/>
  </w:num>
  <w:num w:numId="8">
    <w:abstractNumId w:val="3"/>
  </w:num>
  <w:num w:numId="9">
    <w:abstractNumId w:val="2"/>
  </w:num>
  <w:num w:numId="10">
    <w:abstractNumId w:val="10"/>
  </w:num>
  <w:num w:numId="11">
    <w:abstractNumId w:val="4"/>
  </w:num>
  <w:num w:numId="12">
    <w:abstractNumId w:val="7"/>
  </w:num>
  <w:num w:numId="13">
    <w:abstractNumId w:val="6"/>
  </w:num>
  <w:num w:numId="14">
    <w:abstractNumId w:val="12"/>
  </w:num>
  <w:num w:numId="15">
    <w:abstractNumId w:val="1"/>
  </w:num>
  <w:num w:numId="16">
    <w:abstractNumId w:val="14"/>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639"/>
    <w:rsid w:val="00003EE8"/>
    <w:rsid w:val="00005005"/>
    <w:rsid w:val="0001718A"/>
    <w:rsid w:val="00020988"/>
    <w:rsid w:val="0003269E"/>
    <w:rsid w:val="00064903"/>
    <w:rsid w:val="0007728F"/>
    <w:rsid w:val="0009449D"/>
    <w:rsid w:val="00094779"/>
    <w:rsid w:val="000A20F2"/>
    <w:rsid w:val="000B4350"/>
    <w:rsid w:val="000C769C"/>
    <w:rsid w:val="000D4591"/>
    <w:rsid w:val="000E2584"/>
    <w:rsid w:val="000F0FF3"/>
    <w:rsid w:val="001074CD"/>
    <w:rsid w:val="0011001E"/>
    <w:rsid w:val="00110975"/>
    <w:rsid w:val="00112E7E"/>
    <w:rsid w:val="0011453B"/>
    <w:rsid w:val="00114EE9"/>
    <w:rsid w:val="00120720"/>
    <w:rsid w:val="00123C7A"/>
    <w:rsid w:val="00137F89"/>
    <w:rsid w:val="00150F14"/>
    <w:rsid w:val="00153DCE"/>
    <w:rsid w:val="001545FF"/>
    <w:rsid w:val="00173D88"/>
    <w:rsid w:val="001A6EDE"/>
    <w:rsid w:val="001A739B"/>
    <w:rsid w:val="001B4475"/>
    <w:rsid w:val="001D092C"/>
    <w:rsid w:val="001E4209"/>
    <w:rsid w:val="001F1156"/>
    <w:rsid w:val="001F29BC"/>
    <w:rsid w:val="001F31B4"/>
    <w:rsid w:val="001F49A7"/>
    <w:rsid w:val="001F57DF"/>
    <w:rsid w:val="00216C8B"/>
    <w:rsid w:val="00230A71"/>
    <w:rsid w:val="002315A5"/>
    <w:rsid w:val="002317FC"/>
    <w:rsid w:val="0025592F"/>
    <w:rsid w:val="00256C11"/>
    <w:rsid w:val="00260970"/>
    <w:rsid w:val="0026468D"/>
    <w:rsid w:val="002A543B"/>
    <w:rsid w:val="002B76E3"/>
    <w:rsid w:val="002C1E03"/>
    <w:rsid w:val="002C3BF0"/>
    <w:rsid w:val="002D0858"/>
    <w:rsid w:val="002D13E0"/>
    <w:rsid w:val="002E7F8B"/>
    <w:rsid w:val="002F4703"/>
    <w:rsid w:val="003022DB"/>
    <w:rsid w:val="00322359"/>
    <w:rsid w:val="00330A52"/>
    <w:rsid w:val="00345C73"/>
    <w:rsid w:val="003548BB"/>
    <w:rsid w:val="0035647F"/>
    <w:rsid w:val="00361973"/>
    <w:rsid w:val="003619A4"/>
    <w:rsid w:val="00364434"/>
    <w:rsid w:val="0037398C"/>
    <w:rsid w:val="00380288"/>
    <w:rsid w:val="003A1BE2"/>
    <w:rsid w:val="003A2B04"/>
    <w:rsid w:val="003A30D3"/>
    <w:rsid w:val="003C0EC2"/>
    <w:rsid w:val="003C2829"/>
    <w:rsid w:val="003E4193"/>
    <w:rsid w:val="003F0B83"/>
    <w:rsid w:val="004029B5"/>
    <w:rsid w:val="004061E1"/>
    <w:rsid w:val="00425428"/>
    <w:rsid w:val="00434108"/>
    <w:rsid w:val="00451A6D"/>
    <w:rsid w:val="00486CC6"/>
    <w:rsid w:val="00490DB1"/>
    <w:rsid w:val="0049572F"/>
    <w:rsid w:val="004958F5"/>
    <w:rsid w:val="004A552B"/>
    <w:rsid w:val="004A66A3"/>
    <w:rsid w:val="004B164A"/>
    <w:rsid w:val="004C4418"/>
    <w:rsid w:val="004E08DE"/>
    <w:rsid w:val="004F619F"/>
    <w:rsid w:val="00503E38"/>
    <w:rsid w:val="00504D2D"/>
    <w:rsid w:val="00540174"/>
    <w:rsid w:val="00546FE2"/>
    <w:rsid w:val="00551DEA"/>
    <w:rsid w:val="005533C6"/>
    <w:rsid w:val="005536BF"/>
    <w:rsid w:val="00562806"/>
    <w:rsid w:val="00564A32"/>
    <w:rsid w:val="00570F63"/>
    <w:rsid w:val="0057486D"/>
    <w:rsid w:val="00592F51"/>
    <w:rsid w:val="005A2C19"/>
    <w:rsid w:val="005D53B0"/>
    <w:rsid w:val="005E278A"/>
    <w:rsid w:val="005E655D"/>
    <w:rsid w:val="005F12F6"/>
    <w:rsid w:val="005F5A42"/>
    <w:rsid w:val="00612072"/>
    <w:rsid w:val="00615444"/>
    <w:rsid w:val="0063471F"/>
    <w:rsid w:val="00640318"/>
    <w:rsid w:val="006559D0"/>
    <w:rsid w:val="00657215"/>
    <w:rsid w:val="006900AC"/>
    <w:rsid w:val="00697EE9"/>
    <w:rsid w:val="006A1A19"/>
    <w:rsid w:val="006B3781"/>
    <w:rsid w:val="006B3F0C"/>
    <w:rsid w:val="006F57C2"/>
    <w:rsid w:val="006F6246"/>
    <w:rsid w:val="00714276"/>
    <w:rsid w:val="0071655A"/>
    <w:rsid w:val="007257DB"/>
    <w:rsid w:val="0073516F"/>
    <w:rsid w:val="0073694B"/>
    <w:rsid w:val="00741B22"/>
    <w:rsid w:val="007476F3"/>
    <w:rsid w:val="0076651E"/>
    <w:rsid w:val="00773236"/>
    <w:rsid w:val="00774CE5"/>
    <w:rsid w:val="007773C8"/>
    <w:rsid w:val="007A4600"/>
    <w:rsid w:val="007E3962"/>
    <w:rsid w:val="007E70D8"/>
    <w:rsid w:val="007F038C"/>
    <w:rsid w:val="0081620A"/>
    <w:rsid w:val="0082254B"/>
    <w:rsid w:val="008312AC"/>
    <w:rsid w:val="00837D2B"/>
    <w:rsid w:val="00846AE9"/>
    <w:rsid w:val="00850AF2"/>
    <w:rsid w:val="008565AB"/>
    <w:rsid w:val="00857568"/>
    <w:rsid w:val="008627CA"/>
    <w:rsid w:val="008779A3"/>
    <w:rsid w:val="00884FD3"/>
    <w:rsid w:val="00895440"/>
    <w:rsid w:val="008A038F"/>
    <w:rsid w:val="008B0175"/>
    <w:rsid w:val="008C0FB8"/>
    <w:rsid w:val="008C2204"/>
    <w:rsid w:val="008D56D1"/>
    <w:rsid w:val="008E24EC"/>
    <w:rsid w:val="008E469E"/>
    <w:rsid w:val="008E5DB3"/>
    <w:rsid w:val="00920670"/>
    <w:rsid w:val="00922D4F"/>
    <w:rsid w:val="00931B9F"/>
    <w:rsid w:val="00951965"/>
    <w:rsid w:val="0095268F"/>
    <w:rsid w:val="00957375"/>
    <w:rsid w:val="00972619"/>
    <w:rsid w:val="00980671"/>
    <w:rsid w:val="00986362"/>
    <w:rsid w:val="00994F71"/>
    <w:rsid w:val="009A716B"/>
    <w:rsid w:val="009B0CA8"/>
    <w:rsid w:val="009B7C5A"/>
    <w:rsid w:val="009C6285"/>
    <w:rsid w:val="009F0CBF"/>
    <w:rsid w:val="009F2F23"/>
    <w:rsid w:val="009F6000"/>
    <w:rsid w:val="00A10F54"/>
    <w:rsid w:val="00A17A91"/>
    <w:rsid w:val="00A5771F"/>
    <w:rsid w:val="00A72769"/>
    <w:rsid w:val="00A748D3"/>
    <w:rsid w:val="00A92128"/>
    <w:rsid w:val="00A92861"/>
    <w:rsid w:val="00AB226C"/>
    <w:rsid w:val="00AB24C6"/>
    <w:rsid w:val="00AB69D5"/>
    <w:rsid w:val="00AB6EAF"/>
    <w:rsid w:val="00AC48B6"/>
    <w:rsid w:val="00AD4FE9"/>
    <w:rsid w:val="00AD63F5"/>
    <w:rsid w:val="00AD6E07"/>
    <w:rsid w:val="00AD7F72"/>
    <w:rsid w:val="00AF1DA2"/>
    <w:rsid w:val="00AF24DC"/>
    <w:rsid w:val="00B11D89"/>
    <w:rsid w:val="00B13BE0"/>
    <w:rsid w:val="00B24214"/>
    <w:rsid w:val="00B31784"/>
    <w:rsid w:val="00B35809"/>
    <w:rsid w:val="00B54302"/>
    <w:rsid w:val="00B623B9"/>
    <w:rsid w:val="00B75555"/>
    <w:rsid w:val="00B85E8B"/>
    <w:rsid w:val="00B86DE1"/>
    <w:rsid w:val="00B9266B"/>
    <w:rsid w:val="00B93793"/>
    <w:rsid w:val="00B937EC"/>
    <w:rsid w:val="00BA23A1"/>
    <w:rsid w:val="00BD1550"/>
    <w:rsid w:val="00BF1D17"/>
    <w:rsid w:val="00C10028"/>
    <w:rsid w:val="00C13331"/>
    <w:rsid w:val="00C179FD"/>
    <w:rsid w:val="00C20C80"/>
    <w:rsid w:val="00C556DB"/>
    <w:rsid w:val="00C732E5"/>
    <w:rsid w:val="00CA58C8"/>
    <w:rsid w:val="00CB59B1"/>
    <w:rsid w:val="00CC1DC1"/>
    <w:rsid w:val="00CC5786"/>
    <w:rsid w:val="00CD1FBD"/>
    <w:rsid w:val="00CD5C06"/>
    <w:rsid w:val="00CE0E28"/>
    <w:rsid w:val="00CE755C"/>
    <w:rsid w:val="00CF23BE"/>
    <w:rsid w:val="00D01B7E"/>
    <w:rsid w:val="00D03782"/>
    <w:rsid w:val="00D03A09"/>
    <w:rsid w:val="00D22610"/>
    <w:rsid w:val="00D372C8"/>
    <w:rsid w:val="00D40814"/>
    <w:rsid w:val="00D72117"/>
    <w:rsid w:val="00D74CC0"/>
    <w:rsid w:val="00D8121F"/>
    <w:rsid w:val="00D85A85"/>
    <w:rsid w:val="00D917F2"/>
    <w:rsid w:val="00D942B8"/>
    <w:rsid w:val="00D95992"/>
    <w:rsid w:val="00DA58AF"/>
    <w:rsid w:val="00DB5020"/>
    <w:rsid w:val="00DC2A97"/>
    <w:rsid w:val="00DC5998"/>
    <w:rsid w:val="00DD2EA2"/>
    <w:rsid w:val="00DD338B"/>
    <w:rsid w:val="00DE48B7"/>
    <w:rsid w:val="00DE72D7"/>
    <w:rsid w:val="00DF1AD5"/>
    <w:rsid w:val="00DF41F4"/>
    <w:rsid w:val="00E00EE2"/>
    <w:rsid w:val="00E0593E"/>
    <w:rsid w:val="00E202B5"/>
    <w:rsid w:val="00E244B1"/>
    <w:rsid w:val="00E3601D"/>
    <w:rsid w:val="00E451C5"/>
    <w:rsid w:val="00E47B57"/>
    <w:rsid w:val="00E64679"/>
    <w:rsid w:val="00E75380"/>
    <w:rsid w:val="00E778A0"/>
    <w:rsid w:val="00E979E1"/>
    <w:rsid w:val="00EA1C0E"/>
    <w:rsid w:val="00EA7A84"/>
    <w:rsid w:val="00EB683B"/>
    <w:rsid w:val="00EC49DE"/>
    <w:rsid w:val="00EC6A72"/>
    <w:rsid w:val="00ED2B6B"/>
    <w:rsid w:val="00ED4053"/>
    <w:rsid w:val="00EE39E3"/>
    <w:rsid w:val="00EF3AD6"/>
    <w:rsid w:val="00F0325C"/>
    <w:rsid w:val="00F06C00"/>
    <w:rsid w:val="00F13162"/>
    <w:rsid w:val="00F14FE3"/>
    <w:rsid w:val="00F37074"/>
    <w:rsid w:val="00F37EE1"/>
    <w:rsid w:val="00F475FE"/>
    <w:rsid w:val="00F47D95"/>
    <w:rsid w:val="00F47E6F"/>
    <w:rsid w:val="00F506ED"/>
    <w:rsid w:val="00F60B32"/>
    <w:rsid w:val="00F6663E"/>
    <w:rsid w:val="00F84703"/>
    <w:rsid w:val="00F87444"/>
    <w:rsid w:val="00FA308A"/>
    <w:rsid w:val="00FB1E5F"/>
    <w:rsid w:val="00FB4C2D"/>
    <w:rsid w:val="00FB5525"/>
    <w:rsid w:val="00FB67F9"/>
    <w:rsid w:val="00FB72A3"/>
    <w:rsid w:val="00FD5FB4"/>
    <w:rsid w:val="00FD702A"/>
    <w:rsid w:val="00FE7DBA"/>
    <w:rsid w:val="00FF19ED"/>
    <w:rsid w:val="00FF3EC4"/>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095D"/>
  <w15:docId w15:val="{0C9D8436-D618-4051-AAF2-C88B7E6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C2D"/>
    <w:pPr>
      <w:ind w:left="1134"/>
    </w:pPr>
    <w:rPr>
      <w:rFonts w:ascii="Arial" w:hAnsi="Arial" w:cs="Arial"/>
      <w:bCs/>
      <w:sz w:val="24"/>
      <w:szCs w:val="24"/>
    </w:rPr>
  </w:style>
  <w:style w:type="paragraph" w:styleId="Heading1">
    <w:name w:val="heading 1"/>
    <w:basedOn w:val="Normal"/>
    <w:next w:val="Normal"/>
    <w:link w:val="Heading1Char"/>
    <w:uiPriority w:val="9"/>
    <w:qFormat/>
    <w:rsid w:val="00CC1DC1"/>
    <w:pPr>
      <w:widowControl w:val="0"/>
      <w:numPr>
        <w:numId w:val="5"/>
      </w:numPr>
      <w:spacing w:before="120" w:after="120"/>
      <w:outlineLvl w:val="0"/>
    </w:pPr>
    <w:rPr>
      <w:rFonts w:eastAsiaTheme="majorEastAsia"/>
      <w:b/>
      <w:bCs w:val="0"/>
    </w:rPr>
  </w:style>
  <w:style w:type="paragraph" w:styleId="Heading2">
    <w:name w:val="heading 2"/>
    <w:basedOn w:val="Normal"/>
    <w:next w:val="Normal"/>
    <w:link w:val="Heading2Char"/>
    <w:uiPriority w:val="9"/>
    <w:unhideWhenUsed/>
    <w:qFormat/>
    <w:rsid w:val="00CC1DC1"/>
    <w:pPr>
      <w:widowControl w:val="0"/>
      <w:numPr>
        <w:ilvl w:val="1"/>
        <w:numId w:val="5"/>
      </w:numPr>
      <w:spacing w:after="120" w:line="240" w:lineRule="auto"/>
      <w:outlineLvl w:val="1"/>
    </w:pPr>
    <w:rPr>
      <w:rFonts w:eastAsiaTheme="majorEastAsia"/>
      <w:bCs w:val="0"/>
    </w:rPr>
  </w:style>
  <w:style w:type="paragraph" w:styleId="Heading3">
    <w:name w:val="heading 3"/>
    <w:basedOn w:val="Heading2"/>
    <w:next w:val="Normal"/>
    <w:link w:val="Heading3Char"/>
    <w:uiPriority w:val="9"/>
    <w:unhideWhenUsed/>
    <w:qFormat/>
    <w:rsid w:val="00CC1DC1"/>
    <w:pPr>
      <w:numPr>
        <w:ilvl w:val="2"/>
      </w:numPr>
      <w:outlineLvl w:val="2"/>
    </w:pPr>
  </w:style>
  <w:style w:type="paragraph" w:styleId="Heading4">
    <w:name w:val="heading 4"/>
    <w:basedOn w:val="Normal"/>
    <w:next w:val="Normal"/>
    <w:link w:val="Heading4Char"/>
    <w:uiPriority w:val="9"/>
    <w:unhideWhenUsed/>
    <w:qFormat/>
    <w:rsid w:val="00846AE9"/>
    <w:pPr>
      <w:keepNext/>
      <w:keepLines/>
      <w:numPr>
        <w:ilvl w:val="3"/>
        <w:numId w:val="5"/>
      </w:numPr>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846AE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6AE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6AE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6AE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6AE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380"/>
    <w:pPr>
      <w:numPr>
        <w:numId w:val="11"/>
      </w:numPr>
      <w:spacing w:after="0"/>
      <w:contextualSpacing/>
    </w:pPr>
    <w:rPr>
      <w:b/>
    </w:rPr>
  </w:style>
  <w:style w:type="paragraph" w:styleId="Header">
    <w:name w:val="header"/>
    <w:basedOn w:val="Normal"/>
    <w:link w:val="HeaderChar"/>
    <w:uiPriority w:val="99"/>
    <w:unhideWhenUsed/>
    <w:rsid w:val="00D8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85"/>
  </w:style>
  <w:style w:type="paragraph" w:styleId="Footer">
    <w:name w:val="footer"/>
    <w:basedOn w:val="Normal"/>
    <w:link w:val="FooterChar"/>
    <w:uiPriority w:val="99"/>
    <w:unhideWhenUsed/>
    <w:rsid w:val="00D8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85"/>
  </w:style>
  <w:style w:type="paragraph" w:styleId="PlainText">
    <w:name w:val="Plain Text"/>
    <w:basedOn w:val="Normal"/>
    <w:link w:val="PlainTextChar"/>
    <w:uiPriority w:val="99"/>
    <w:unhideWhenUsed/>
    <w:rsid w:val="00330A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0A52"/>
    <w:rPr>
      <w:rFonts w:ascii="Calibri" w:hAnsi="Calibri" w:cs="Consolas"/>
      <w:szCs w:val="21"/>
    </w:rPr>
  </w:style>
  <w:style w:type="paragraph" w:styleId="ListNumber">
    <w:name w:val="List Number"/>
    <w:basedOn w:val="Normal"/>
    <w:uiPriority w:val="99"/>
    <w:unhideWhenUsed/>
    <w:qFormat/>
    <w:rsid w:val="00846AE9"/>
    <w:pPr>
      <w:numPr>
        <w:numId w:val="3"/>
      </w:numPr>
      <w:tabs>
        <w:tab w:val="clear" w:pos="360"/>
        <w:tab w:val="num" w:pos="1134"/>
      </w:tabs>
      <w:spacing w:after="120" w:line="240" w:lineRule="auto"/>
      <w:ind w:left="1134" w:hanging="567"/>
    </w:pPr>
  </w:style>
  <w:style w:type="character" w:customStyle="1" w:styleId="Heading1Char">
    <w:name w:val="Heading 1 Char"/>
    <w:basedOn w:val="DefaultParagraphFont"/>
    <w:link w:val="Heading1"/>
    <w:uiPriority w:val="9"/>
    <w:rsid w:val="00CC1DC1"/>
    <w:rPr>
      <w:rFonts w:ascii="Arial" w:eastAsiaTheme="majorEastAsia" w:hAnsi="Arial" w:cs="Arial"/>
      <w:b/>
      <w:sz w:val="24"/>
      <w:szCs w:val="24"/>
    </w:rPr>
  </w:style>
  <w:style w:type="character" w:customStyle="1" w:styleId="Heading2Char">
    <w:name w:val="Heading 2 Char"/>
    <w:basedOn w:val="DefaultParagraphFont"/>
    <w:link w:val="Heading2"/>
    <w:uiPriority w:val="9"/>
    <w:rsid w:val="00CC1DC1"/>
    <w:rPr>
      <w:rFonts w:ascii="Arial" w:eastAsiaTheme="majorEastAsia" w:hAnsi="Arial" w:cs="Arial"/>
      <w:sz w:val="24"/>
      <w:szCs w:val="24"/>
    </w:rPr>
  </w:style>
  <w:style w:type="character" w:customStyle="1" w:styleId="Heading3Char">
    <w:name w:val="Heading 3 Char"/>
    <w:basedOn w:val="DefaultParagraphFont"/>
    <w:link w:val="Heading3"/>
    <w:uiPriority w:val="9"/>
    <w:rsid w:val="00CC1DC1"/>
    <w:rPr>
      <w:rFonts w:ascii="Arial" w:eastAsiaTheme="majorEastAsia" w:hAnsi="Arial" w:cs="Arial"/>
      <w:sz w:val="24"/>
      <w:szCs w:val="24"/>
    </w:rPr>
  </w:style>
  <w:style w:type="character" w:customStyle="1" w:styleId="Heading4Char">
    <w:name w:val="Heading 4 Char"/>
    <w:basedOn w:val="DefaultParagraphFont"/>
    <w:link w:val="Heading4"/>
    <w:uiPriority w:val="9"/>
    <w:rsid w:val="00846AE9"/>
    <w:rPr>
      <w:rFonts w:asciiTheme="majorHAnsi" w:eastAsiaTheme="majorEastAsia" w:hAnsiTheme="majorHAnsi" w:cstheme="majorBidi"/>
      <w:b/>
      <w:i/>
      <w:iCs/>
      <w:color w:val="4F81BD" w:themeColor="accent1"/>
      <w:sz w:val="24"/>
      <w:szCs w:val="24"/>
    </w:rPr>
  </w:style>
  <w:style w:type="character" w:customStyle="1" w:styleId="Heading5Char">
    <w:name w:val="Heading 5 Char"/>
    <w:basedOn w:val="DefaultParagraphFont"/>
    <w:link w:val="Heading5"/>
    <w:uiPriority w:val="9"/>
    <w:semiHidden/>
    <w:rsid w:val="00846AE9"/>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846AE9"/>
    <w:rPr>
      <w:rFonts w:asciiTheme="majorHAnsi" w:eastAsiaTheme="majorEastAsia" w:hAnsiTheme="majorHAnsi" w:cstheme="majorBidi"/>
      <w:bCs/>
      <w:i/>
      <w:iCs/>
      <w:color w:val="243F60" w:themeColor="accent1" w:themeShade="7F"/>
      <w:sz w:val="24"/>
      <w:szCs w:val="24"/>
    </w:rPr>
  </w:style>
  <w:style w:type="character" w:customStyle="1" w:styleId="Heading7Char">
    <w:name w:val="Heading 7 Char"/>
    <w:basedOn w:val="DefaultParagraphFont"/>
    <w:link w:val="Heading7"/>
    <w:uiPriority w:val="9"/>
    <w:semiHidden/>
    <w:rsid w:val="00846AE9"/>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846AE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846AE9"/>
    <w:rPr>
      <w:rFonts w:asciiTheme="majorHAnsi" w:eastAsiaTheme="majorEastAsia" w:hAnsiTheme="majorHAnsi" w:cstheme="majorBidi"/>
      <w:bCs/>
      <w:i/>
      <w:iCs/>
      <w:color w:val="404040" w:themeColor="text1" w:themeTint="BF"/>
      <w:sz w:val="20"/>
      <w:szCs w:val="20"/>
    </w:rPr>
  </w:style>
  <w:style w:type="paragraph" w:styleId="BalloonText">
    <w:name w:val="Balloon Text"/>
    <w:basedOn w:val="Normal"/>
    <w:link w:val="BalloonTextChar"/>
    <w:uiPriority w:val="99"/>
    <w:semiHidden/>
    <w:unhideWhenUsed/>
    <w:rsid w:val="0092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4F"/>
    <w:rPr>
      <w:rFonts w:ascii="Tahoma" w:hAnsi="Tahoma" w:cs="Tahoma"/>
      <w:bCs/>
      <w:sz w:val="16"/>
      <w:szCs w:val="16"/>
    </w:rPr>
  </w:style>
  <w:style w:type="paragraph" w:styleId="TOCHeading">
    <w:name w:val="TOC Heading"/>
    <w:basedOn w:val="Heading1"/>
    <w:next w:val="Normal"/>
    <w:uiPriority w:val="39"/>
    <w:semiHidden/>
    <w:unhideWhenUsed/>
    <w:qFormat/>
    <w:rsid w:val="00D03782"/>
    <w:pPr>
      <w:keepNext/>
      <w:keepLines/>
      <w:widowControl/>
      <w:numPr>
        <w:numId w:val="0"/>
      </w:numPr>
      <w:spacing w:before="480" w:after="0"/>
      <w:outlineLvl w:val="9"/>
    </w:pPr>
    <w:rPr>
      <w:rFonts w:asciiTheme="majorHAnsi"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B13BE0"/>
    <w:pPr>
      <w:tabs>
        <w:tab w:val="left" w:pos="709"/>
        <w:tab w:val="right" w:leader="dot" w:pos="9628"/>
      </w:tabs>
      <w:spacing w:after="100"/>
      <w:ind w:left="709" w:hanging="709"/>
    </w:pPr>
  </w:style>
  <w:style w:type="paragraph" w:styleId="TOC2">
    <w:name w:val="toc 2"/>
    <w:basedOn w:val="Normal"/>
    <w:next w:val="Normal"/>
    <w:autoRedefine/>
    <w:uiPriority w:val="39"/>
    <w:unhideWhenUsed/>
    <w:rsid w:val="00D03782"/>
    <w:pPr>
      <w:spacing w:after="100"/>
      <w:ind w:left="240"/>
    </w:pPr>
  </w:style>
  <w:style w:type="paragraph" w:styleId="TOC3">
    <w:name w:val="toc 3"/>
    <w:basedOn w:val="Normal"/>
    <w:next w:val="Normal"/>
    <w:autoRedefine/>
    <w:uiPriority w:val="39"/>
    <w:unhideWhenUsed/>
    <w:rsid w:val="00D03782"/>
    <w:pPr>
      <w:spacing w:after="100"/>
      <w:ind w:left="480"/>
    </w:pPr>
  </w:style>
  <w:style w:type="character" w:styleId="Hyperlink">
    <w:name w:val="Hyperlink"/>
    <w:basedOn w:val="DefaultParagraphFont"/>
    <w:uiPriority w:val="99"/>
    <w:unhideWhenUsed/>
    <w:rsid w:val="00D03782"/>
    <w:rPr>
      <w:color w:val="0000FF" w:themeColor="hyperlink"/>
      <w:u w:val="single"/>
    </w:rPr>
  </w:style>
  <w:style w:type="paragraph" w:customStyle="1" w:styleId="Style1">
    <w:name w:val="Style1"/>
    <w:basedOn w:val="Normal"/>
    <w:qFormat/>
    <w:rsid w:val="00CC1DC1"/>
    <w:pPr>
      <w:numPr>
        <w:numId w:val="12"/>
      </w:numPr>
      <w:spacing w:after="0"/>
      <w:ind w:left="1418" w:hanging="567"/>
    </w:pPr>
  </w:style>
  <w:style w:type="paragraph" w:customStyle="1" w:styleId="Style2">
    <w:name w:val="Style2"/>
    <w:basedOn w:val="Normal"/>
    <w:qFormat/>
    <w:rsid w:val="00CC1DC1"/>
    <w:pPr>
      <w:ind w:left="851"/>
    </w:pPr>
  </w:style>
  <w:style w:type="paragraph" w:styleId="BodyText">
    <w:name w:val="Body Text"/>
    <w:basedOn w:val="Normal"/>
    <w:link w:val="BodyTextChar"/>
    <w:uiPriority w:val="1"/>
    <w:qFormat/>
    <w:rsid w:val="002315A5"/>
    <w:pPr>
      <w:widowControl w:val="0"/>
      <w:autoSpaceDE w:val="0"/>
      <w:autoSpaceDN w:val="0"/>
      <w:spacing w:after="0" w:line="240" w:lineRule="auto"/>
      <w:ind w:left="0"/>
    </w:pPr>
    <w:rPr>
      <w:rFonts w:eastAsia="Arial"/>
      <w:bCs w:val="0"/>
      <w:lang w:val="en-US"/>
    </w:rPr>
  </w:style>
  <w:style w:type="character" w:customStyle="1" w:styleId="BodyTextChar">
    <w:name w:val="Body Text Char"/>
    <w:basedOn w:val="DefaultParagraphFont"/>
    <w:link w:val="BodyText"/>
    <w:uiPriority w:val="1"/>
    <w:rsid w:val="002315A5"/>
    <w:rPr>
      <w:rFonts w:ascii="Arial" w:eastAsia="Arial" w:hAnsi="Arial" w:cs="Arial"/>
      <w:sz w:val="24"/>
      <w:szCs w:val="24"/>
      <w:lang w:val="en-US"/>
    </w:rPr>
  </w:style>
  <w:style w:type="paragraph" w:customStyle="1" w:styleId="TableParagraph">
    <w:name w:val="Table Paragraph"/>
    <w:basedOn w:val="Normal"/>
    <w:uiPriority w:val="1"/>
    <w:qFormat/>
    <w:rsid w:val="002315A5"/>
    <w:pPr>
      <w:widowControl w:val="0"/>
      <w:autoSpaceDE w:val="0"/>
      <w:autoSpaceDN w:val="0"/>
      <w:spacing w:after="0" w:line="240" w:lineRule="auto"/>
      <w:ind w:left="103"/>
    </w:pPr>
    <w:rPr>
      <w:rFonts w:eastAsia="Arial"/>
      <w:bCs w:val="0"/>
      <w:sz w:val="22"/>
      <w:szCs w:val="22"/>
      <w:lang w:val="en-US"/>
    </w:rPr>
  </w:style>
  <w:style w:type="character" w:styleId="CommentReference">
    <w:name w:val="annotation reference"/>
    <w:basedOn w:val="DefaultParagraphFont"/>
    <w:uiPriority w:val="99"/>
    <w:semiHidden/>
    <w:unhideWhenUsed/>
    <w:rsid w:val="005A2C19"/>
    <w:rPr>
      <w:sz w:val="16"/>
      <w:szCs w:val="16"/>
    </w:rPr>
  </w:style>
  <w:style w:type="paragraph" w:styleId="CommentText">
    <w:name w:val="annotation text"/>
    <w:basedOn w:val="Normal"/>
    <w:link w:val="CommentTextChar"/>
    <w:uiPriority w:val="99"/>
    <w:semiHidden/>
    <w:unhideWhenUsed/>
    <w:rsid w:val="005A2C19"/>
    <w:pPr>
      <w:spacing w:line="240" w:lineRule="auto"/>
    </w:pPr>
    <w:rPr>
      <w:sz w:val="20"/>
      <w:szCs w:val="20"/>
    </w:rPr>
  </w:style>
  <w:style w:type="character" w:customStyle="1" w:styleId="CommentTextChar">
    <w:name w:val="Comment Text Char"/>
    <w:basedOn w:val="DefaultParagraphFont"/>
    <w:link w:val="CommentText"/>
    <w:uiPriority w:val="99"/>
    <w:semiHidden/>
    <w:rsid w:val="005A2C19"/>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5A2C19"/>
    <w:rPr>
      <w:b/>
    </w:rPr>
  </w:style>
  <w:style w:type="character" w:customStyle="1" w:styleId="CommentSubjectChar">
    <w:name w:val="Comment Subject Char"/>
    <w:basedOn w:val="CommentTextChar"/>
    <w:link w:val="CommentSubject"/>
    <w:uiPriority w:val="99"/>
    <w:semiHidden/>
    <w:rsid w:val="005A2C19"/>
    <w:rPr>
      <w:rFonts w:ascii="Arial" w:hAnsi="Arial" w:cs="Arial"/>
      <w:b/>
      <w:bCs/>
      <w:sz w:val="20"/>
      <w:szCs w:val="20"/>
    </w:rPr>
  </w:style>
  <w:style w:type="paragraph" w:styleId="Title">
    <w:name w:val="Title"/>
    <w:basedOn w:val="Normal"/>
    <w:next w:val="Normal"/>
    <w:link w:val="TitleChar"/>
    <w:uiPriority w:val="10"/>
    <w:qFormat/>
    <w:rsid w:val="00994F71"/>
    <w:pPr>
      <w:spacing w:before="840" w:after="360" w:line="240" w:lineRule="auto"/>
      <w:ind w:left="0"/>
    </w:pPr>
    <w:rPr>
      <w:rFonts w:eastAsia="Times New Roman"/>
      <w:b/>
      <w:bCs w:val="0"/>
      <w:sz w:val="44"/>
      <w:szCs w:val="36"/>
      <w:lang w:eastAsia="en-GB"/>
    </w:rPr>
  </w:style>
  <w:style w:type="character" w:customStyle="1" w:styleId="TitleChar">
    <w:name w:val="Title Char"/>
    <w:basedOn w:val="DefaultParagraphFont"/>
    <w:link w:val="Title"/>
    <w:uiPriority w:val="10"/>
    <w:rsid w:val="00994F71"/>
    <w:rPr>
      <w:rFonts w:ascii="Arial" w:eastAsia="Times New Roman" w:hAnsi="Arial" w:cs="Arial"/>
      <w:b/>
      <w:sz w:val="44"/>
      <w:szCs w:val="36"/>
      <w:lang w:eastAsia="en-GB"/>
    </w:rPr>
  </w:style>
  <w:style w:type="character" w:styleId="PlaceholderText">
    <w:name w:val="Placeholder Text"/>
    <w:basedOn w:val="DefaultParagraphFont"/>
    <w:uiPriority w:val="99"/>
    <w:semiHidden/>
    <w:rsid w:val="00994F71"/>
    <w:rPr>
      <w:color w:val="808080"/>
    </w:rPr>
  </w:style>
  <w:style w:type="paragraph" w:styleId="NoSpacing">
    <w:name w:val="No Spacing"/>
    <w:uiPriority w:val="1"/>
    <w:qFormat/>
    <w:rsid w:val="00994F71"/>
    <w:pPr>
      <w:spacing w:after="0" w:line="240" w:lineRule="auto"/>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989">
      <w:bodyDiv w:val="1"/>
      <w:marLeft w:val="0"/>
      <w:marRight w:val="0"/>
      <w:marTop w:val="0"/>
      <w:marBottom w:val="0"/>
      <w:divBdr>
        <w:top w:val="none" w:sz="0" w:space="0" w:color="auto"/>
        <w:left w:val="none" w:sz="0" w:space="0" w:color="auto"/>
        <w:bottom w:val="none" w:sz="0" w:space="0" w:color="auto"/>
        <w:right w:val="none" w:sz="0" w:space="0" w:color="auto"/>
      </w:divBdr>
    </w:div>
    <w:div w:id="50036422">
      <w:bodyDiv w:val="1"/>
      <w:marLeft w:val="0"/>
      <w:marRight w:val="0"/>
      <w:marTop w:val="0"/>
      <w:marBottom w:val="0"/>
      <w:divBdr>
        <w:top w:val="none" w:sz="0" w:space="0" w:color="auto"/>
        <w:left w:val="none" w:sz="0" w:space="0" w:color="auto"/>
        <w:bottom w:val="none" w:sz="0" w:space="0" w:color="auto"/>
        <w:right w:val="none" w:sz="0" w:space="0" w:color="auto"/>
      </w:divBdr>
    </w:div>
    <w:div w:id="51933535">
      <w:bodyDiv w:val="1"/>
      <w:marLeft w:val="0"/>
      <w:marRight w:val="0"/>
      <w:marTop w:val="0"/>
      <w:marBottom w:val="0"/>
      <w:divBdr>
        <w:top w:val="none" w:sz="0" w:space="0" w:color="auto"/>
        <w:left w:val="none" w:sz="0" w:space="0" w:color="auto"/>
        <w:bottom w:val="none" w:sz="0" w:space="0" w:color="auto"/>
        <w:right w:val="none" w:sz="0" w:space="0" w:color="auto"/>
      </w:divBdr>
    </w:div>
    <w:div w:id="87308881">
      <w:bodyDiv w:val="1"/>
      <w:marLeft w:val="0"/>
      <w:marRight w:val="0"/>
      <w:marTop w:val="0"/>
      <w:marBottom w:val="0"/>
      <w:divBdr>
        <w:top w:val="none" w:sz="0" w:space="0" w:color="auto"/>
        <w:left w:val="none" w:sz="0" w:space="0" w:color="auto"/>
        <w:bottom w:val="none" w:sz="0" w:space="0" w:color="auto"/>
        <w:right w:val="none" w:sz="0" w:space="0" w:color="auto"/>
      </w:divBdr>
    </w:div>
    <w:div w:id="117069335">
      <w:bodyDiv w:val="1"/>
      <w:marLeft w:val="0"/>
      <w:marRight w:val="0"/>
      <w:marTop w:val="0"/>
      <w:marBottom w:val="0"/>
      <w:divBdr>
        <w:top w:val="none" w:sz="0" w:space="0" w:color="auto"/>
        <w:left w:val="none" w:sz="0" w:space="0" w:color="auto"/>
        <w:bottom w:val="none" w:sz="0" w:space="0" w:color="auto"/>
        <w:right w:val="none" w:sz="0" w:space="0" w:color="auto"/>
      </w:divBdr>
    </w:div>
    <w:div w:id="126364859">
      <w:bodyDiv w:val="1"/>
      <w:marLeft w:val="0"/>
      <w:marRight w:val="0"/>
      <w:marTop w:val="0"/>
      <w:marBottom w:val="0"/>
      <w:divBdr>
        <w:top w:val="none" w:sz="0" w:space="0" w:color="auto"/>
        <w:left w:val="none" w:sz="0" w:space="0" w:color="auto"/>
        <w:bottom w:val="none" w:sz="0" w:space="0" w:color="auto"/>
        <w:right w:val="none" w:sz="0" w:space="0" w:color="auto"/>
      </w:divBdr>
    </w:div>
    <w:div w:id="270820588">
      <w:bodyDiv w:val="1"/>
      <w:marLeft w:val="0"/>
      <w:marRight w:val="0"/>
      <w:marTop w:val="0"/>
      <w:marBottom w:val="0"/>
      <w:divBdr>
        <w:top w:val="none" w:sz="0" w:space="0" w:color="auto"/>
        <w:left w:val="none" w:sz="0" w:space="0" w:color="auto"/>
        <w:bottom w:val="none" w:sz="0" w:space="0" w:color="auto"/>
        <w:right w:val="none" w:sz="0" w:space="0" w:color="auto"/>
      </w:divBdr>
    </w:div>
    <w:div w:id="288127723">
      <w:bodyDiv w:val="1"/>
      <w:marLeft w:val="0"/>
      <w:marRight w:val="0"/>
      <w:marTop w:val="0"/>
      <w:marBottom w:val="0"/>
      <w:divBdr>
        <w:top w:val="none" w:sz="0" w:space="0" w:color="auto"/>
        <w:left w:val="none" w:sz="0" w:space="0" w:color="auto"/>
        <w:bottom w:val="none" w:sz="0" w:space="0" w:color="auto"/>
        <w:right w:val="none" w:sz="0" w:space="0" w:color="auto"/>
      </w:divBdr>
    </w:div>
    <w:div w:id="288826116">
      <w:bodyDiv w:val="1"/>
      <w:marLeft w:val="0"/>
      <w:marRight w:val="0"/>
      <w:marTop w:val="0"/>
      <w:marBottom w:val="0"/>
      <w:divBdr>
        <w:top w:val="none" w:sz="0" w:space="0" w:color="auto"/>
        <w:left w:val="none" w:sz="0" w:space="0" w:color="auto"/>
        <w:bottom w:val="none" w:sz="0" w:space="0" w:color="auto"/>
        <w:right w:val="none" w:sz="0" w:space="0" w:color="auto"/>
      </w:divBdr>
    </w:div>
    <w:div w:id="290139060">
      <w:bodyDiv w:val="1"/>
      <w:marLeft w:val="0"/>
      <w:marRight w:val="0"/>
      <w:marTop w:val="0"/>
      <w:marBottom w:val="0"/>
      <w:divBdr>
        <w:top w:val="none" w:sz="0" w:space="0" w:color="auto"/>
        <w:left w:val="none" w:sz="0" w:space="0" w:color="auto"/>
        <w:bottom w:val="none" w:sz="0" w:space="0" w:color="auto"/>
        <w:right w:val="none" w:sz="0" w:space="0" w:color="auto"/>
      </w:divBdr>
    </w:div>
    <w:div w:id="317075847">
      <w:bodyDiv w:val="1"/>
      <w:marLeft w:val="0"/>
      <w:marRight w:val="0"/>
      <w:marTop w:val="0"/>
      <w:marBottom w:val="0"/>
      <w:divBdr>
        <w:top w:val="none" w:sz="0" w:space="0" w:color="auto"/>
        <w:left w:val="none" w:sz="0" w:space="0" w:color="auto"/>
        <w:bottom w:val="none" w:sz="0" w:space="0" w:color="auto"/>
        <w:right w:val="none" w:sz="0" w:space="0" w:color="auto"/>
      </w:divBdr>
    </w:div>
    <w:div w:id="330524818">
      <w:bodyDiv w:val="1"/>
      <w:marLeft w:val="0"/>
      <w:marRight w:val="0"/>
      <w:marTop w:val="0"/>
      <w:marBottom w:val="0"/>
      <w:divBdr>
        <w:top w:val="none" w:sz="0" w:space="0" w:color="auto"/>
        <w:left w:val="none" w:sz="0" w:space="0" w:color="auto"/>
        <w:bottom w:val="none" w:sz="0" w:space="0" w:color="auto"/>
        <w:right w:val="none" w:sz="0" w:space="0" w:color="auto"/>
      </w:divBdr>
    </w:div>
    <w:div w:id="382944624">
      <w:bodyDiv w:val="1"/>
      <w:marLeft w:val="0"/>
      <w:marRight w:val="0"/>
      <w:marTop w:val="0"/>
      <w:marBottom w:val="0"/>
      <w:divBdr>
        <w:top w:val="none" w:sz="0" w:space="0" w:color="auto"/>
        <w:left w:val="none" w:sz="0" w:space="0" w:color="auto"/>
        <w:bottom w:val="none" w:sz="0" w:space="0" w:color="auto"/>
        <w:right w:val="none" w:sz="0" w:space="0" w:color="auto"/>
      </w:divBdr>
    </w:div>
    <w:div w:id="487480672">
      <w:bodyDiv w:val="1"/>
      <w:marLeft w:val="0"/>
      <w:marRight w:val="0"/>
      <w:marTop w:val="0"/>
      <w:marBottom w:val="0"/>
      <w:divBdr>
        <w:top w:val="none" w:sz="0" w:space="0" w:color="auto"/>
        <w:left w:val="none" w:sz="0" w:space="0" w:color="auto"/>
        <w:bottom w:val="none" w:sz="0" w:space="0" w:color="auto"/>
        <w:right w:val="none" w:sz="0" w:space="0" w:color="auto"/>
      </w:divBdr>
    </w:div>
    <w:div w:id="540090351">
      <w:bodyDiv w:val="1"/>
      <w:marLeft w:val="0"/>
      <w:marRight w:val="0"/>
      <w:marTop w:val="0"/>
      <w:marBottom w:val="0"/>
      <w:divBdr>
        <w:top w:val="none" w:sz="0" w:space="0" w:color="auto"/>
        <w:left w:val="none" w:sz="0" w:space="0" w:color="auto"/>
        <w:bottom w:val="none" w:sz="0" w:space="0" w:color="auto"/>
        <w:right w:val="none" w:sz="0" w:space="0" w:color="auto"/>
      </w:divBdr>
    </w:div>
    <w:div w:id="713382016">
      <w:bodyDiv w:val="1"/>
      <w:marLeft w:val="0"/>
      <w:marRight w:val="0"/>
      <w:marTop w:val="0"/>
      <w:marBottom w:val="0"/>
      <w:divBdr>
        <w:top w:val="none" w:sz="0" w:space="0" w:color="auto"/>
        <w:left w:val="none" w:sz="0" w:space="0" w:color="auto"/>
        <w:bottom w:val="none" w:sz="0" w:space="0" w:color="auto"/>
        <w:right w:val="none" w:sz="0" w:space="0" w:color="auto"/>
      </w:divBdr>
    </w:div>
    <w:div w:id="756171647">
      <w:bodyDiv w:val="1"/>
      <w:marLeft w:val="0"/>
      <w:marRight w:val="0"/>
      <w:marTop w:val="0"/>
      <w:marBottom w:val="0"/>
      <w:divBdr>
        <w:top w:val="none" w:sz="0" w:space="0" w:color="auto"/>
        <w:left w:val="none" w:sz="0" w:space="0" w:color="auto"/>
        <w:bottom w:val="none" w:sz="0" w:space="0" w:color="auto"/>
        <w:right w:val="none" w:sz="0" w:space="0" w:color="auto"/>
      </w:divBdr>
    </w:div>
    <w:div w:id="759759787">
      <w:bodyDiv w:val="1"/>
      <w:marLeft w:val="0"/>
      <w:marRight w:val="0"/>
      <w:marTop w:val="0"/>
      <w:marBottom w:val="0"/>
      <w:divBdr>
        <w:top w:val="none" w:sz="0" w:space="0" w:color="auto"/>
        <w:left w:val="none" w:sz="0" w:space="0" w:color="auto"/>
        <w:bottom w:val="none" w:sz="0" w:space="0" w:color="auto"/>
        <w:right w:val="none" w:sz="0" w:space="0" w:color="auto"/>
      </w:divBdr>
    </w:div>
    <w:div w:id="840853634">
      <w:bodyDiv w:val="1"/>
      <w:marLeft w:val="0"/>
      <w:marRight w:val="0"/>
      <w:marTop w:val="0"/>
      <w:marBottom w:val="0"/>
      <w:divBdr>
        <w:top w:val="none" w:sz="0" w:space="0" w:color="auto"/>
        <w:left w:val="none" w:sz="0" w:space="0" w:color="auto"/>
        <w:bottom w:val="none" w:sz="0" w:space="0" w:color="auto"/>
        <w:right w:val="none" w:sz="0" w:space="0" w:color="auto"/>
      </w:divBdr>
    </w:div>
    <w:div w:id="852304746">
      <w:bodyDiv w:val="1"/>
      <w:marLeft w:val="0"/>
      <w:marRight w:val="0"/>
      <w:marTop w:val="0"/>
      <w:marBottom w:val="0"/>
      <w:divBdr>
        <w:top w:val="none" w:sz="0" w:space="0" w:color="auto"/>
        <w:left w:val="none" w:sz="0" w:space="0" w:color="auto"/>
        <w:bottom w:val="none" w:sz="0" w:space="0" w:color="auto"/>
        <w:right w:val="none" w:sz="0" w:space="0" w:color="auto"/>
      </w:divBdr>
    </w:div>
    <w:div w:id="856117387">
      <w:bodyDiv w:val="1"/>
      <w:marLeft w:val="0"/>
      <w:marRight w:val="0"/>
      <w:marTop w:val="0"/>
      <w:marBottom w:val="0"/>
      <w:divBdr>
        <w:top w:val="none" w:sz="0" w:space="0" w:color="auto"/>
        <w:left w:val="none" w:sz="0" w:space="0" w:color="auto"/>
        <w:bottom w:val="none" w:sz="0" w:space="0" w:color="auto"/>
        <w:right w:val="none" w:sz="0" w:space="0" w:color="auto"/>
      </w:divBdr>
    </w:div>
    <w:div w:id="878782960">
      <w:bodyDiv w:val="1"/>
      <w:marLeft w:val="0"/>
      <w:marRight w:val="0"/>
      <w:marTop w:val="0"/>
      <w:marBottom w:val="0"/>
      <w:divBdr>
        <w:top w:val="none" w:sz="0" w:space="0" w:color="auto"/>
        <w:left w:val="none" w:sz="0" w:space="0" w:color="auto"/>
        <w:bottom w:val="none" w:sz="0" w:space="0" w:color="auto"/>
        <w:right w:val="none" w:sz="0" w:space="0" w:color="auto"/>
      </w:divBdr>
    </w:div>
    <w:div w:id="882525360">
      <w:bodyDiv w:val="1"/>
      <w:marLeft w:val="0"/>
      <w:marRight w:val="0"/>
      <w:marTop w:val="0"/>
      <w:marBottom w:val="0"/>
      <w:divBdr>
        <w:top w:val="none" w:sz="0" w:space="0" w:color="auto"/>
        <w:left w:val="none" w:sz="0" w:space="0" w:color="auto"/>
        <w:bottom w:val="none" w:sz="0" w:space="0" w:color="auto"/>
        <w:right w:val="none" w:sz="0" w:space="0" w:color="auto"/>
      </w:divBdr>
    </w:div>
    <w:div w:id="928777120">
      <w:bodyDiv w:val="1"/>
      <w:marLeft w:val="0"/>
      <w:marRight w:val="0"/>
      <w:marTop w:val="0"/>
      <w:marBottom w:val="0"/>
      <w:divBdr>
        <w:top w:val="none" w:sz="0" w:space="0" w:color="auto"/>
        <w:left w:val="none" w:sz="0" w:space="0" w:color="auto"/>
        <w:bottom w:val="none" w:sz="0" w:space="0" w:color="auto"/>
        <w:right w:val="none" w:sz="0" w:space="0" w:color="auto"/>
      </w:divBdr>
    </w:div>
    <w:div w:id="953439282">
      <w:bodyDiv w:val="1"/>
      <w:marLeft w:val="0"/>
      <w:marRight w:val="0"/>
      <w:marTop w:val="0"/>
      <w:marBottom w:val="0"/>
      <w:divBdr>
        <w:top w:val="none" w:sz="0" w:space="0" w:color="auto"/>
        <w:left w:val="none" w:sz="0" w:space="0" w:color="auto"/>
        <w:bottom w:val="none" w:sz="0" w:space="0" w:color="auto"/>
        <w:right w:val="none" w:sz="0" w:space="0" w:color="auto"/>
      </w:divBdr>
    </w:div>
    <w:div w:id="993682327">
      <w:bodyDiv w:val="1"/>
      <w:marLeft w:val="0"/>
      <w:marRight w:val="0"/>
      <w:marTop w:val="0"/>
      <w:marBottom w:val="0"/>
      <w:divBdr>
        <w:top w:val="none" w:sz="0" w:space="0" w:color="auto"/>
        <w:left w:val="none" w:sz="0" w:space="0" w:color="auto"/>
        <w:bottom w:val="none" w:sz="0" w:space="0" w:color="auto"/>
        <w:right w:val="none" w:sz="0" w:space="0" w:color="auto"/>
      </w:divBdr>
    </w:div>
    <w:div w:id="1032614126">
      <w:bodyDiv w:val="1"/>
      <w:marLeft w:val="0"/>
      <w:marRight w:val="0"/>
      <w:marTop w:val="0"/>
      <w:marBottom w:val="0"/>
      <w:divBdr>
        <w:top w:val="none" w:sz="0" w:space="0" w:color="auto"/>
        <w:left w:val="none" w:sz="0" w:space="0" w:color="auto"/>
        <w:bottom w:val="none" w:sz="0" w:space="0" w:color="auto"/>
        <w:right w:val="none" w:sz="0" w:space="0" w:color="auto"/>
      </w:divBdr>
    </w:div>
    <w:div w:id="1040516638">
      <w:bodyDiv w:val="1"/>
      <w:marLeft w:val="0"/>
      <w:marRight w:val="0"/>
      <w:marTop w:val="0"/>
      <w:marBottom w:val="0"/>
      <w:divBdr>
        <w:top w:val="none" w:sz="0" w:space="0" w:color="auto"/>
        <w:left w:val="none" w:sz="0" w:space="0" w:color="auto"/>
        <w:bottom w:val="none" w:sz="0" w:space="0" w:color="auto"/>
        <w:right w:val="none" w:sz="0" w:space="0" w:color="auto"/>
      </w:divBdr>
    </w:div>
    <w:div w:id="1075587720">
      <w:bodyDiv w:val="1"/>
      <w:marLeft w:val="0"/>
      <w:marRight w:val="0"/>
      <w:marTop w:val="0"/>
      <w:marBottom w:val="0"/>
      <w:divBdr>
        <w:top w:val="none" w:sz="0" w:space="0" w:color="auto"/>
        <w:left w:val="none" w:sz="0" w:space="0" w:color="auto"/>
        <w:bottom w:val="none" w:sz="0" w:space="0" w:color="auto"/>
        <w:right w:val="none" w:sz="0" w:space="0" w:color="auto"/>
      </w:divBdr>
    </w:div>
    <w:div w:id="1079986763">
      <w:bodyDiv w:val="1"/>
      <w:marLeft w:val="0"/>
      <w:marRight w:val="0"/>
      <w:marTop w:val="0"/>
      <w:marBottom w:val="0"/>
      <w:divBdr>
        <w:top w:val="none" w:sz="0" w:space="0" w:color="auto"/>
        <w:left w:val="none" w:sz="0" w:space="0" w:color="auto"/>
        <w:bottom w:val="none" w:sz="0" w:space="0" w:color="auto"/>
        <w:right w:val="none" w:sz="0" w:space="0" w:color="auto"/>
      </w:divBdr>
    </w:div>
    <w:div w:id="1086538725">
      <w:bodyDiv w:val="1"/>
      <w:marLeft w:val="0"/>
      <w:marRight w:val="0"/>
      <w:marTop w:val="0"/>
      <w:marBottom w:val="0"/>
      <w:divBdr>
        <w:top w:val="none" w:sz="0" w:space="0" w:color="auto"/>
        <w:left w:val="none" w:sz="0" w:space="0" w:color="auto"/>
        <w:bottom w:val="none" w:sz="0" w:space="0" w:color="auto"/>
        <w:right w:val="none" w:sz="0" w:space="0" w:color="auto"/>
      </w:divBdr>
    </w:div>
    <w:div w:id="1101875051">
      <w:bodyDiv w:val="1"/>
      <w:marLeft w:val="0"/>
      <w:marRight w:val="0"/>
      <w:marTop w:val="0"/>
      <w:marBottom w:val="0"/>
      <w:divBdr>
        <w:top w:val="none" w:sz="0" w:space="0" w:color="auto"/>
        <w:left w:val="none" w:sz="0" w:space="0" w:color="auto"/>
        <w:bottom w:val="none" w:sz="0" w:space="0" w:color="auto"/>
        <w:right w:val="none" w:sz="0" w:space="0" w:color="auto"/>
      </w:divBdr>
    </w:div>
    <w:div w:id="1165586041">
      <w:bodyDiv w:val="1"/>
      <w:marLeft w:val="0"/>
      <w:marRight w:val="0"/>
      <w:marTop w:val="0"/>
      <w:marBottom w:val="0"/>
      <w:divBdr>
        <w:top w:val="none" w:sz="0" w:space="0" w:color="auto"/>
        <w:left w:val="none" w:sz="0" w:space="0" w:color="auto"/>
        <w:bottom w:val="none" w:sz="0" w:space="0" w:color="auto"/>
        <w:right w:val="none" w:sz="0" w:space="0" w:color="auto"/>
      </w:divBdr>
    </w:div>
    <w:div w:id="1170174472">
      <w:bodyDiv w:val="1"/>
      <w:marLeft w:val="0"/>
      <w:marRight w:val="0"/>
      <w:marTop w:val="0"/>
      <w:marBottom w:val="0"/>
      <w:divBdr>
        <w:top w:val="none" w:sz="0" w:space="0" w:color="auto"/>
        <w:left w:val="none" w:sz="0" w:space="0" w:color="auto"/>
        <w:bottom w:val="none" w:sz="0" w:space="0" w:color="auto"/>
        <w:right w:val="none" w:sz="0" w:space="0" w:color="auto"/>
      </w:divBdr>
    </w:div>
    <w:div w:id="1184592725">
      <w:bodyDiv w:val="1"/>
      <w:marLeft w:val="0"/>
      <w:marRight w:val="0"/>
      <w:marTop w:val="0"/>
      <w:marBottom w:val="0"/>
      <w:divBdr>
        <w:top w:val="none" w:sz="0" w:space="0" w:color="auto"/>
        <w:left w:val="none" w:sz="0" w:space="0" w:color="auto"/>
        <w:bottom w:val="none" w:sz="0" w:space="0" w:color="auto"/>
        <w:right w:val="none" w:sz="0" w:space="0" w:color="auto"/>
      </w:divBdr>
    </w:div>
    <w:div w:id="1216433986">
      <w:bodyDiv w:val="1"/>
      <w:marLeft w:val="0"/>
      <w:marRight w:val="0"/>
      <w:marTop w:val="0"/>
      <w:marBottom w:val="0"/>
      <w:divBdr>
        <w:top w:val="none" w:sz="0" w:space="0" w:color="auto"/>
        <w:left w:val="none" w:sz="0" w:space="0" w:color="auto"/>
        <w:bottom w:val="none" w:sz="0" w:space="0" w:color="auto"/>
        <w:right w:val="none" w:sz="0" w:space="0" w:color="auto"/>
      </w:divBdr>
    </w:div>
    <w:div w:id="1276252798">
      <w:bodyDiv w:val="1"/>
      <w:marLeft w:val="0"/>
      <w:marRight w:val="0"/>
      <w:marTop w:val="0"/>
      <w:marBottom w:val="0"/>
      <w:divBdr>
        <w:top w:val="none" w:sz="0" w:space="0" w:color="auto"/>
        <w:left w:val="none" w:sz="0" w:space="0" w:color="auto"/>
        <w:bottom w:val="none" w:sz="0" w:space="0" w:color="auto"/>
        <w:right w:val="none" w:sz="0" w:space="0" w:color="auto"/>
      </w:divBdr>
    </w:div>
    <w:div w:id="1327512616">
      <w:bodyDiv w:val="1"/>
      <w:marLeft w:val="0"/>
      <w:marRight w:val="0"/>
      <w:marTop w:val="0"/>
      <w:marBottom w:val="0"/>
      <w:divBdr>
        <w:top w:val="none" w:sz="0" w:space="0" w:color="auto"/>
        <w:left w:val="none" w:sz="0" w:space="0" w:color="auto"/>
        <w:bottom w:val="none" w:sz="0" w:space="0" w:color="auto"/>
        <w:right w:val="none" w:sz="0" w:space="0" w:color="auto"/>
      </w:divBdr>
    </w:div>
    <w:div w:id="1332098437">
      <w:bodyDiv w:val="1"/>
      <w:marLeft w:val="0"/>
      <w:marRight w:val="0"/>
      <w:marTop w:val="0"/>
      <w:marBottom w:val="0"/>
      <w:divBdr>
        <w:top w:val="none" w:sz="0" w:space="0" w:color="auto"/>
        <w:left w:val="none" w:sz="0" w:space="0" w:color="auto"/>
        <w:bottom w:val="none" w:sz="0" w:space="0" w:color="auto"/>
        <w:right w:val="none" w:sz="0" w:space="0" w:color="auto"/>
      </w:divBdr>
    </w:div>
    <w:div w:id="1339776237">
      <w:bodyDiv w:val="1"/>
      <w:marLeft w:val="0"/>
      <w:marRight w:val="0"/>
      <w:marTop w:val="0"/>
      <w:marBottom w:val="0"/>
      <w:divBdr>
        <w:top w:val="none" w:sz="0" w:space="0" w:color="auto"/>
        <w:left w:val="none" w:sz="0" w:space="0" w:color="auto"/>
        <w:bottom w:val="none" w:sz="0" w:space="0" w:color="auto"/>
        <w:right w:val="none" w:sz="0" w:space="0" w:color="auto"/>
      </w:divBdr>
    </w:div>
    <w:div w:id="1355571058">
      <w:bodyDiv w:val="1"/>
      <w:marLeft w:val="0"/>
      <w:marRight w:val="0"/>
      <w:marTop w:val="0"/>
      <w:marBottom w:val="0"/>
      <w:divBdr>
        <w:top w:val="none" w:sz="0" w:space="0" w:color="auto"/>
        <w:left w:val="none" w:sz="0" w:space="0" w:color="auto"/>
        <w:bottom w:val="none" w:sz="0" w:space="0" w:color="auto"/>
        <w:right w:val="none" w:sz="0" w:space="0" w:color="auto"/>
      </w:divBdr>
    </w:div>
    <w:div w:id="1358040251">
      <w:bodyDiv w:val="1"/>
      <w:marLeft w:val="0"/>
      <w:marRight w:val="0"/>
      <w:marTop w:val="0"/>
      <w:marBottom w:val="0"/>
      <w:divBdr>
        <w:top w:val="none" w:sz="0" w:space="0" w:color="auto"/>
        <w:left w:val="none" w:sz="0" w:space="0" w:color="auto"/>
        <w:bottom w:val="none" w:sz="0" w:space="0" w:color="auto"/>
        <w:right w:val="none" w:sz="0" w:space="0" w:color="auto"/>
      </w:divBdr>
    </w:div>
    <w:div w:id="1421213992">
      <w:bodyDiv w:val="1"/>
      <w:marLeft w:val="0"/>
      <w:marRight w:val="0"/>
      <w:marTop w:val="0"/>
      <w:marBottom w:val="0"/>
      <w:divBdr>
        <w:top w:val="none" w:sz="0" w:space="0" w:color="auto"/>
        <w:left w:val="none" w:sz="0" w:space="0" w:color="auto"/>
        <w:bottom w:val="none" w:sz="0" w:space="0" w:color="auto"/>
        <w:right w:val="none" w:sz="0" w:space="0" w:color="auto"/>
      </w:divBdr>
    </w:div>
    <w:div w:id="1439132598">
      <w:bodyDiv w:val="1"/>
      <w:marLeft w:val="0"/>
      <w:marRight w:val="0"/>
      <w:marTop w:val="0"/>
      <w:marBottom w:val="0"/>
      <w:divBdr>
        <w:top w:val="none" w:sz="0" w:space="0" w:color="auto"/>
        <w:left w:val="none" w:sz="0" w:space="0" w:color="auto"/>
        <w:bottom w:val="none" w:sz="0" w:space="0" w:color="auto"/>
        <w:right w:val="none" w:sz="0" w:space="0" w:color="auto"/>
      </w:divBdr>
    </w:div>
    <w:div w:id="1443496440">
      <w:bodyDiv w:val="1"/>
      <w:marLeft w:val="0"/>
      <w:marRight w:val="0"/>
      <w:marTop w:val="0"/>
      <w:marBottom w:val="0"/>
      <w:divBdr>
        <w:top w:val="none" w:sz="0" w:space="0" w:color="auto"/>
        <w:left w:val="none" w:sz="0" w:space="0" w:color="auto"/>
        <w:bottom w:val="none" w:sz="0" w:space="0" w:color="auto"/>
        <w:right w:val="none" w:sz="0" w:space="0" w:color="auto"/>
      </w:divBdr>
    </w:div>
    <w:div w:id="1471823445">
      <w:bodyDiv w:val="1"/>
      <w:marLeft w:val="0"/>
      <w:marRight w:val="0"/>
      <w:marTop w:val="0"/>
      <w:marBottom w:val="0"/>
      <w:divBdr>
        <w:top w:val="none" w:sz="0" w:space="0" w:color="auto"/>
        <w:left w:val="none" w:sz="0" w:space="0" w:color="auto"/>
        <w:bottom w:val="none" w:sz="0" w:space="0" w:color="auto"/>
        <w:right w:val="none" w:sz="0" w:space="0" w:color="auto"/>
      </w:divBdr>
    </w:div>
    <w:div w:id="1481918201">
      <w:bodyDiv w:val="1"/>
      <w:marLeft w:val="0"/>
      <w:marRight w:val="0"/>
      <w:marTop w:val="0"/>
      <w:marBottom w:val="0"/>
      <w:divBdr>
        <w:top w:val="none" w:sz="0" w:space="0" w:color="auto"/>
        <w:left w:val="none" w:sz="0" w:space="0" w:color="auto"/>
        <w:bottom w:val="none" w:sz="0" w:space="0" w:color="auto"/>
        <w:right w:val="none" w:sz="0" w:space="0" w:color="auto"/>
      </w:divBdr>
    </w:div>
    <w:div w:id="1531141283">
      <w:bodyDiv w:val="1"/>
      <w:marLeft w:val="0"/>
      <w:marRight w:val="0"/>
      <w:marTop w:val="0"/>
      <w:marBottom w:val="0"/>
      <w:divBdr>
        <w:top w:val="none" w:sz="0" w:space="0" w:color="auto"/>
        <w:left w:val="none" w:sz="0" w:space="0" w:color="auto"/>
        <w:bottom w:val="none" w:sz="0" w:space="0" w:color="auto"/>
        <w:right w:val="none" w:sz="0" w:space="0" w:color="auto"/>
      </w:divBdr>
    </w:div>
    <w:div w:id="1596786850">
      <w:bodyDiv w:val="1"/>
      <w:marLeft w:val="0"/>
      <w:marRight w:val="0"/>
      <w:marTop w:val="0"/>
      <w:marBottom w:val="0"/>
      <w:divBdr>
        <w:top w:val="none" w:sz="0" w:space="0" w:color="auto"/>
        <w:left w:val="none" w:sz="0" w:space="0" w:color="auto"/>
        <w:bottom w:val="none" w:sz="0" w:space="0" w:color="auto"/>
        <w:right w:val="none" w:sz="0" w:space="0" w:color="auto"/>
      </w:divBdr>
    </w:div>
    <w:div w:id="1606958277">
      <w:bodyDiv w:val="1"/>
      <w:marLeft w:val="0"/>
      <w:marRight w:val="0"/>
      <w:marTop w:val="0"/>
      <w:marBottom w:val="0"/>
      <w:divBdr>
        <w:top w:val="none" w:sz="0" w:space="0" w:color="auto"/>
        <w:left w:val="none" w:sz="0" w:space="0" w:color="auto"/>
        <w:bottom w:val="none" w:sz="0" w:space="0" w:color="auto"/>
        <w:right w:val="none" w:sz="0" w:space="0" w:color="auto"/>
      </w:divBdr>
    </w:div>
    <w:div w:id="1734691758">
      <w:bodyDiv w:val="1"/>
      <w:marLeft w:val="0"/>
      <w:marRight w:val="0"/>
      <w:marTop w:val="0"/>
      <w:marBottom w:val="0"/>
      <w:divBdr>
        <w:top w:val="none" w:sz="0" w:space="0" w:color="auto"/>
        <w:left w:val="none" w:sz="0" w:space="0" w:color="auto"/>
        <w:bottom w:val="none" w:sz="0" w:space="0" w:color="auto"/>
        <w:right w:val="none" w:sz="0" w:space="0" w:color="auto"/>
      </w:divBdr>
    </w:div>
    <w:div w:id="1819296985">
      <w:bodyDiv w:val="1"/>
      <w:marLeft w:val="0"/>
      <w:marRight w:val="0"/>
      <w:marTop w:val="0"/>
      <w:marBottom w:val="0"/>
      <w:divBdr>
        <w:top w:val="none" w:sz="0" w:space="0" w:color="auto"/>
        <w:left w:val="none" w:sz="0" w:space="0" w:color="auto"/>
        <w:bottom w:val="none" w:sz="0" w:space="0" w:color="auto"/>
        <w:right w:val="none" w:sz="0" w:space="0" w:color="auto"/>
      </w:divBdr>
    </w:div>
    <w:div w:id="1900047938">
      <w:bodyDiv w:val="1"/>
      <w:marLeft w:val="0"/>
      <w:marRight w:val="0"/>
      <w:marTop w:val="0"/>
      <w:marBottom w:val="0"/>
      <w:divBdr>
        <w:top w:val="none" w:sz="0" w:space="0" w:color="auto"/>
        <w:left w:val="none" w:sz="0" w:space="0" w:color="auto"/>
        <w:bottom w:val="none" w:sz="0" w:space="0" w:color="auto"/>
        <w:right w:val="none" w:sz="0" w:space="0" w:color="auto"/>
      </w:divBdr>
    </w:div>
    <w:div w:id="1998066616">
      <w:bodyDiv w:val="1"/>
      <w:marLeft w:val="0"/>
      <w:marRight w:val="0"/>
      <w:marTop w:val="0"/>
      <w:marBottom w:val="0"/>
      <w:divBdr>
        <w:top w:val="none" w:sz="0" w:space="0" w:color="auto"/>
        <w:left w:val="none" w:sz="0" w:space="0" w:color="auto"/>
        <w:bottom w:val="none" w:sz="0" w:space="0" w:color="auto"/>
        <w:right w:val="none" w:sz="0" w:space="0" w:color="auto"/>
      </w:divBdr>
    </w:div>
    <w:div w:id="2070152752">
      <w:bodyDiv w:val="1"/>
      <w:marLeft w:val="0"/>
      <w:marRight w:val="0"/>
      <w:marTop w:val="0"/>
      <w:marBottom w:val="0"/>
      <w:divBdr>
        <w:top w:val="none" w:sz="0" w:space="0" w:color="auto"/>
        <w:left w:val="none" w:sz="0" w:space="0" w:color="auto"/>
        <w:bottom w:val="none" w:sz="0" w:space="0" w:color="auto"/>
        <w:right w:val="none" w:sz="0" w:space="0" w:color="auto"/>
      </w:divBdr>
    </w:div>
    <w:div w:id="2083718386">
      <w:bodyDiv w:val="1"/>
      <w:marLeft w:val="0"/>
      <w:marRight w:val="0"/>
      <w:marTop w:val="0"/>
      <w:marBottom w:val="0"/>
      <w:divBdr>
        <w:top w:val="none" w:sz="0" w:space="0" w:color="auto"/>
        <w:left w:val="none" w:sz="0" w:space="0" w:color="auto"/>
        <w:bottom w:val="none" w:sz="0" w:space="0" w:color="auto"/>
        <w:right w:val="none" w:sz="0" w:space="0" w:color="auto"/>
      </w:divBdr>
    </w:div>
    <w:div w:id="2119640029">
      <w:bodyDiv w:val="1"/>
      <w:marLeft w:val="0"/>
      <w:marRight w:val="0"/>
      <w:marTop w:val="0"/>
      <w:marBottom w:val="0"/>
      <w:divBdr>
        <w:top w:val="none" w:sz="0" w:space="0" w:color="auto"/>
        <w:left w:val="none" w:sz="0" w:space="0" w:color="auto"/>
        <w:bottom w:val="none" w:sz="0" w:space="0" w:color="auto"/>
        <w:right w:val="none" w:sz="0" w:space="0" w:color="auto"/>
      </w:divBdr>
    </w:div>
    <w:div w:id="2143377894">
      <w:bodyDiv w:val="1"/>
      <w:marLeft w:val="0"/>
      <w:marRight w:val="0"/>
      <w:marTop w:val="0"/>
      <w:marBottom w:val="0"/>
      <w:divBdr>
        <w:top w:val="none" w:sz="0" w:space="0" w:color="auto"/>
        <w:left w:val="none" w:sz="0" w:space="0" w:color="auto"/>
        <w:bottom w:val="none" w:sz="0" w:space="0" w:color="auto"/>
        <w:right w:val="none" w:sz="0" w:space="0" w:color="auto"/>
      </w:divBdr>
    </w:div>
    <w:div w:id="21458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share.ad.ekhuft.nhs.uk\share\Equality\Staff\WRES\2020%20WRES\WRES%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Non-Clinical Staff - BME Workforce </a:t>
            </a:r>
            <a:endParaRPr lang="en-GB">
              <a:effectLst/>
            </a:endParaRPr>
          </a:p>
        </c:rich>
      </c:tx>
      <c:overlay val="0"/>
    </c:title>
    <c:autoTitleDeleted val="0"/>
    <c:plotArea>
      <c:layout>
        <c:manualLayout>
          <c:layoutTarget val="inner"/>
          <c:xMode val="edge"/>
          <c:yMode val="edge"/>
          <c:x val="9.3085739282589675E-2"/>
          <c:y val="5.6286538327195795E-2"/>
          <c:w val="0.88191426071741019"/>
          <c:h val="0.64403093229582509"/>
        </c:manualLayout>
      </c:layout>
      <c:barChart>
        <c:barDir val="col"/>
        <c:grouping val="clustered"/>
        <c:varyColors val="0"/>
        <c:ser>
          <c:idx val="0"/>
          <c:order val="0"/>
          <c:tx>
            <c:strRef>
              <c:f>'[WRES 2020.xlsx]Indicator 1'!$F$45</c:f>
              <c:strCache>
                <c:ptCount val="1"/>
                <c:pt idx="0">
                  <c:v>% of BAME Staff</c:v>
                </c:pt>
              </c:strCache>
            </c:strRef>
          </c:tx>
          <c:invertIfNegative val="0"/>
          <c:cat>
            <c:strRef>
              <c:f>'[WRES 2020.xlsx]Indicator 1'!$A$46:$A$59</c:f>
              <c:strCache>
                <c:ptCount val="14"/>
                <c:pt idx="0">
                  <c:v>Apprentice</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Exec Director </c:v>
                </c:pt>
                <c:pt idx="13">
                  <c:v>VSM</c:v>
                </c:pt>
              </c:strCache>
            </c:strRef>
          </c:cat>
          <c:val>
            <c:numRef>
              <c:f>'[WRES 2020.xlsx]Indicator 1'!$F$46:$F$59</c:f>
              <c:numCache>
                <c:formatCode>General</c:formatCode>
                <c:ptCount val="14"/>
                <c:pt idx="0">
                  <c:v>0</c:v>
                </c:pt>
                <c:pt idx="1">
                  <c:v>0</c:v>
                </c:pt>
                <c:pt idx="2">
                  <c:v>4.1733547351524881E-2</c:v>
                </c:pt>
                <c:pt idx="3">
                  <c:v>3.9175257731958762E-2</c:v>
                </c:pt>
                <c:pt idx="4">
                  <c:v>4.1533546325878593E-2</c:v>
                </c:pt>
                <c:pt idx="5">
                  <c:v>7.407407407407407E-2</c:v>
                </c:pt>
                <c:pt idx="6">
                  <c:v>3.2000000000000001E-2</c:v>
                </c:pt>
                <c:pt idx="7">
                  <c:v>3.1914893617021274E-2</c:v>
                </c:pt>
                <c:pt idx="8">
                  <c:v>2.9850746268656716E-2</c:v>
                </c:pt>
                <c:pt idx="9">
                  <c:v>3.7735849056603772E-2</c:v>
                </c:pt>
                <c:pt idx="10">
                  <c:v>0.14285714285714285</c:v>
                </c:pt>
                <c:pt idx="11">
                  <c:v>0</c:v>
                </c:pt>
                <c:pt idx="12">
                  <c:v>0</c:v>
                </c:pt>
                <c:pt idx="13">
                  <c:v>0.1111111111111111</c:v>
                </c:pt>
              </c:numCache>
            </c:numRef>
          </c:val>
          <c:extLst>
            <c:ext xmlns:c16="http://schemas.microsoft.com/office/drawing/2014/chart" uri="{C3380CC4-5D6E-409C-BE32-E72D297353CC}">
              <c16:uniqueId val="{00000000-6887-433B-8BBE-120887C33D7C}"/>
            </c:ext>
          </c:extLst>
        </c:ser>
        <c:dLbls>
          <c:showLegendKey val="0"/>
          <c:showVal val="0"/>
          <c:showCatName val="0"/>
          <c:showSerName val="0"/>
          <c:showPercent val="0"/>
          <c:showBubbleSize val="0"/>
        </c:dLbls>
        <c:gapWidth val="150"/>
        <c:axId val="179532160"/>
        <c:axId val="179534464"/>
      </c:barChart>
      <c:lineChart>
        <c:grouping val="standard"/>
        <c:varyColors val="0"/>
        <c:ser>
          <c:idx val="1"/>
          <c:order val="1"/>
          <c:tx>
            <c:strRef>
              <c:f>'[WRES 2020.xlsx]Indicator 1'!$G$45</c:f>
              <c:strCache>
                <c:ptCount val="1"/>
                <c:pt idx="0">
                  <c:v>Average
BAME Staff % </c:v>
                </c:pt>
              </c:strCache>
            </c:strRef>
          </c:tx>
          <c:marker>
            <c:symbol val="none"/>
          </c:marker>
          <c:cat>
            <c:strRef>
              <c:f>'[WRES 2020.xlsx]Indicator 1'!$A$46:$A$59</c:f>
              <c:strCache>
                <c:ptCount val="14"/>
                <c:pt idx="0">
                  <c:v>Apprentice</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Exec Director </c:v>
                </c:pt>
                <c:pt idx="13">
                  <c:v>VSM</c:v>
                </c:pt>
              </c:strCache>
            </c:strRef>
          </c:cat>
          <c:val>
            <c:numRef>
              <c:f>'[WRES 2020.xlsx]Indicator 1'!$G$46:$G$59</c:f>
              <c:numCache>
                <c:formatCode>0.00%</c:formatCode>
                <c:ptCount val="14"/>
                <c:pt idx="0">
                  <c:v>4.2488619119878605E-2</c:v>
                </c:pt>
                <c:pt idx="1">
                  <c:v>4.2488619119878605E-2</c:v>
                </c:pt>
                <c:pt idx="2">
                  <c:v>4.2488619119878605E-2</c:v>
                </c:pt>
                <c:pt idx="3">
                  <c:v>4.2488619119878605E-2</c:v>
                </c:pt>
                <c:pt idx="4">
                  <c:v>4.2488619119878605E-2</c:v>
                </c:pt>
                <c:pt idx="5">
                  <c:v>4.2488619119878605E-2</c:v>
                </c:pt>
                <c:pt idx="6">
                  <c:v>4.2488619119878605E-2</c:v>
                </c:pt>
                <c:pt idx="7">
                  <c:v>4.2488619119878605E-2</c:v>
                </c:pt>
                <c:pt idx="8">
                  <c:v>4.2488619119878605E-2</c:v>
                </c:pt>
                <c:pt idx="9">
                  <c:v>4.2488619119878605E-2</c:v>
                </c:pt>
                <c:pt idx="10">
                  <c:v>4.2488619119878605E-2</c:v>
                </c:pt>
                <c:pt idx="11">
                  <c:v>4.2488619119878605E-2</c:v>
                </c:pt>
                <c:pt idx="12">
                  <c:v>4.2488619119878605E-2</c:v>
                </c:pt>
                <c:pt idx="13">
                  <c:v>4.2488619119878605E-2</c:v>
                </c:pt>
              </c:numCache>
            </c:numRef>
          </c:val>
          <c:smooth val="0"/>
          <c:extLst>
            <c:ext xmlns:c16="http://schemas.microsoft.com/office/drawing/2014/chart" uri="{C3380CC4-5D6E-409C-BE32-E72D297353CC}">
              <c16:uniqueId val="{00000001-6887-433B-8BBE-120887C33D7C}"/>
            </c:ext>
          </c:extLst>
        </c:ser>
        <c:dLbls>
          <c:showLegendKey val="0"/>
          <c:showVal val="0"/>
          <c:showCatName val="0"/>
          <c:showSerName val="0"/>
          <c:showPercent val="0"/>
          <c:showBubbleSize val="0"/>
        </c:dLbls>
        <c:marker val="1"/>
        <c:smooth val="0"/>
        <c:axId val="179532160"/>
        <c:axId val="179534464"/>
      </c:lineChart>
      <c:catAx>
        <c:axId val="179532160"/>
        <c:scaling>
          <c:orientation val="minMax"/>
        </c:scaling>
        <c:delete val="0"/>
        <c:axPos val="b"/>
        <c:numFmt formatCode="General" sourceLinked="0"/>
        <c:majorTickMark val="out"/>
        <c:minorTickMark val="none"/>
        <c:tickLblPos val="nextTo"/>
        <c:crossAx val="179534464"/>
        <c:crosses val="autoZero"/>
        <c:auto val="1"/>
        <c:lblAlgn val="ctr"/>
        <c:lblOffset val="100"/>
        <c:noMultiLvlLbl val="0"/>
      </c:catAx>
      <c:valAx>
        <c:axId val="179534464"/>
        <c:scaling>
          <c:orientation val="minMax"/>
        </c:scaling>
        <c:delete val="0"/>
        <c:axPos val="l"/>
        <c:majorGridlines/>
        <c:numFmt formatCode="General" sourceLinked="1"/>
        <c:majorTickMark val="out"/>
        <c:minorTickMark val="none"/>
        <c:tickLblPos val="nextTo"/>
        <c:crossAx val="179532160"/>
        <c:crosses val="autoZero"/>
        <c:crossBetween val="between"/>
      </c:valAx>
    </c:plotArea>
    <c:legend>
      <c:legendPos val="l"/>
      <c:layout>
        <c:manualLayout>
          <c:xMode val="edge"/>
          <c:yMode val="edge"/>
          <c:x val="0.14722222222222223"/>
          <c:y val="0.18144897402317833"/>
          <c:w val="0.20866261075735354"/>
          <c:h val="0.10498483538217732"/>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b="1" i="0" baseline="0">
                <a:effectLst/>
                <a:latin typeface="Arial" panose="020B0604020202020204" pitchFamily="34" charset="0"/>
                <a:cs typeface="Arial" panose="020B0604020202020204" pitchFamily="34" charset="0"/>
              </a:rPr>
              <a:t>Discrimination at work from Manager/team leader or other colleague</a:t>
            </a:r>
            <a:endParaRPr lang="en-GB" sz="1100">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1988407699037624E-2"/>
          <c:y val="0.15566686108680861"/>
          <c:w val="0.87026006124234456"/>
          <c:h val="0.61634684553319719"/>
        </c:manualLayout>
      </c:layout>
      <c:lineChart>
        <c:grouping val="standard"/>
        <c:varyColors val="0"/>
        <c:ser>
          <c:idx val="0"/>
          <c:order val="0"/>
          <c:tx>
            <c:strRef>
              <c:f>'[WRES 2020.xlsx]Indicator 8'!$A$7</c:f>
              <c:strCache>
                <c:ptCount val="1"/>
                <c:pt idx="0">
                  <c:v>White EKHUFT</c:v>
                </c:pt>
              </c:strCache>
            </c:strRef>
          </c:tx>
          <c:spPr>
            <a:ln w="63500"/>
          </c:spPr>
          <c:marker>
            <c:symbol val="none"/>
          </c:marker>
          <c:cat>
            <c:numRef>
              <c:f>'[WRES 2020.xlsx]Indicator 8'!$B$6:$D$6</c:f>
              <c:numCache>
                <c:formatCode>General</c:formatCode>
                <c:ptCount val="3"/>
                <c:pt idx="0">
                  <c:v>2018</c:v>
                </c:pt>
                <c:pt idx="1">
                  <c:v>2019</c:v>
                </c:pt>
                <c:pt idx="2">
                  <c:v>2020</c:v>
                </c:pt>
              </c:numCache>
            </c:numRef>
          </c:cat>
          <c:val>
            <c:numRef>
              <c:f>'[WRES 2020.xlsx]Indicator 8'!$B$7:$D$7</c:f>
              <c:numCache>
                <c:formatCode>General</c:formatCode>
                <c:ptCount val="3"/>
                <c:pt idx="0">
                  <c:v>8.6</c:v>
                </c:pt>
                <c:pt idx="1">
                  <c:v>8.6999999999999993</c:v>
                </c:pt>
                <c:pt idx="2">
                  <c:v>7.5</c:v>
                </c:pt>
              </c:numCache>
            </c:numRef>
          </c:val>
          <c:smooth val="0"/>
          <c:extLst>
            <c:ext xmlns:c16="http://schemas.microsoft.com/office/drawing/2014/chart" uri="{C3380CC4-5D6E-409C-BE32-E72D297353CC}">
              <c16:uniqueId val="{00000000-9141-4676-BDB9-022D40289F53}"/>
            </c:ext>
          </c:extLst>
        </c:ser>
        <c:ser>
          <c:idx val="1"/>
          <c:order val="1"/>
          <c:tx>
            <c:strRef>
              <c:f>'[WRES 2020.xlsx]Indicator 8'!$A$8</c:f>
              <c:strCache>
                <c:ptCount val="1"/>
                <c:pt idx="0">
                  <c:v>BAME EKHUFT</c:v>
                </c:pt>
              </c:strCache>
            </c:strRef>
          </c:tx>
          <c:spPr>
            <a:ln w="63500">
              <a:solidFill>
                <a:schemeClr val="accent1">
                  <a:shade val="95000"/>
                  <a:satMod val="105000"/>
                </a:schemeClr>
              </a:solidFill>
              <a:prstDash val="sysDash"/>
            </a:ln>
          </c:spPr>
          <c:marker>
            <c:symbol val="none"/>
          </c:marker>
          <c:cat>
            <c:numRef>
              <c:f>'[WRES 2020.xlsx]Indicator 8'!$B$6:$D$6</c:f>
              <c:numCache>
                <c:formatCode>General</c:formatCode>
                <c:ptCount val="3"/>
                <c:pt idx="0">
                  <c:v>2018</c:v>
                </c:pt>
                <c:pt idx="1">
                  <c:v>2019</c:v>
                </c:pt>
                <c:pt idx="2">
                  <c:v>2020</c:v>
                </c:pt>
              </c:numCache>
            </c:numRef>
          </c:cat>
          <c:val>
            <c:numRef>
              <c:f>'[WRES 2020.xlsx]Indicator 8'!$B$8:$D$8</c:f>
              <c:numCache>
                <c:formatCode>General</c:formatCode>
                <c:ptCount val="3"/>
                <c:pt idx="0">
                  <c:v>17.3</c:v>
                </c:pt>
                <c:pt idx="1">
                  <c:v>19.8</c:v>
                </c:pt>
                <c:pt idx="2">
                  <c:v>17.2</c:v>
                </c:pt>
              </c:numCache>
            </c:numRef>
          </c:val>
          <c:smooth val="0"/>
          <c:extLst>
            <c:ext xmlns:c16="http://schemas.microsoft.com/office/drawing/2014/chart" uri="{C3380CC4-5D6E-409C-BE32-E72D297353CC}">
              <c16:uniqueId val="{00000001-9141-4676-BDB9-022D40289F53}"/>
            </c:ext>
          </c:extLst>
        </c:ser>
        <c:ser>
          <c:idx val="2"/>
          <c:order val="2"/>
          <c:tx>
            <c:strRef>
              <c:f>'[WRES 2020.xlsx]Indicator 8'!$A$9</c:f>
              <c:strCache>
                <c:ptCount val="1"/>
                <c:pt idx="0">
                  <c:v>White: Average Acute</c:v>
                </c:pt>
              </c:strCache>
            </c:strRef>
          </c:tx>
          <c:spPr>
            <a:ln w="63500">
              <a:solidFill>
                <a:schemeClr val="accent4"/>
              </a:solidFill>
              <a:prstDash val="solid"/>
            </a:ln>
          </c:spPr>
          <c:marker>
            <c:symbol val="none"/>
          </c:marker>
          <c:cat>
            <c:numRef>
              <c:f>'[WRES 2020.xlsx]Indicator 8'!$B$6:$D$6</c:f>
              <c:numCache>
                <c:formatCode>General</c:formatCode>
                <c:ptCount val="3"/>
                <c:pt idx="0">
                  <c:v>2018</c:v>
                </c:pt>
                <c:pt idx="1">
                  <c:v>2019</c:v>
                </c:pt>
                <c:pt idx="2">
                  <c:v>2020</c:v>
                </c:pt>
              </c:numCache>
            </c:numRef>
          </c:cat>
          <c:val>
            <c:numRef>
              <c:f>'[WRES 2020.xlsx]Indicator 8'!$B$9:$D$9</c:f>
              <c:numCache>
                <c:formatCode>General</c:formatCode>
                <c:ptCount val="3"/>
                <c:pt idx="0">
                  <c:v>6.7</c:v>
                </c:pt>
                <c:pt idx="1">
                  <c:v>6.6</c:v>
                </c:pt>
                <c:pt idx="2">
                  <c:v>6</c:v>
                </c:pt>
              </c:numCache>
            </c:numRef>
          </c:val>
          <c:smooth val="0"/>
          <c:extLst>
            <c:ext xmlns:c16="http://schemas.microsoft.com/office/drawing/2014/chart" uri="{C3380CC4-5D6E-409C-BE32-E72D297353CC}">
              <c16:uniqueId val="{00000002-9141-4676-BDB9-022D40289F53}"/>
            </c:ext>
          </c:extLst>
        </c:ser>
        <c:ser>
          <c:idx val="3"/>
          <c:order val="3"/>
          <c:tx>
            <c:strRef>
              <c:f>'[WRES 2020.xlsx]Indicator 8'!$A$10</c:f>
              <c:strCache>
                <c:ptCount val="1"/>
                <c:pt idx="0">
                  <c:v>BAME: Average Acute</c:v>
                </c:pt>
              </c:strCache>
            </c:strRef>
          </c:tx>
          <c:spPr>
            <a:ln w="63500">
              <a:prstDash val="sysDash"/>
            </a:ln>
          </c:spPr>
          <c:marker>
            <c:symbol val="none"/>
          </c:marker>
          <c:cat>
            <c:numRef>
              <c:f>'[WRES 2020.xlsx]Indicator 8'!$B$6:$D$6</c:f>
              <c:numCache>
                <c:formatCode>General</c:formatCode>
                <c:ptCount val="3"/>
                <c:pt idx="0">
                  <c:v>2018</c:v>
                </c:pt>
                <c:pt idx="1">
                  <c:v>2019</c:v>
                </c:pt>
                <c:pt idx="2">
                  <c:v>2020</c:v>
                </c:pt>
              </c:numCache>
            </c:numRef>
          </c:cat>
          <c:val>
            <c:numRef>
              <c:f>'[WRES 2020.xlsx]Indicator 8'!$B$10:$D$10</c:f>
              <c:numCache>
                <c:formatCode>General</c:formatCode>
                <c:ptCount val="3"/>
                <c:pt idx="0">
                  <c:v>15</c:v>
                </c:pt>
                <c:pt idx="1">
                  <c:v>14.6</c:v>
                </c:pt>
                <c:pt idx="2">
                  <c:v>13.8</c:v>
                </c:pt>
              </c:numCache>
            </c:numRef>
          </c:val>
          <c:smooth val="0"/>
          <c:extLst>
            <c:ext xmlns:c16="http://schemas.microsoft.com/office/drawing/2014/chart" uri="{C3380CC4-5D6E-409C-BE32-E72D297353CC}">
              <c16:uniqueId val="{00000003-9141-4676-BDB9-022D40289F53}"/>
            </c:ext>
          </c:extLst>
        </c:ser>
        <c:dLbls>
          <c:showLegendKey val="0"/>
          <c:showVal val="0"/>
          <c:showCatName val="0"/>
          <c:showSerName val="0"/>
          <c:showPercent val="0"/>
          <c:showBubbleSize val="0"/>
        </c:dLbls>
        <c:smooth val="0"/>
        <c:axId val="212857216"/>
        <c:axId val="212858752"/>
      </c:lineChart>
      <c:catAx>
        <c:axId val="212857216"/>
        <c:scaling>
          <c:orientation val="minMax"/>
        </c:scaling>
        <c:delete val="0"/>
        <c:axPos val="b"/>
        <c:numFmt formatCode="General" sourceLinked="1"/>
        <c:majorTickMark val="out"/>
        <c:minorTickMark val="none"/>
        <c:tickLblPos val="nextTo"/>
        <c:crossAx val="212858752"/>
        <c:crosses val="autoZero"/>
        <c:auto val="1"/>
        <c:lblAlgn val="ctr"/>
        <c:lblOffset val="100"/>
        <c:noMultiLvlLbl val="0"/>
      </c:catAx>
      <c:valAx>
        <c:axId val="212858752"/>
        <c:scaling>
          <c:orientation val="minMax"/>
        </c:scaling>
        <c:delete val="0"/>
        <c:axPos val="l"/>
        <c:majorGridlines/>
        <c:numFmt formatCode="General" sourceLinked="1"/>
        <c:majorTickMark val="out"/>
        <c:minorTickMark val="none"/>
        <c:tickLblPos val="nextTo"/>
        <c:crossAx val="212857216"/>
        <c:crosses val="autoZero"/>
        <c:crossBetween val="between"/>
      </c:valAx>
    </c:plotArea>
    <c:legend>
      <c:legendPos val="r"/>
      <c:layout>
        <c:manualLayout>
          <c:xMode val="edge"/>
          <c:yMode val="edge"/>
          <c:x val="1.4470691163604549E-2"/>
          <c:y val="0.84184601924759395"/>
          <c:w val="0.48275153105861768"/>
          <c:h val="0.15739963060173034"/>
        </c:manualLayout>
      </c:layout>
      <c:overlay val="0"/>
      <c:spPr>
        <a:solidFill>
          <a:schemeClr val="bg1"/>
        </a:solidFill>
        <a:ln>
          <a:solidFill>
            <a:schemeClr val="accent4"/>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Clinical Staff - BME Workforce </a:t>
            </a:r>
            <a:endParaRPr lang="en-GB" sz="1800" b="0" i="0" baseline="0">
              <a:effectLst/>
            </a:endParaRPr>
          </a:p>
        </c:rich>
      </c:tx>
      <c:overlay val="0"/>
    </c:title>
    <c:autoTitleDeleted val="0"/>
    <c:plotArea>
      <c:layout>
        <c:manualLayout>
          <c:layoutTarget val="inner"/>
          <c:xMode val="edge"/>
          <c:yMode val="edge"/>
          <c:x val="0.12703018372703412"/>
          <c:y val="2.5436520452568022E-2"/>
          <c:w val="0.83115660542432201"/>
          <c:h val="0.71692837162224032"/>
        </c:manualLayout>
      </c:layout>
      <c:barChart>
        <c:barDir val="col"/>
        <c:grouping val="clustered"/>
        <c:varyColors val="0"/>
        <c:ser>
          <c:idx val="0"/>
          <c:order val="0"/>
          <c:tx>
            <c:strRef>
              <c:f>'[WRES 2020.xlsx]Indicator 1'!$F$25</c:f>
              <c:strCache>
                <c:ptCount val="1"/>
                <c:pt idx="0">
                  <c:v>% of BAME Staff</c:v>
                </c:pt>
              </c:strCache>
            </c:strRef>
          </c:tx>
          <c:invertIfNegative val="0"/>
          <c:cat>
            <c:strRef>
              <c:f>'[WRES 2020.xlsx]Indicator 1'!$A$26:$A$41</c:f>
              <c:strCache>
                <c:ptCount val="16"/>
                <c:pt idx="0">
                  <c:v>Apprentice</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Non-Consultant</c:v>
                </c:pt>
                <c:pt idx="14">
                  <c:v>Trainee Grade</c:v>
                </c:pt>
                <c:pt idx="15">
                  <c:v>Exec Director </c:v>
                </c:pt>
              </c:strCache>
            </c:strRef>
          </c:cat>
          <c:val>
            <c:numRef>
              <c:f>'[WRES 2020.xlsx]Indicator 1'!$F$26:$F$41</c:f>
              <c:numCache>
                <c:formatCode>0.00%</c:formatCode>
                <c:ptCount val="16"/>
                <c:pt idx="0">
                  <c:v>0.125</c:v>
                </c:pt>
                <c:pt idx="1">
                  <c:v>0.18244274809160305</c:v>
                </c:pt>
                <c:pt idx="2">
                  <c:v>9.3093093093093091E-2</c:v>
                </c:pt>
                <c:pt idx="3">
                  <c:v>0.21470588235294116</c:v>
                </c:pt>
                <c:pt idx="4">
                  <c:v>0.24406528189910978</c:v>
                </c:pt>
                <c:pt idx="5">
                  <c:v>0.17495711835334476</c:v>
                </c:pt>
                <c:pt idx="6">
                  <c:v>9.5477386934673364E-2</c:v>
                </c:pt>
                <c:pt idx="7">
                  <c:v>0.1</c:v>
                </c:pt>
                <c:pt idx="8">
                  <c:v>0</c:v>
                </c:pt>
                <c:pt idx="9">
                  <c:v>0</c:v>
                </c:pt>
                <c:pt idx="10">
                  <c:v>0</c:v>
                </c:pt>
                <c:pt idx="11">
                  <c:v>0</c:v>
                </c:pt>
                <c:pt idx="12">
                  <c:v>0.40088105726872247</c:v>
                </c:pt>
                <c:pt idx="13">
                  <c:v>0.55681818181818177</c:v>
                </c:pt>
                <c:pt idx="14">
                  <c:v>0.35775862068965519</c:v>
                </c:pt>
                <c:pt idx="15">
                  <c:v>0</c:v>
                </c:pt>
              </c:numCache>
            </c:numRef>
          </c:val>
          <c:extLst>
            <c:ext xmlns:c16="http://schemas.microsoft.com/office/drawing/2014/chart" uri="{C3380CC4-5D6E-409C-BE32-E72D297353CC}">
              <c16:uniqueId val="{00000000-2D13-4B76-8366-846333E9D006}"/>
            </c:ext>
          </c:extLst>
        </c:ser>
        <c:dLbls>
          <c:showLegendKey val="0"/>
          <c:showVal val="0"/>
          <c:showCatName val="0"/>
          <c:showSerName val="0"/>
          <c:showPercent val="0"/>
          <c:showBubbleSize val="0"/>
        </c:dLbls>
        <c:gapWidth val="150"/>
        <c:axId val="179278592"/>
        <c:axId val="179280128"/>
      </c:barChart>
      <c:lineChart>
        <c:grouping val="standard"/>
        <c:varyColors val="0"/>
        <c:ser>
          <c:idx val="1"/>
          <c:order val="1"/>
          <c:tx>
            <c:strRef>
              <c:f>'[WRES 2020.xlsx]Indicator 1'!$G$25</c:f>
              <c:strCache>
                <c:ptCount val="1"/>
                <c:pt idx="0">
                  <c:v>Average
BAME Staff %  </c:v>
                </c:pt>
              </c:strCache>
            </c:strRef>
          </c:tx>
          <c:marker>
            <c:symbol val="none"/>
          </c:marker>
          <c:cat>
            <c:strRef>
              <c:f>'[WRES 2020.xlsx]Indicator 1'!$A$26:$A$41</c:f>
              <c:strCache>
                <c:ptCount val="16"/>
                <c:pt idx="0">
                  <c:v>Apprentice</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Non-Consultant</c:v>
                </c:pt>
                <c:pt idx="14">
                  <c:v>Trainee Grade</c:v>
                </c:pt>
                <c:pt idx="15">
                  <c:v>Exec Director </c:v>
                </c:pt>
              </c:strCache>
            </c:strRef>
          </c:cat>
          <c:val>
            <c:numRef>
              <c:f>'[WRES 2020.xlsx]Indicator 1'!$G$26:$G$41</c:f>
              <c:numCache>
                <c:formatCode>0.00%</c:formatCode>
                <c:ptCount val="16"/>
                <c:pt idx="0">
                  <c:v>0.21328301886792453</c:v>
                </c:pt>
                <c:pt idx="1">
                  <c:v>0.21328301886792453</c:v>
                </c:pt>
                <c:pt idx="2">
                  <c:v>0.21328301886792453</c:v>
                </c:pt>
                <c:pt idx="3">
                  <c:v>0.21328301886792453</c:v>
                </c:pt>
                <c:pt idx="4">
                  <c:v>0.21328301886792453</c:v>
                </c:pt>
                <c:pt idx="5">
                  <c:v>0.21328301886792453</c:v>
                </c:pt>
                <c:pt idx="6">
                  <c:v>0.21328301886792453</c:v>
                </c:pt>
                <c:pt idx="7">
                  <c:v>0.21328301886792453</c:v>
                </c:pt>
                <c:pt idx="8">
                  <c:v>0.21328301886792453</c:v>
                </c:pt>
                <c:pt idx="9">
                  <c:v>0.21328301886792453</c:v>
                </c:pt>
                <c:pt idx="10">
                  <c:v>0.21328301886792453</c:v>
                </c:pt>
                <c:pt idx="11">
                  <c:v>0.21328301886792453</c:v>
                </c:pt>
                <c:pt idx="12">
                  <c:v>0.21328301886792453</c:v>
                </c:pt>
                <c:pt idx="13">
                  <c:v>0.21328301886792453</c:v>
                </c:pt>
                <c:pt idx="14">
                  <c:v>0.21328301886792453</c:v>
                </c:pt>
                <c:pt idx="15">
                  <c:v>0.21328301886792453</c:v>
                </c:pt>
              </c:numCache>
            </c:numRef>
          </c:val>
          <c:smooth val="0"/>
          <c:extLst>
            <c:ext xmlns:c16="http://schemas.microsoft.com/office/drawing/2014/chart" uri="{C3380CC4-5D6E-409C-BE32-E72D297353CC}">
              <c16:uniqueId val="{00000001-2D13-4B76-8366-846333E9D006}"/>
            </c:ext>
          </c:extLst>
        </c:ser>
        <c:dLbls>
          <c:showLegendKey val="0"/>
          <c:showVal val="0"/>
          <c:showCatName val="0"/>
          <c:showSerName val="0"/>
          <c:showPercent val="0"/>
          <c:showBubbleSize val="0"/>
        </c:dLbls>
        <c:marker val="1"/>
        <c:smooth val="0"/>
        <c:axId val="179278592"/>
        <c:axId val="179280128"/>
      </c:lineChart>
      <c:catAx>
        <c:axId val="179278592"/>
        <c:scaling>
          <c:orientation val="minMax"/>
        </c:scaling>
        <c:delete val="0"/>
        <c:axPos val="b"/>
        <c:numFmt formatCode="General" sourceLinked="0"/>
        <c:majorTickMark val="out"/>
        <c:minorTickMark val="none"/>
        <c:tickLblPos val="nextTo"/>
        <c:crossAx val="179280128"/>
        <c:crosses val="autoZero"/>
        <c:auto val="1"/>
        <c:lblAlgn val="ctr"/>
        <c:lblOffset val="100"/>
        <c:noMultiLvlLbl val="0"/>
      </c:catAx>
      <c:valAx>
        <c:axId val="179280128"/>
        <c:scaling>
          <c:orientation val="minMax"/>
          <c:max val="0.70000000000000007"/>
        </c:scaling>
        <c:delete val="0"/>
        <c:axPos val="l"/>
        <c:majorGridlines/>
        <c:numFmt formatCode="0.00%" sourceLinked="1"/>
        <c:majorTickMark val="out"/>
        <c:minorTickMark val="none"/>
        <c:tickLblPos val="nextTo"/>
        <c:crossAx val="179278592"/>
        <c:crosses val="autoZero"/>
        <c:crossBetween val="between"/>
      </c:valAx>
    </c:plotArea>
    <c:legend>
      <c:legendPos val="r"/>
      <c:layout>
        <c:manualLayout>
          <c:xMode val="edge"/>
          <c:yMode val="edge"/>
          <c:x val="0.13898216808557873"/>
          <c:y val="0.26011098890759793"/>
          <c:w val="0.21168262389613235"/>
          <c:h val="0.1011898620830616"/>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TrustStaff - BME Workforce </a:t>
            </a:r>
            <a:endParaRPr lang="en-GB">
              <a:effectLst/>
            </a:endParaRPr>
          </a:p>
        </c:rich>
      </c:tx>
      <c:overlay val="0"/>
    </c:title>
    <c:autoTitleDeleted val="0"/>
    <c:plotArea>
      <c:layout>
        <c:manualLayout>
          <c:layoutTarget val="inner"/>
          <c:xMode val="edge"/>
          <c:yMode val="edge"/>
          <c:x val="0.10122717350610345"/>
          <c:y val="5.1400554097404488E-2"/>
          <c:w val="0.85693601923654772"/>
          <c:h val="0.59231736657917755"/>
        </c:manualLayout>
      </c:layout>
      <c:barChart>
        <c:barDir val="col"/>
        <c:grouping val="clustered"/>
        <c:varyColors val="0"/>
        <c:ser>
          <c:idx val="0"/>
          <c:order val="0"/>
          <c:tx>
            <c:strRef>
              <c:f>'[WRES 2020.xlsx]Indicator 1'!$F$3</c:f>
              <c:strCache>
                <c:ptCount val="1"/>
                <c:pt idx="0">
                  <c:v>% of BAME Staff</c:v>
                </c:pt>
              </c:strCache>
            </c:strRef>
          </c:tx>
          <c:invertIfNegative val="0"/>
          <c:cat>
            <c:strRef>
              <c:f>'[WRES 2020.xlsx]Indicator 1'!$A$4:$A$21</c:f>
              <c:strCache>
                <c:ptCount val="18"/>
                <c:pt idx="0">
                  <c:v>Apprentice</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Exec Director </c:v>
                </c:pt>
                <c:pt idx="14">
                  <c:v>Consultant</c:v>
                </c:pt>
                <c:pt idx="15">
                  <c:v>Non-Consultant</c:v>
                </c:pt>
                <c:pt idx="16">
                  <c:v>Trainee Grade</c:v>
                </c:pt>
                <c:pt idx="17">
                  <c:v>VSM</c:v>
                </c:pt>
              </c:strCache>
            </c:strRef>
          </c:cat>
          <c:val>
            <c:numRef>
              <c:f>'[WRES 2020.xlsx]Indicator 1'!$F$4:$F$21</c:f>
              <c:numCache>
                <c:formatCode>0.00%</c:formatCode>
                <c:ptCount val="18"/>
                <c:pt idx="0">
                  <c:v>6.6666666666666666E-2</c:v>
                </c:pt>
                <c:pt idx="1">
                  <c:v>0</c:v>
                </c:pt>
                <c:pt idx="2">
                  <c:v>0.1370926021727884</c:v>
                </c:pt>
                <c:pt idx="3">
                  <c:v>6.1124694376528114E-2</c:v>
                </c:pt>
                <c:pt idx="4">
                  <c:v>0.13169984686064318</c:v>
                </c:pt>
                <c:pt idx="5">
                  <c:v>0.22582781456953643</c:v>
                </c:pt>
                <c:pt idx="6">
                  <c:v>0.1611154144074361</c:v>
                </c:pt>
                <c:pt idx="7">
                  <c:v>8.8764044943820231E-2</c:v>
                </c:pt>
                <c:pt idx="8">
                  <c:v>7.7294685990338161E-2</c:v>
                </c:pt>
                <c:pt idx="9">
                  <c:v>1.7094017094017096E-2</c:v>
                </c:pt>
                <c:pt idx="10">
                  <c:v>0.04</c:v>
                </c:pt>
                <c:pt idx="11">
                  <c:v>0</c:v>
                </c:pt>
                <c:pt idx="12">
                  <c:v>0</c:v>
                </c:pt>
                <c:pt idx="13">
                  <c:v>0</c:v>
                </c:pt>
                <c:pt idx="14">
                  <c:v>0.40088105726872247</c:v>
                </c:pt>
                <c:pt idx="15">
                  <c:v>0.55681818181818177</c:v>
                </c:pt>
                <c:pt idx="16">
                  <c:v>0.35775862068965519</c:v>
                </c:pt>
                <c:pt idx="17">
                  <c:v>0.1111111111111111</c:v>
                </c:pt>
              </c:numCache>
            </c:numRef>
          </c:val>
          <c:extLst>
            <c:ext xmlns:c16="http://schemas.microsoft.com/office/drawing/2014/chart" uri="{C3380CC4-5D6E-409C-BE32-E72D297353CC}">
              <c16:uniqueId val="{00000000-3EC3-4BE6-92B9-02C240DD31CB}"/>
            </c:ext>
          </c:extLst>
        </c:ser>
        <c:dLbls>
          <c:showLegendKey val="0"/>
          <c:showVal val="0"/>
          <c:showCatName val="0"/>
          <c:showSerName val="0"/>
          <c:showPercent val="0"/>
          <c:showBubbleSize val="0"/>
        </c:dLbls>
        <c:gapWidth val="150"/>
        <c:axId val="176796800"/>
        <c:axId val="176798336"/>
      </c:barChart>
      <c:lineChart>
        <c:grouping val="standard"/>
        <c:varyColors val="0"/>
        <c:ser>
          <c:idx val="1"/>
          <c:order val="1"/>
          <c:tx>
            <c:strRef>
              <c:f>'[WRES 2020.xlsx]Indicator 1'!$G$3</c:f>
              <c:strCache>
                <c:ptCount val="1"/>
                <c:pt idx="0">
                  <c:v>Average
BAME Staff %</c:v>
                </c:pt>
              </c:strCache>
            </c:strRef>
          </c:tx>
          <c:marker>
            <c:symbol val="none"/>
          </c:marker>
          <c:cat>
            <c:strRef>
              <c:f>'[WRES 2020.xlsx]Indicator 1'!$A$4:$A$21</c:f>
              <c:strCache>
                <c:ptCount val="18"/>
                <c:pt idx="0">
                  <c:v>Apprentice</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Exec Director </c:v>
                </c:pt>
                <c:pt idx="14">
                  <c:v>Consultant</c:v>
                </c:pt>
                <c:pt idx="15">
                  <c:v>Non-Consultant</c:v>
                </c:pt>
                <c:pt idx="16">
                  <c:v>Trainee Grade</c:v>
                </c:pt>
                <c:pt idx="17">
                  <c:v>VSM</c:v>
                </c:pt>
              </c:strCache>
            </c:strRef>
          </c:cat>
          <c:val>
            <c:numRef>
              <c:f>'[WRES 2020.xlsx]Indicator 1'!$G$4:$G$21</c:f>
              <c:numCache>
                <c:formatCode>0.00%</c:formatCode>
                <c:ptCount val="18"/>
                <c:pt idx="0">
                  <c:v>0.17402929551267146</c:v>
                </c:pt>
                <c:pt idx="1">
                  <c:v>0.17402929551267146</c:v>
                </c:pt>
                <c:pt idx="2">
                  <c:v>0.17402929551267146</c:v>
                </c:pt>
                <c:pt idx="3">
                  <c:v>0.17402929551267146</c:v>
                </c:pt>
                <c:pt idx="4">
                  <c:v>0.17402929551267146</c:v>
                </c:pt>
                <c:pt idx="5">
                  <c:v>0.17402929551267146</c:v>
                </c:pt>
                <c:pt idx="6">
                  <c:v>0.17402929551267146</c:v>
                </c:pt>
                <c:pt idx="7">
                  <c:v>0.17402929551267146</c:v>
                </c:pt>
                <c:pt idx="8">
                  <c:v>0.17402929551267146</c:v>
                </c:pt>
                <c:pt idx="9">
                  <c:v>0.17402929551267146</c:v>
                </c:pt>
                <c:pt idx="10">
                  <c:v>0.17402929551267146</c:v>
                </c:pt>
                <c:pt idx="11">
                  <c:v>0.17402929551267146</c:v>
                </c:pt>
                <c:pt idx="12">
                  <c:v>0.17402929551267146</c:v>
                </c:pt>
                <c:pt idx="13">
                  <c:v>0.17402929551267146</c:v>
                </c:pt>
                <c:pt idx="14">
                  <c:v>0.17402929551267146</c:v>
                </c:pt>
                <c:pt idx="15">
                  <c:v>0.17402929551267146</c:v>
                </c:pt>
                <c:pt idx="16">
                  <c:v>0.17402929551267146</c:v>
                </c:pt>
                <c:pt idx="17">
                  <c:v>0.17402929551267146</c:v>
                </c:pt>
              </c:numCache>
            </c:numRef>
          </c:val>
          <c:smooth val="0"/>
          <c:extLst>
            <c:ext xmlns:c16="http://schemas.microsoft.com/office/drawing/2014/chart" uri="{C3380CC4-5D6E-409C-BE32-E72D297353CC}">
              <c16:uniqueId val="{00000001-3EC3-4BE6-92B9-02C240DD31CB}"/>
            </c:ext>
          </c:extLst>
        </c:ser>
        <c:dLbls>
          <c:showLegendKey val="0"/>
          <c:showVal val="0"/>
          <c:showCatName val="0"/>
          <c:showSerName val="0"/>
          <c:showPercent val="0"/>
          <c:showBubbleSize val="0"/>
        </c:dLbls>
        <c:marker val="1"/>
        <c:smooth val="0"/>
        <c:axId val="176796800"/>
        <c:axId val="176798336"/>
      </c:lineChart>
      <c:catAx>
        <c:axId val="176796800"/>
        <c:scaling>
          <c:orientation val="minMax"/>
        </c:scaling>
        <c:delete val="0"/>
        <c:axPos val="b"/>
        <c:numFmt formatCode="General" sourceLinked="0"/>
        <c:majorTickMark val="out"/>
        <c:minorTickMark val="none"/>
        <c:tickLblPos val="nextTo"/>
        <c:crossAx val="176798336"/>
        <c:crosses val="autoZero"/>
        <c:auto val="1"/>
        <c:lblAlgn val="ctr"/>
        <c:lblOffset val="100"/>
        <c:noMultiLvlLbl val="0"/>
      </c:catAx>
      <c:valAx>
        <c:axId val="176798336"/>
        <c:scaling>
          <c:orientation val="minMax"/>
          <c:max val="0.70000000000000007"/>
        </c:scaling>
        <c:delete val="0"/>
        <c:axPos val="l"/>
        <c:majorGridlines/>
        <c:numFmt formatCode="0.00%" sourceLinked="1"/>
        <c:majorTickMark val="out"/>
        <c:minorTickMark val="none"/>
        <c:tickLblPos val="nextTo"/>
        <c:crossAx val="176796800"/>
        <c:crosses val="autoZero"/>
        <c:crossBetween val="between"/>
      </c:valAx>
    </c:plotArea>
    <c:legend>
      <c:legendPos val="r"/>
      <c:layout>
        <c:manualLayout>
          <c:xMode val="edge"/>
          <c:yMode val="edge"/>
          <c:x val="0.14444299973576932"/>
          <c:y val="0.17052857976086322"/>
          <c:w val="0.2853243109677801"/>
          <c:h val="0.21912802566345874"/>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Relative likelihood of staff being appointed from shortlisting</a:t>
            </a:r>
            <a:endParaRPr lang="en-GB" sz="1200">
              <a:effectLst/>
              <a:latin typeface="Arial" panose="020B0604020202020204" pitchFamily="34" charset="0"/>
              <a:cs typeface="Arial" panose="020B0604020202020204" pitchFamily="34" charset="0"/>
            </a:endParaRPr>
          </a:p>
        </c:rich>
      </c:tx>
      <c:overlay val="0"/>
      <c:spPr>
        <a:solidFill>
          <a:schemeClr val="bg1"/>
        </a:solidFill>
        <a:ln>
          <a:solidFill>
            <a:schemeClr val="tx1"/>
          </a:solidFill>
        </a:ln>
      </c:spPr>
    </c:title>
    <c:autoTitleDeleted val="0"/>
    <c:plotArea>
      <c:layout>
        <c:manualLayout>
          <c:layoutTarget val="inner"/>
          <c:xMode val="edge"/>
          <c:yMode val="edge"/>
          <c:x val="7.9002405949256338E-2"/>
          <c:y val="0.24584499854184894"/>
          <c:w val="0.88889873140857389"/>
          <c:h val="0.64743438320209978"/>
        </c:manualLayout>
      </c:layout>
      <c:lineChart>
        <c:grouping val="standard"/>
        <c:varyColors val="0"/>
        <c:ser>
          <c:idx val="1"/>
          <c:order val="0"/>
          <c:tx>
            <c:strRef>
              <c:f>'[WRES 2020.xlsx]Indicator 2'!$D$10</c:f>
              <c:strCache>
                <c:ptCount val="1"/>
                <c:pt idx="0">
                  <c:v>Relative Likelihood</c:v>
                </c:pt>
              </c:strCache>
            </c:strRef>
          </c:tx>
          <c:marker>
            <c:symbol val="none"/>
          </c:marker>
          <c:cat>
            <c:numRef>
              <c:f>'[WRES 2020.xlsx]Indicator 2'!$A$11:$A$16</c:f>
              <c:numCache>
                <c:formatCode>General</c:formatCode>
                <c:ptCount val="6"/>
                <c:pt idx="0">
                  <c:v>2015</c:v>
                </c:pt>
                <c:pt idx="1">
                  <c:v>2016</c:v>
                </c:pt>
                <c:pt idx="2">
                  <c:v>2017</c:v>
                </c:pt>
                <c:pt idx="3">
                  <c:v>2018</c:v>
                </c:pt>
                <c:pt idx="4">
                  <c:v>2019</c:v>
                </c:pt>
                <c:pt idx="5" formatCode="@">
                  <c:v>2020</c:v>
                </c:pt>
              </c:numCache>
            </c:numRef>
          </c:cat>
          <c:val>
            <c:numRef>
              <c:f>'[WRES 2020.xlsx]Indicator 2'!$D$11:$D$16</c:f>
              <c:numCache>
                <c:formatCode>General</c:formatCode>
                <c:ptCount val="6"/>
                <c:pt idx="0">
                  <c:v>1.51</c:v>
                </c:pt>
                <c:pt idx="1">
                  <c:v>1.51</c:v>
                </c:pt>
                <c:pt idx="2">
                  <c:v>1.17</c:v>
                </c:pt>
                <c:pt idx="3">
                  <c:v>1.21</c:v>
                </c:pt>
                <c:pt idx="4">
                  <c:v>1.31</c:v>
                </c:pt>
                <c:pt idx="5" formatCode="0.00">
                  <c:v>1.134334</c:v>
                </c:pt>
              </c:numCache>
            </c:numRef>
          </c:val>
          <c:smooth val="0"/>
          <c:extLst>
            <c:ext xmlns:c16="http://schemas.microsoft.com/office/drawing/2014/chart" uri="{C3380CC4-5D6E-409C-BE32-E72D297353CC}">
              <c16:uniqueId val="{00000000-9D97-49E2-8CF2-E95AC19CCA26}"/>
            </c:ext>
          </c:extLst>
        </c:ser>
        <c:ser>
          <c:idx val="2"/>
          <c:order val="1"/>
          <c:tx>
            <c:strRef>
              <c:f>'[WRES 2020.xlsx]Indicator 2'!$E$10</c:f>
              <c:strCache>
                <c:ptCount val="1"/>
                <c:pt idx="0">
                  <c:v>Equal Likelihood</c:v>
                </c:pt>
              </c:strCache>
            </c:strRef>
          </c:tx>
          <c:marker>
            <c:symbol val="none"/>
          </c:marker>
          <c:cat>
            <c:numRef>
              <c:f>'[WRES 2020.xlsx]Indicator 2'!$A$11:$A$16</c:f>
              <c:numCache>
                <c:formatCode>General</c:formatCode>
                <c:ptCount val="6"/>
                <c:pt idx="0">
                  <c:v>2015</c:v>
                </c:pt>
                <c:pt idx="1">
                  <c:v>2016</c:v>
                </c:pt>
                <c:pt idx="2">
                  <c:v>2017</c:v>
                </c:pt>
                <c:pt idx="3">
                  <c:v>2018</c:v>
                </c:pt>
                <c:pt idx="4">
                  <c:v>2019</c:v>
                </c:pt>
                <c:pt idx="5" formatCode="@">
                  <c:v>2020</c:v>
                </c:pt>
              </c:numCache>
            </c:numRef>
          </c:cat>
          <c:val>
            <c:numRef>
              <c:f>'[WRES 2020.xlsx]Indicator 2'!$E$11:$E$16</c:f>
              <c:numCache>
                <c:formatCode>General</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1-9D97-49E2-8CF2-E95AC19CCA26}"/>
            </c:ext>
          </c:extLst>
        </c:ser>
        <c:dLbls>
          <c:showLegendKey val="0"/>
          <c:showVal val="0"/>
          <c:showCatName val="0"/>
          <c:showSerName val="0"/>
          <c:showPercent val="0"/>
          <c:showBubbleSize val="0"/>
        </c:dLbls>
        <c:smooth val="0"/>
        <c:axId val="193145856"/>
        <c:axId val="193155840"/>
      </c:lineChart>
      <c:catAx>
        <c:axId val="193145856"/>
        <c:scaling>
          <c:orientation val="minMax"/>
        </c:scaling>
        <c:delete val="0"/>
        <c:axPos val="b"/>
        <c:numFmt formatCode="General" sourceLinked="1"/>
        <c:majorTickMark val="out"/>
        <c:minorTickMark val="none"/>
        <c:tickLblPos val="nextTo"/>
        <c:crossAx val="193155840"/>
        <c:crosses val="autoZero"/>
        <c:auto val="1"/>
        <c:lblAlgn val="ctr"/>
        <c:lblOffset val="100"/>
        <c:noMultiLvlLbl val="0"/>
      </c:catAx>
      <c:valAx>
        <c:axId val="193155840"/>
        <c:scaling>
          <c:orientation val="minMax"/>
          <c:min val="0.4"/>
        </c:scaling>
        <c:delete val="0"/>
        <c:axPos val="l"/>
        <c:majorGridlines/>
        <c:numFmt formatCode="General" sourceLinked="1"/>
        <c:majorTickMark val="out"/>
        <c:minorTickMark val="none"/>
        <c:tickLblPos val="nextTo"/>
        <c:crossAx val="193145856"/>
        <c:crosses val="autoZero"/>
        <c:crossBetween val="between"/>
      </c:valAx>
    </c:plotArea>
    <c:legend>
      <c:legendPos val="r"/>
      <c:layout>
        <c:manualLayout>
          <c:xMode val="edge"/>
          <c:yMode val="edge"/>
          <c:x val="0.14567891513560804"/>
          <c:y val="0.68017169728783899"/>
          <c:w val="0.29598775153105861"/>
          <c:h val="0.16743438320209975"/>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1" i="0" baseline="0">
                <a:effectLst/>
                <a:latin typeface="Arial" panose="020B0604020202020204" pitchFamily="34" charset="0"/>
                <a:cs typeface="Arial" panose="020B0604020202020204" pitchFamily="34" charset="0"/>
              </a:rPr>
              <a:t>Relative likelihood of entering disciplinary system</a:t>
            </a:r>
            <a:endParaRPr lang="en-GB" sz="1200">
              <a:effectLst/>
              <a:latin typeface="Arial" panose="020B0604020202020204" pitchFamily="34" charset="0"/>
              <a:cs typeface="Arial" panose="020B0604020202020204" pitchFamily="34" charset="0"/>
            </a:endParaRPr>
          </a:p>
        </c:rich>
      </c:tx>
      <c:overlay val="0"/>
      <c:spPr>
        <a:solidFill>
          <a:schemeClr val="bg1"/>
        </a:solidFill>
        <a:ln>
          <a:solidFill>
            <a:schemeClr val="tx1"/>
          </a:solidFill>
        </a:ln>
      </c:spPr>
    </c:title>
    <c:autoTitleDeleted val="0"/>
    <c:plotArea>
      <c:layout>
        <c:manualLayout>
          <c:layoutTarget val="inner"/>
          <c:xMode val="edge"/>
          <c:yMode val="edge"/>
          <c:x val="9.3085739282589675E-2"/>
          <c:y val="0.21607548484357078"/>
          <c:w val="0.88592650918635174"/>
          <c:h val="0.53074732401175617"/>
        </c:manualLayout>
      </c:layout>
      <c:lineChart>
        <c:grouping val="standard"/>
        <c:varyColors val="0"/>
        <c:ser>
          <c:idx val="1"/>
          <c:order val="0"/>
          <c:tx>
            <c:strRef>
              <c:f>'[WRES 2020.xlsx]Indicator 3'!$Q$2</c:f>
              <c:strCache>
                <c:ptCount val="1"/>
                <c:pt idx="0">
                  <c:v>Relative Likelihood</c:v>
                </c:pt>
              </c:strCache>
            </c:strRef>
          </c:tx>
          <c:marker>
            <c:symbol val="none"/>
          </c:marker>
          <c:cat>
            <c:numRef>
              <c:f>'[WRES 2020.xlsx]Indicator 3'!$P$3:$P$7</c:f>
              <c:numCache>
                <c:formatCode>General</c:formatCode>
                <c:ptCount val="5"/>
                <c:pt idx="0">
                  <c:v>2016</c:v>
                </c:pt>
                <c:pt idx="1">
                  <c:v>2017</c:v>
                </c:pt>
                <c:pt idx="2">
                  <c:v>2018</c:v>
                </c:pt>
                <c:pt idx="3">
                  <c:v>2019</c:v>
                </c:pt>
                <c:pt idx="4">
                  <c:v>2020</c:v>
                </c:pt>
              </c:numCache>
            </c:numRef>
          </c:cat>
          <c:val>
            <c:numRef>
              <c:f>'[WRES 2020.xlsx]Indicator 3'!$Q$3:$Q$7</c:f>
              <c:numCache>
                <c:formatCode>0.00</c:formatCode>
                <c:ptCount val="5"/>
                <c:pt idx="0">
                  <c:v>0.56000000000000005</c:v>
                </c:pt>
                <c:pt idx="1">
                  <c:v>0.35</c:v>
                </c:pt>
                <c:pt idx="2">
                  <c:v>0.41</c:v>
                </c:pt>
                <c:pt idx="3">
                  <c:v>0.36</c:v>
                </c:pt>
                <c:pt idx="4">
                  <c:v>0.50353700000000001</c:v>
                </c:pt>
              </c:numCache>
            </c:numRef>
          </c:val>
          <c:smooth val="0"/>
          <c:extLst>
            <c:ext xmlns:c16="http://schemas.microsoft.com/office/drawing/2014/chart" uri="{C3380CC4-5D6E-409C-BE32-E72D297353CC}">
              <c16:uniqueId val="{00000000-65EA-42D1-AEA5-104F671D442E}"/>
            </c:ext>
          </c:extLst>
        </c:ser>
        <c:ser>
          <c:idx val="2"/>
          <c:order val="1"/>
          <c:tx>
            <c:strRef>
              <c:f>'[WRES 2020.xlsx]Indicator 3'!$R$2</c:f>
              <c:strCache>
                <c:ptCount val="1"/>
                <c:pt idx="0">
                  <c:v>equal Likelihood</c:v>
                </c:pt>
              </c:strCache>
            </c:strRef>
          </c:tx>
          <c:marker>
            <c:symbol val="none"/>
          </c:marker>
          <c:cat>
            <c:numRef>
              <c:f>'[WRES 2020.xlsx]Indicator 3'!$P$3:$P$7</c:f>
              <c:numCache>
                <c:formatCode>General</c:formatCode>
                <c:ptCount val="5"/>
                <c:pt idx="0">
                  <c:v>2016</c:v>
                </c:pt>
                <c:pt idx="1">
                  <c:v>2017</c:v>
                </c:pt>
                <c:pt idx="2">
                  <c:v>2018</c:v>
                </c:pt>
                <c:pt idx="3">
                  <c:v>2019</c:v>
                </c:pt>
                <c:pt idx="4">
                  <c:v>2020</c:v>
                </c:pt>
              </c:numCache>
            </c:numRef>
          </c:cat>
          <c:val>
            <c:numRef>
              <c:f>'[WRES 2020.xlsx]Indicator 3'!$R$3:$R$7</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1-65EA-42D1-AEA5-104F671D442E}"/>
            </c:ext>
          </c:extLst>
        </c:ser>
        <c:dLbls>
          <c:showLegendKey val="0"/>
          <c:showVal val="0"/>
          <c:showCatName val="0"/>
          <c:showSerName val="0"/>
          <c:showPercent val="0"/>
          <c:showBubbleSize val="0"/>
        </c:dLbls>
        <c:smooth val="0"/>
        <c:axId val="174359296"/>
        <c:axId val="174360832"/>
      </c:lineChart>
      <c:catAx>
        <c:axId val="174359296"/>
        <c:scaling>
          <c:orientation val="minMax"/>
        </c:scaling>
        <c:delete val="0"/>
        <c:axPos val="b"/>
        <c:numFmt formatCode="General" sourceLinked="1"/>
        <c:majorTickMark val="out"/>
        <c:minorTickMark val="none"/>
        <c:tickLblPos val="nextTo"/>
        <c:crossAx val="174360832"/>
        <c:crosses val="autoZero"/>
        <c:auto val="1"/>
        <c:lblAlgn val="ctr"/>
        <c:lblOffset val="100"/>
        <c:noMultiLvlLbl val="0"/>
      </c:catAx>
      <c:valAx>
        <c:axId val="174360832"/>
        <c:scaling>
          <c:orientation val="minMax"/>
        </c:scaling>
        <c:delete val="0"/>
        <c:axPos val="l"/>
        <c:majorGridlines/>
        <c:numFmt formatCode="0.00" sourceLinked="1"/>
        <c:majorTickMark val="out"/>
        <c:minorTickMark val="none"/>
        <c:tickLblPos val="nextTo"/>
        <c:crossAx val="174359296"/>
        <c:crosses val="autoZero"/>
        <c:crossBetween val="between"/>
      </c:valAx>
    </c:plotArea>
    <c:legend>
      <c:legendPos val="r"/>
      <c:layout>
        <c:manualLayout>
          <c:xMode val="edge"/>
          <c:yMode val="edge"/>
          <c:x val="2.6234470691163601E-2"/>
          <c:y val="0.83765063553801788"/>
          <c:w val="0.29598775153105861"/>
          <c:h val="0.1350730761381074"/>
        </c:manualLayout>
      </c:layout>
      <c:overlay val="0"/>
      <c:spPr>
        <a:solidFill>
          <a:schemeClr val="bg1"/>
        </a:solidFill>
        <a:ln>
          <a:solidFill>
            <a:schemeClr val="tx1"/>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Relative likelihood of  accessing non-mandatory training</a:t>
            </a:r>
            <a:endParaRPr lang="en-GB" sz="1200" b="1">
              <a:effectLst/>
              <a:latin typeface="Arial" panose="020B0604020202020204" pitchFamily="34" charset="0"/>
              <a:cs typeface="Arial" panose="020B0604020202020204" pitchFamily="34" charset="0"/>
            </a:endParaRPr>
          </a:p>
        </c:rich>
      </c:tx>
      <c:overlay val="0"/>
      <c:spPr>
        <a:solidFill>
          <a:schemeClr val="bg1"/>
        </a:solidFill>
        <a:ln>
          <a:solidFill>
            <a:schemeClr val="tx1"/>
          </a:solidFill>
        </a:ln>
      </c:spPr>
    </c:title>
    <c:autoTitleDeleted val="0"/>
    <c:plotArea>
      <c:layout>
        <c:manualLayout>
          <c:layoutTarget val="inner"/>
          <c:xMode val="edge"/>
          <c:yMode val="edge"/>
          <c:x val="9.3085739282589675E-2"/>
          <c:y val="0.24584499854184894"/>
          <c:w val="0.86900984251968516"/>
          <c:h val="0.63817512394284048"/>
        </c:manualLayout>
      </c:layout>
      <c:lineChart>
        <c:grouping val="standard"/>
        <c:varyColors val="0"/>
        <c:ser>
          <c:idx val="0"/>
          <c:order val="0"/>
          <c:tx>
            <c:strRef>
              <c:f>'[WRES 2020.xlsx]Indicator 4'!$R$4</c:f>
              <c:strCache>
                <c:ptCount val="1"/>
                <c:pt idx="0">
                  <c:v>Relative likelihood</c:v>
                </c:pt>
              </c:strCache>
            </c:strRef>
          </c:tx>
          <c:spPr>
            <a:ln w="63500"/>
          </c:spPr>
          <c:marker>
            <c:symbol val="none"/>
          </c:marker>
          <c:cat>
            <c:numRef>
              <c:f>'[WRES 2020.xlsx]Indicator 4'!$Q$5:$Q$10</c:f>
              <c:numCache>
                <c:formatCode>General</c:formatCode>
                <c:ptCount val="6"/>
                <c:pt idx="0">
                  <c:v>2015</c:v>
                </c:pt>
                <c:pt idx="1">
                  <c:v>2016</c:v>
                </c:pt>
                <c:pt idx="2">
                  <c:v>2017</c:v>
                </c:pt>
                <c:pt idx="3">
                  <c:v>2018</c:v>
                </c:pt>
                <c:pt idx="4">
                  <c:v>2019</c:v>
                </c:pt>
                <c:pt idx="5">
                  <c:v>2020</c:v>
                </c:pt>
              </c:numCache>
            </c:numRef>
          </c:cat>
          <c:val>
            <c:numRef>
              <c:f>'[WRES 2020.xlsx]Indicator 4'!$R$5:$R$10</c:f>
              <c:numCache>
                <c:formatCode>General</c:formatCode>
                <c:ptCount val="6"/>
                <c:pt idx="0">
                  <c:v>1.1599999999999999</c:v>
                </c:pt>
                <c:pt idx="1">
                  <c:v>1.25</c:v>
                </c:pt>
                <c:pt idx="2">
                  <c:v>1.21</c:v>
                </c:pt>
                <c:pt idx="3">
                  <c:v>0.97</c:v>
                </c:pt>
                <c:pt idx="4">
                  <c:v>1</c:v>
                </c:pt>
                <c:pt idx="5">
                  <c:v>1</c:v>
                </c:pt>
              </c:numCache>
            </c:numRef>
          </c:val>
          <c:smooth val="0"/>
          <c:extLst>
            <c:ext xmlns:c16="http://schemas.microsoft.com/office/drawing/2014/chart" uri="{C3380CC4-5D6E-409C-BE32-E72D297353CC}">
              <c16:uniqueId val="{00000000-BBB1-4C8E-A893-650497BC1D7C}"/>
            </c:ext>
          </c:extLst>
        </c:ser>
        <c:ser>
          <c:idx val="2"/>
          <c:order val="1"/>
          <c:tx>
            <c:strRef>
              <c:f>'[WRES 2020.xlsx]Indicator 4'!$S$4</c:f>
              <c:strCache>
                <c:ptCount val="1"/>
                <c:pt idx="0">
                  <c:v>Equal Likelihood</c:v>
                </c:pt>
              </c:strCache>
            </c:strRef>
          </c:tx>
          <c:marker>
            <c:symbol val="none"/>
          </c:marker>
          <c:cat>
            <c:numRef>
              <c:f>'[WRES 2020.xlsx]Indicator 4'!$Q$5:$Q$10</c:f>
              <c:numCache>
                <c:formatCode>General</c:formatCode>
                <c:ptCount val="6"/>
                <c:pt idx="0">
                  <c:v>2015</c:v>
                </c:pt>
                <c:pt idx="1">
                  <c:v>2016</c:v>
                </c:pt>
                <c:pt idx="2">
                  <c:v>2017</c:v>
                </c:pt>
                <c:pt idx="3">
                  <c:v>2018</c:v>
                </c:pt>
                <c:pt idx="4">
                  <c:v>2019</c:v>
                </c:pt>
                <c:pt idx="5">
                  <c:v>2020</c:v>
                </c:pt>
              </c:numCache>
            </c:numRef>
          </c:cat>
          <c:val>
            <c:numRef>
              <c:f>'[WRES 2020.xlsx]Indicator 4'!$S$5:$S$10</c:f>
              <c:numCache>
                <c:formatCode>General</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1-BBB1-4C8E-A893-650497BC1D7C}"/>
            </c:ext>
          </c:extLst>
        </c:ser>
        <c:dLbls>
          <c:showLegendKey val="0"/>
          <c:showVal val="0"/>
          <c:showCatName val="0"/>
          <c:showSerName val="0"/>
          <c:showPercent val="0"/>
          <c:showBubbleSize val="0"/>
        </c:dLbls>
        <c:smooth val="0"/>
        <c:axId val="132839680"/>
        <c:axId val="173088768"/>
      </c:lineChart>
      <c:catAx>
        <c:axId val="132839680"/>
        <c:scaling>
          <c:orientation val="minMax"/>
        </c:scaling>
        <c:delete val="0"/>
        <c:axPos val="b"/>
        <c:numFmt formatCode="General" sourceLinked="1"/>
        <c:majorTickMark val="out"/>
        <c:minorTickMark val="none"/>
        <c:tickLblPos val="nextTo"/>
        <c:crossAx val="173088768"/>
        <c:crosses val="autoZero"/>
        <c:auto val="1"/>
        <c:lblAlgn val="ctr"/>
        <c:lblOffset val="100"/>
        <c:noMultiLvlLbl val="0"/>
      </c:catAx>
      <c:valAx>
        <c:axId val="173088768"/>
        <c:scaling>
          <c:orientation val="minMax"/>
          <c:min val="0.8"/>
        </c:scaling>
        <c:delete val="0"/>
        <c:axPos val="l"/>
        <c:majorGridlines/>
        <c:numFmt formatCode="General" sourceLinked="1"/>
        <c:majorTickMark val="out"/>
        <c:minorTickMark val="none"/>
        <c:tickLblPos val="nextTo"/>
        <c:crossAx val="132839680"/>
        <c:crosses val="autoZero"/>
        <c:crossBetween val="between"/>
      </c:valAx>
    </c:plotArea>
    <c:legend>
      <c:legendPos val="r"/>
      <c:layout>
        <c:manualLayout>
          <c:xMode val="edge"/>
          <c:yMode val="edge"/>
          <c:x val="0.12042891513560805"/>
          <c:y val="0.69869021580635748"/>
          <c:w val="0.29068219597550304"/>
          <c:h val="0.16743438320209975"/>
        </c:manualLayout>
      </c:layout>
      <c:overlay val="0"/>
      <c:spPr>
        <a:solidFill>
          <a:schemeClr val="bg1"/>
        </a:solidFill>
        <a:ln>
          <a:solidFill>
            <a:schemeClr val="accent1">
              <a:shade val="95000"/>
              <a:satMod val="105000"/>
            </a:schemeClr>
          </a:solidFill>
        </a:ln>
      </c:sp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Staff Survey % of staff experiencing </a:t>
            </a:r>
          </a:p>
          <a:p>
            <a:pPr algn="ctr">
              <a:defRPr sz="1200">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Bullying or harassment from the Public</a:t>
            </a:r>
            <a:endParaRPr lang="en-GB" sz="1200">
              <a:effectLst/>
              <a:latin typeface="Arial" panose="020B0604020202020204" pitchFamily="34" charset="0"/>
              <a:cs typeface="Arial" panose="020B0604020202020204" pitchFamily="34" charset="0"/>
            </a:endParaRPr>
          </a:p>
        </c:rich>
      </c:tx>
      <c:overlay val="0"/>
      <c:spPr>
        <a:ln>
          <a:solidFill>
            <a:schemeClr val="tx1"/>
          </a:solidFill>
        </a:ln>
      </c:spPr>
    </c:title>
    <c:autoTitleDeleted val="0"/>
    <c:plotArea>
      <c:layout>
        <c:manualLayout>
          <c:layoutTarget val="inner"/>
          <c:xMode val="edge"/>
          <c:yMode val="edge"/>
          <c:x val="7.1988407699037624E-2"/>
          <c:y val="0.1717579353572305"/>
          <c:w val="0.86871872265966754"/>
          <c:h val="0.70470790301353969"/>
        </c:manualLayout>
      </c:layout>
      <c:lineChart>
        <c:grouping val="standard"/>
        <c:varyColors val="0"/>
        <c:ser>
          <c:idx val="1"/>
          <c:order val="0"/>
          <c:tx>
            <c:strRef>
              <c:f>'[WRES 2020.xlsx]Indicator 5'!$A$5</c:f>
              <c:strCache>
                <c:ptCount val="1"/>
                <c:pt idx="0">
                  <c:v>White EKHUFT</c:v>
                </c:pt>
              </c:strCache>
            </c:strRef>
          </c:tx>
          <c:spPr>
            <a:ln w="63500">
              <a:solidFill>
                <a:schemeClr val="accent1"/>
              </a:solidFill>
            </a:ln>
          </c:spPr>
          <c:marker>
            <c:symbol val="none"/>
          </c:marker>
          <c:cat>
            <c:numRef>
              <c:f>'[WRES 2020.xlsx]Indicator 5'!$B$4:$D$4</c:f>
              <c:numCache>
                <c:formatCode>General</c:formatCode>
                <c:ptCount val="3"/>
                <c:pt idx="0">
                  <c:v>2018</c:v>
                </c:pt>
                <c:pt idx="1">
                  <c:v>2019</c:v>
                </c:pt>
                <c:pt idx="2">
                  <c:v>2020</c:v>
                </c:pt>
              </c:numCache>
            </c:numRef>
          </c:cat>
          <c:val>
            <c:numRef>
              <c:f>'[WRES 2020.xlsx]Indicator 5'!$B$5:$D$5</c:f>
              <c:numCache>
                <c:formatCode>General</c:formatCode>
                <c:ptCount val="3"/>
                <c:pt idx="0">
                  <c:v>33.700000000000003</c:v>
                </c:pt>
                <c:pt idx="1">
                  <c:v>33.6</c:v>
                </c:pt>
                <c:pt idx="2">
                  <c:v>33.4</c:v>
                </c:pt>
              </c:numCache>
            </c:numRef>
          </c:val>
          <c:smooth val="0"/>
          <c:extLst>
            <c:ext xmlns:c16="http://schemas.microsoft.com/office/drawing/2014/chart" uri="{C3380CC4-5D6E-409C-BE32-E72D297353CC}">
              <c16:uniqueId val="{00000000-EE55-4CDE-AA1A-653060BBFD32}"/>
            </c:ext>
          </c:extLst>
        </c:ser>
        <c:ser>
          <c:idx val="2"/>
          <c:order val="1"/>
          <c:tx>
            <c:strRef>
              <c:f>'[WRES 2020.xlsx]Indicator 5'!$A$6</c:f>
              <c:strCache>
                <c:ptCount val="1"/>
                <c:pt idx="0">
                  <c:v>BAME EKHUFT</c:v>
                </c:pt>
              </c:strCache>
            </c:strRef>
          </c:tx>
          <c:spPr>
            <a:ln w="63500">
              <a:solidFill>
                <a:schemeClr val="accent1"/>
              </a:solidFill>
              <a:prstDash val="sysDash"/>
            </a:ln>
          </c:spPr>
          <c:marker>
            <c:symbol val="none"/>
          </c:marker>
          <c:cat>
            <c:numRef>
              <c:f>'[WRES 2020.xlsx]Indicator 5'!$B$4:$D$4</c:f>
              <c:numCache>
                <c:formatCode>General</c:formatCode>
                <c:ptCount val="3"/>
                <c:pt idx="0">
                  <c:v>2018</c:v>
                </c:pt>
                <c:pt idx="1">
                  <c:v>2019</c:v>
                </c:pt>
                <c:pt idx="2">
                  <c:v>2020</c:v>
                </c:pt>
              </c:numCache>
            </c:numRef>
          </c:cat>
          <c:val>
            <c:numRef>
              <c:f>'[WRES 2020.xlsx]Indicator 5'!$B$6:$D$6</c:f>
              <c:numCache>
                <c:formatCode>General</c:formatCode>
                <c:ptCount val="3"/>
                <c:pt idx="0">
                  <c:v>33.299999999999997</c:v>
                </c:pt>
                <c:pt idx="1">
                  <c:v>33.200000000000003</c:v>
                </c:pt>
                <c:pt idx="2">
                  <c:v>35.299999999999997</c:v>
                </c:pt>
              </c:numCache>
            </c:numRef>
          </c:val>
          <c:smooth val="0"/>
          <c:extLst>
            <c:ext xmlns:c16="http://schemas.microsoft.com/office/drawing/2014/chart" uri="{C3380CC4-5D6E-409C-BE32-E72D297353CC}">
              <c16:uniqueId val="{00000001-EE55-4CDE-AA1A-653060BBFD32}"/>
            </c:ext>
          </c:extLst>
        </c:ser>
        <c:ser>
          <c:idx val="3"/>
          <c:order val="2"/>
          <c:tx>
            <c:strRef>
              <c:f>'[WRES 2020.xlsx]Indicator 5'!$A$7</c:f>
              <c:strCache>
                <c:ptCount val="1"/>
                <c:pt idx="0">
                  <c:v>White: Acute Trusts</c:v>
                </c:pt>
              </c:strCache>
            </c:strRef>
          </c:tx>
          <c:spPr>
            <a:ln w="63500">
              <a:prstDash val="solid"/>
            </a:ln>
          </c:spPr>
          <c:marker>
            <c:symbol val="none"/>
          </c:marker>
          <c:cat>
            <c:numRef>
              <c:f>'[WRES 2020.xlsx]Indicator 5'!$B$4:$D$4</c:f>
              <c:numCache>
                <c:formatCode>General</c:formatCode>
                <c:ptCount val="3"/>
                <c:pt idx="0">
                  <c:v>2018</c:v>
                </c:pt>
                <c:pt idx="1">
                  <c:v>2019</c:v>
                </c:pt>
                <c:pt idx="2">
                  <c:v>2020</c:v>
                </c:pt>
              </c:numCache>
            </c:numRef>
          </c:cat>
          <c:val>
            <c:numRef>
              <c:f>'[WRES 2020.xlsx]Indicator 5'!$B$7:$D$7</c:f>
              <c:numCache>
                <c:formatCode>General</c:formatCode>
                <c:ptCount val="3"/>
                <c:pt idx="0">
                  <c:v>27.7</c:v>
                </c:pt>
                <c:pt idx="1">
                  <c:v>28.4</c:v>
                </c:pt>
                <c:pt idx="2">
                  <c:v>28.2</c:v>
                </c:pt>
              </c:numCache>
            </c:numRef>
          </c:val>
          <c:smooth val="0"/>
          <c:extLst>
            <c:ext xmlns:c16="http://schemas.microsoft.com/office/drawing/2014/chart" uri="{C3380CC4-5D6E-409C-BE32-E72D297353CC}">
              <c16:uniqueId val="{00000002-EE55-4CDE-AA1A-653060BBFD32}"/>
            </c:ext>
          </c:extLst>
        </c:ser>
        <c:ser>
          <c:idx val="4"/>
          <c:order val="3"/>
          <c:tx>
            <c:strRef>
              <c:f>'[WRES 2020.xlsx]Indicator 5'!$A$8</c:f>
              <c:strCache>
                <c:ptCount val="1"/>
                <c:pt idx="0">
                  <c:v>BAME: Acute Trusts</c:v>
                </c:pt>
              </c:strCache>
            </c:strRef>
          </c:tx>
          <c:spPr>
            <a:ln w="63500">
              <a:solidFill>
                <a:schemeClr val="accent4">
                  <a:shade val="95000"/>
                  <a:satMod val="105000"/>
                </a:schemeClr>
              </a:solidFill>
              <a:prstDash val="sysDash"/>
            </a:ln>
          </c:spPr>
          <c:marker>
            <c:symbol val="none"/>
          </c:marker>
          <c:cat>
            <c:numRef>
              <c:f>'[WRES 2020.xlsx]Indicator 5'!$B$4:$D$4</c:f>
              <c:numCache>
                <c:formatCode>General</c:formatCode>
                <c:ptCount val="3"/>
                <c:pt idx="0">
                  <c:v>2018</c:v>
                </c:pt>
                <c:pt idx="1">
                  <c:v>2019</c:v>
                </c:pt>
                <c:pt idx="2">
                  <c:v>2020</c:v>
                </c:pt>
              </c:numCache>
            </c:numRef>
          </c:cat>
          <c:val>
            <c:numRef>
              <c:f>'[WRES 2020.xlsx]Indicator 5'!$B$8:$D$8</c:f>
              <c:numCache>
                <c:formatCode>General</c:formatCode>
                <c:ptCount val="3"/>
                <c:pt idx="0">
                  <c:v>27.7</c:v>
                </c:pt>
                <c:pt idx="1">
                  <c:v>29.8</c:v>
                </c:pt>
                <c:pt idx="2">
                  <c:v>29.9</c:v>
                </c:pt>
              </c:numCache>
            </c:numRef>
          </c:val>
          <c:smooth val="0"/>
          <c:extLst>
            <c:ext xmlns:c16="http://schemas.microsoft.com/office/drawing/2014/chart" uri="{C3380CC4-5D6E-409C-BE32-E72D297353CC}">
              <c16:uniqueId val="{00000003-EE55-4CDE-AA1A-653060BBFD32}"/>
            </c:ext>
          </c:extLst>
        </c:ser>
        <c:dLbls>
          <c:showLegendKey val="0"/>
          <c:showVal val="0"/>
          <c:showCatName val="0"/>
          <c:showSerName val="0"/>
          <c:showPercent val="0"/>
          <c:showBubbleSize val="0"/>
        </c:dLbls>
        <c:smooth val="0"/>
        <c:axId val="208003840"/>
        <c:axId val="208005376"/>
      </c:lineChart>
      <c:catAx>
        <c:axId val="208003840"/>
        <c:scaling>
          <c:orientation val="minMax"/>
        </c:scaling>
        <c:delete val="0"/>
        <c:axPos val="b"/>
        <c:numFmt formatCode="General" sourceLinked="1"/>
        <c:majorTickMark val="out"/>
        <c:minorTickMark val="none"/>
        <c:tickLblPos val="nextTo"/>
        <c:crossAx val="208005376"/>
        <c:crosses val="autoZero"/>
        <c:auto val="1"/>
        <c:lblAlgn val="ctr"/>
        <c:lblOffset val="100"/>
        <c:noMultiLvlLbl val="0"/>
      </c:catAx>
      <c:valAx>
        <c:axId val="208005376"/>
        <c:scaling>
          <c:orientation val="minMax"/>
          <c:max val="40"/>
          <c:min val="20"/>
        </c:scaling>
        <c:delete val="0"/>
        <c:axPos val="l"/>
        <c:majorGridlines/>
        <c:numFmt formatCode="General" sourceLinked="1"/>
        <c:majorTickMark val="out"/>
        <c:minorTickMark val="none"/>
        <c:tickLblPos val="nextTo"/>
        <c:crossAx val="208003840"/>
        <c:crosses val="autoZero"/>
        <c:crossBetween val="between"/>
      </c:valAx>
    </c:plotArea>
    <c:legend>
      <c:legendPos val="r"/>
      <c:layout>
        <c:manualLayout>
          <c:xMode val="edge"/>
          <c:yMode val="edge"/>
          <c:x val="0.51015157480314965"/>
          <c:y val="0.65822667350717134"/>
          <c:w val="0.38151509186351706"/>
          <c:h val="0.20535730484114414"/>
        </c:manualLayout>
      </c:layout>
      <c:overlay val="0"/>
      <c:spPr>
        <a:solidFill>
          <a:schemeClr val="bg1"/>
        </a:solidFill>
        <a:ln>
          <a:solidFill>
            <a:schemeClr val="accent1">
              <a:shade val="95000"/>
              <a:satMod val="105000"/>
            </a:schemeClr>
          </a:solidFill>
        </a:ln>
      </c:spPr>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latin typeface="Arial" panose="020B0604020202020204" pitchFamily="34" charset="0"/>
                <a:cs typeface="Arial" panose="020B0604020202020204" pitchFamily="34" charset="0"/>
              </a:defRPr>
            </a:pPr>
            <a:r>
              <a:rPr lang="en-GB" sz="1100" b="1" i="0" baseline="0">
                <a:effectLst/>
                <a:latin typeface="Arial" panose="020B0604020202020204" pitchFamily="34" charset="0"/>
                <a:cs typeface="Arial" panose="020B0604020202020204" pitchFamily="34" charset="0"/>
              </a:rPr>
              <a:t>% of staff experiencing harassment, bullying or abuse from staff </a:t>
            </a:r>
            <a:endParaRPr lang="en-GB" sz="1100">
              <a:effectLst/>
              <a:latin typeface="Arial" panose="020B0604020202020204" pitchFamily="34" charset="0"/>
              <a:cs typeface="Arial" panose="020B0604020202020204" pitchFamily="34" charset="0"/>
            </a:endParaRPr>
          </a:p>
        </c:rich>
      </c:tx>
      <c:overlay val="0"/>
      <c:spPr>
        <a:solidFill>
          <a:schemeClr val="bg1"/>
        </a:solidFill>
        <a:ln>
          <a:solidFill>
            <a:schemeClr val="tx1"/>
          </a:solidFill>
        </a:ln>
      </c:spPr>
    </c:title>
    <c:autoTitleDeleted val="0"/>
    <c:plotArea>
      <c:layout>
        <c:manualLayout>
          <c:layoutTarget val="inner"/>
          <c:xMode val="edge"/>
          <c:yMode val="edge"/>
          <c:x val="7.1988407699037624E-2"/>
          <c:y val="0.16063483800062181"/>
          <c:w val="0.88692672790901128"/>
          <c:h val="0.72338532063657335"/>
        </c:manualLayout>
      </c:layout>
      <c:lineChart>
        <c:grouping val="standard"/>
        <c:varyColors val="0"/>
        <c:ser>
          <c:idx val="1"/>
          <c:order val="0"/>
          <c:tx>
            <c:strRef>
              <c:f>'[WRES 2020.xlsx]Indicator 6'!$A$6</c:f>
              <c:strCache>
                <c:ptCount val="1"/>
                <c:pt idx="0">
                  <c:v>White ERKHUFT</c:v>
                </c:pt>
              </c:strCache>
            </c:strRef>
          </c:tx>
          <c:spPr>
            <a:ln w="63500">
              <a:solidFill>
                <a:schemeClr val="accent1"/>
              </a:solidFill>
            </a:ln>
          </c:spPr>
          <c:marker>
            <c:symbol val="none"/>
          </c:marker>
          <c:cat>
            <c:numRef>
              <c:f>'[WRES 2020.xlsx]Indicator 6'!$B$5:$D$5</c:f>
              <c:numCache>
                <c:formatCode>0.0</c:formatCode>
                <c:ptCount val="3"/>
                <c:pt idx="0">
                  <c:v>2018</c:v>
                </c:pt>
                <c:pt idx="1">
                  <c:v>2019</c:v>
                </c:pt>
                <c:pt idx="2">
                  <c:v>2020</c:v>
                </c:pt>
              </c:numCache>
            </c:numRef>
          </c:cat>
          <c:val>
            <c:numRef>
              <c:f>'[WRES 2020.xlsx]Indicator 6'!$B$6:$D$6</c:f>
              <c:numCache>
                <c:formatCode>0.0</c:formatCode>
                <c:ptCount val="3"/>
                <c:pt idx="0">
                  <c:v>34.4</c:v>
                </c:pt>
                <c:pt idx="1">
                  <c:v>35.700000000000003</c:v>
                </c:pt>
                <c:pt idx="2">
                  <c:v>32.4</c:v>
                </c:pt>
              </c:numCache>
            </c:numRef>
          </c:val>
          <c:smooth val="0"/>
          <c:extLst>
            <c:ext xmlns:c16="http://schemas.microsoft.com/office/drawing/2014/chart" uri="{C3380CC4-5D6E-409C-BE32-E72D297353CC}">
              <c16:uniqueId val="{00000000-C856-4436-A061-2C57D0AA81D6}"/>
            </c:ext>
          </c:extLst>
        </c:ser>
        <c:ser>
          <c:idx val="2"/>
          <c:order val="1"/>
          <c:tx>
            <c:strRef>
              <c:f>'[WRES 2020.xlsx]Indicator 6'!$A$7</c:f>
              <c:strCache>
                <c:ptCount val="1"/>
                <c:pt idx="0">
                  <c:v>BAME EKHUFT</c:v>
                </c:pt>
              </c:strCache>
            </c:strRef>
          </c:tx>
          <c:spPr>
            <a:ln w="63500">
              <a:solidFill>
                <a:schemeClr val="accent1"/>
              </a:solidFill>
              <a:prstDash val="sysDash"/>
            </a:ln>
          </c:spPr>
          <c:marker>
            <c:symbol val="none"/>
          </c:marker>
          <c:cat>
            <c:numRef>
              <c:f>'[WRES 2020.xlsx]Indicator 6'!$B$5:$D$5</c:f>
              <c:numCache>
                <c:formatCode>0.0</c:formatCode>
                <c:ptCount val="3"/>
                <c:pt idx="0">
                  <c:v>2018</c:v>
                </c:pt>
                <c:pt idx="1">
                  <c:v>2019</c:v>
                </c:pt>
                <c:pt idx="2">
                  <c:v>2020</c:v>
                </c:pt>
              </c:numCache>
            </c:numRef>
          </c:cat>
          <c:val>
            <c:numRef>
              <c:f>'[WRES 2020.xlsx]Indicator 6'!$B$7:$D$7</c:f>
              <c:numCache>
                <c:formatCode>0.0</c:formatCode>
                <c:ptCount val="3"/>
                <c:pt idx="0">
                  <c:v>32</c:v>
                </c:pt>
                <c:pt idx="1">
                  <c:v>39.5</c:v>
                </c:pt>
                <c:pt idx="2">
                  <c:v>35.700000000000003</c:v>
                </c:pt>
              </c:numCache>
            </c:numRef>
          </c:val>
          <c:smooth val="0"/>
          <c:extLst>
            <c:ext xmlns:c16="http://schemas.microsoft.com/office/drawing/2014/chart" uri="{C3380CC4-5D6E-409C-BE32-E72D297353CC}">
              <c16:uniqueId val="{00000001-C856-4436-A061-2C57D0AA81D6}"/>
            </c:ext>
          </c:extLst>
        </c:ser>
        <c:ser>
          <c:idx val="3"/>
          <c:order val="2"/>
          <c:tx>
            <c:strRef>
              <c:f>'[WRES 2020.xlsx]Indicator 6'!$A$8</c:f>
              <c:strCache>
                <c:ptCount val="1"/>
                <c:pt idx="0">
                  <c:v>White: Average Acute</c:v>
                </c:pt>
              </c:strCache>
            </c:strRef>
          </c:tx>
          <c:spPr>
            <a:ln w="63500"/>
          </c:spPr>
          <c:marker>
            <c:symbol val="none"/>
          </c:marker>
          <c:cat>
            <c:numRef>
              <c:f>'[WRES 2020.xlsx]Indicator 6'!$B$5:$D$5</c:f>
              <c:numCache>
                <c:formatCode>0.0</c:formatCode>
                <c:ptCount val="3"/>
                <c:pt idx="0">
                  <c:v>2018</c:v>
                </c:pt>
                <c:pt idx="1">
                  <c:v>2019</c:v>
                </c:pt>
                <c:pt idx="2">
                  <c:v>2020</c:v>
                </c:pt>
              </c:numCache>
            </c:numRef>
          </c:cat>
          <c:val>
            <c:numRef>
              <c:f>'[WRES 2020.xlsx]Indicator 6'!$B$8:$D$8</c:f>
              <c:numCache>
                <c:formatCode>0.0</c:formatCode>
                <c:ptCount val="3"/>
                <c:pt idx="0">
                  <c:v>24.8</c:v>
                </c:pt>
                <c:pt idx="1">
                  <c:v>26.4</c:v>
                </c:pt>
                <c:pt idx="2">
                  <c:v>25.8</c:v>
                </c:pt>
              </c:numCache>
            </c:numRef>
          </c:val>
          <c:smooth val="0"/>
          <c:extLst>
            <c:ext xmlns:c16="http://schemas.microsoft.com/office/drawing/2014/chart" uri="{C3380CC4-5D6E-409C-BE32-E72D297353CC}">
              <c16:uniqueId val="{00000002-C856-4436-A061-2C57D0AA81D6}"/>
            </c:ext>
          </c:extLst>
        </c:ser>
        <c:ser>
          <c:idx val="4"/>
          <c:order val="3"/>
          <c:tx>
            <c:strRef>
              <c:f>'[WRES 2020.xlsx]Indicator 6'!$A$9</c:f>
              <c:strCache>
                <c:ptCount val="1"/>
                <c:pt idx="0">
                  <c:v>BAME: Average Acute</c:v>
                </c:pt>
              </c:strCache>
            </c:strRef>
          </c:tx>
          <c:spPr>
            <a:ln w="63500">
              <a:solidFill>
                <a:schemeClr val="accent4"/>
              </a:solidFill>
              <a:prstDash val="sysDash"/>
            </a:ln>
          </c:spPr>
          <c:marker>
            <c:symbol val="none"/>
          </c:marker>
          <c:cat>
            <c:numRef>
              <c:f>'[WRES 2020.xlsx]Indicator 6'!$B$5:$D$5</c:f>
              <c:numCache>
                <c:formatCode>0.0</c:formatCode>
                <c:ptCount val="3"/>
                <c:pt idx="0">
                  <c:v>2018</c:v>
                </c:pt>
                <c:pt idx="1">
                  <c:v>2019</c:v>
                </c:pt>
                <c:pt idx="2">
                  <c:v>2020</c:v>
                </c:pt>
              </c:numCache>
            </c:numRef>
          </c:cat>
          <c:val>
            <c:numRef>
              <c:f>'[WRES 2020.xlsx]Indicator 6'!$B$9:$D$9</c:f>
              <c:numCache>
                <c:formatCode>0.0</c:formatCode>
                <c:ptCount val="3"/>
                <c:pt idx="0">
                  <c:v>27.1</c:v>
                </c:pt>
                <c:pt idx="1">
                  <c:v>28.6</c:v>
                </c:pt>
                <c:pt idx="2">
                  <c:v>28.8</c:v>
                </c:pt>
              </c:numCache>
            </c:numRef>
          </c:val>
          <c:smooth val="0"/>
          <c:extLst>
            <c:ext xmlns:c16="http://schemas.microsoft.com/office/drawing/2014/chart" uri="{C3380CC4-5D6E-409C-BE32-E72D297353CC}">
              <c16:uniqueId val="{00000003-C856-4436-A061-2C57D0AA81D6}"/>
            </c:ext>
          </c:extLst>
        </c:ser>
        <c:dLbls>
          <c:showLegendKey val="0"/>
          <c:showVal val="0"/>
          <c:showCatName val="0"/>
          <c:showSerName val="0"/>
          <c:showPercent val="0"/>
          <c:showBubbleSize val="0"/>
        </c:dLbls>
        <c:smooth val="0"/>
        <c:axId val="208990592"/>
        <c:axId val="208992128"/>
      </c:lineChart>
      <c:catAx>
        <c:axId val="208990592"/>
        <c:scaling>
          <c:orientation val="minMax"/>
        </c:scaling>
        <c:delete val="0"/>
        <c:axPos val="b"/>
        <c:title>
          <c:overlay val="0"/>
        </c:title>
        <c:numFmt formatCode="0.0" sourceLinked="1"/>
        <c:majorTickMark val="out"/>
        <c:minorTickMark val="none"/>
        <c:tickLblPos val="nextTo"/>
        <c:crossAx val="208992128"/>
        <c:crosses val="autoZero"/>
        <c:auto val="1"/>
        <c:lblAlgn val="ctr"/>
        <c:lblOffset val="100"/>
        <c:noMultiLvlLbl val="0"/>
      </c:catAx>
      <c:valAx>
        <c:axId val="208992128"/>
        <c:scaling>
          <c:orientation val="minMax"/>
        </c:scaling>
        <c:delete val="0"/>
        <c:axPos val="l"/>
        <c:majorGridlines/>
        <c:title>
          <c:overlay val="0"/>
        </c:title>
        <c:numFmt formatCode="0.0" sourceLinked="1"/>
        <c:majorTickMark val="out"/>
        <c:minorTickMark val="none"/>
        <c:tickLblPos val="nextTo"/>
        <c:crossAx val="208990592"/>
        <c:crosses val="autoZero"/>
        <c:crossBetween val="between"/>
      </c:valAx>
    </c:plotArea>
    <c:legend>
      <c:legendPos val="r"/>
      <c:layout>
        <c:manualLayout>
          <c:xMode val="edge"/>
          <c:yMode val="edge"/>
          <c:x val="0.45891513560804897"/>
          <c:y val="0.58476450860309137"/>
          <c:w val="0.48830708661417321"/>
          <c:h val="0.22423461530118652"/>
        </c:manualLayout>
      </c:layout>
      <c:overlay val="0"/>
      <c:spPr>
        <a:solidFill>
          <a:schemeClr val="bg1"/>
        </a:solidFill>
        <a:ln>
          <a:solidFill>
            <a:schemeClr val="accent1">
              <a:shade val="95000"/>
              <a:satMod val="105000"/>
            </a:schemeClr>
          </a:solidFill>
        </a:ln>
      </c:sp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GB" sz="1100" b="1" i="0" baseline="0">
                <a:effectLst/>
                <a:latin typeface="Arial" panose="020B0604020202020204" pitchFamily="34" charset="0"/>
                <a:cs typeface="Arial" panose="020B0604020202020204" pitchFamily="34" charset="0"/>
              </a:rPr>
              <a:t>% staff believing that trust provides equal opportunities for career progression or promotion </a:t>
            </a:r>
            <a:endParaRPr lang="en-GB" sz="1100" b="1">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8.607174103237096E-2"/>
          <c:y val="0.1589643584271592"/>
          <c:w val="0.88395450568678924"/>
          <c:h val="0.76299310717001501"/>
        </c:manualLayout>
      </c:layout>
      <c:lineChart>
        <c:grouping val="standard"/>
        <c:varyColors val="0"/>
        <c:ser>
          <c:idx val="1"/>
          <c:order val="0"/>
          <c:tx>
            <c:strRef>
              <c:f>'[WRES 2020.xlsx]Indicator 7'!$A$6</c:f>
              <c:strCache>
                <c:ptCount val="1"/>
                <c:pt idx="0">
                  <c:v>White EKHUFT</c:v>
                </c:pt>
              </c:strCache>
            </c:strRef>
          </c:tx>
          <c:spPr>
            <a:ln w="63500">
              <a:solidFill>
                <a:schemeClr val="accent1">
                  <a:shade val="95000"/>
                  <a:satMod val="105000"/>
                </a:schemeClr>
              </a:solidFill>
            </a:ln>
          </c:spPr>
          <c:marker>
            <c:symbol val="none"/>
          </c:marker>
          <c:cat>
            <c:numRef>
              <c:f>'[WRES 2020.xlsx]Indicator 7'!$B$5:$D$5</c:f>
              <c:numCache>
                <c:formatCode>General</c:formatCode>
                <c:ptCount val="3"/>
                <c:pt idx="0">
                  <c:v>2018</c:v>
                </c:pt>
                <c:pt idx="1">
                  <c:v>2019</c:v>
                </c:pt>
                <c:pt idx="2">
                  <c:v>2020</c:v>
                </c:pt>
              </c:numCache>
            </c:numRef>
          </c:cat>
          <c:val>
            <c:numRef>
              <c:f>'[WRES 2020.xlsx]Indicator 7'!$B$6:$D$6</c:f>
              <c:numCache>
                <c:formatCode>General</c:formatCode>
                <c:ptCount val="3"/>
                <c:pt idx="0">
                  <c:v>83.4</c:v>
                </c:pt>
                <c:pt idx="1">
                  <c:v>81.2</c:v>
                </c:pt>
                <c:pt idx="2">
                  <c:v>85.6</c:v>
                </c:pt>
              </c:numCache>
            </c:numRef>
          </c:val>
          <c:smooth val="0"/>
          <c:extLst>
            <c:ext xmlns:c16="http://schemas.microsoft.com/office/drawing/2014/chart" uri="{C3380CC4-5D6E-409C-BE32-E72D297353CC}">
              <c16:uniqueId val="{00000000-71C9-47D8-B0DA-D5513315F205}"/>
            </c:ext>
          </c:extLst>
        </c:ser>
        <c:ser>
          <c:idx val="2"/>
          <c:order val="1"/>
          <c:tx>
            <c:strRef>
              <c:f>'[WRES 2020.xlsx]Indicator 7'!$A$7</c:f>
              <c:strCache>
                <c:ptCount val="1"/>
                <c:pt idx="0">
                  <c:v>BAME EKHUFT</c:v>
                </c:pt>
              </c:strCache>
            </c:strRef>
          </c:tx>
          <c:spPr>
            <a:ln w="63500">
              <a:solidFill>
                <a:schemeClr val="accent1"/>
              </a:solidFill>
              <a:prstDash val="sysDash"/>
            </a:ln>
          </c:spPr>
          <c:marker>
            <c:symbol val="none"/>
          </c:marker>
          <c:cat>
            <c:numRef>
              <c:f>'[WRES 2020.xlsx]Indicator 7'!$B$5:$D$5</c:f>
              <c:numCache>
                <c:formatCode>General</c:formatCode>
                <c:ptCount val="3"/>
                <c:pt idx="0">
                  <c:v>2018</c:v>
                </c:pt>
                <c:pt idx="1">
                  <c:v>2019</c:v>
                </c:pt>
                <c:pt idx="2">
                  <c:v>2020</c:v>
                </c:pt>
              </c:numCache>
            </c:numRef>
          </c:cat>
          <c:val>
            <c:numRef>
              <c:f>'[WRES 2020.xlsx]Indicator 7'!$B$7:$D$7</c:f>
              <c:numCache>
                <c:formatCode>General</c:formatCode>
                <c:ptCount val="3"/>
                <c:pt idx="0">
                  <c:v>74.099999999999994</c:v>
                </c:pt>
                <c:pt idx="1">
                  <c:v>70.7</c:v>
                </c:pt>
                <c:pt idx="2">
                  <c:v>74.400000000000006</c:v>
                </c:pt>
              </c:numCache>
            </c:numRef>
          </c:val>
          <c:smooth val="0"/>
          <c:extLst>
            <c:ext xmlns:c16="http://schemas.microsoft.com/office/drawing/2014/chart" uri="{C3380CC4-5D6E-409C-BE32-E72D297353CC}">
              <c16:uniqueId val="{00000001-71C9-47D8-B0DA-D5513315F205}"/>
            </c:ext>
          </c:extLst>
        </c:ser>
        <c:ser>
          <c:idx val="3"/>
          <c:order val="2"/>
          <c:tx>
            <c:strRef>
              <c:f>'[WRES 2020.xlsx]Indicator 7'!$A$8</c:f>
              <c:strCache>
                <c:ptCount val="1"/>
                <c:pt idx="0">
                  <c:v>White: Average Acute</c:v>
                </c:pt>
              </c:strCache>
            </c:strRef>
          </c:tx>
          <c:spPr>
            <a:ln w="63500"/>
          </c:spPr>
          <c:marker>
            <c:symbol val="none"/>
          </c:marker>
          <c:cat>
            <c:numRef>
              <c:f>'[WRES 2020.xlsx]Indicator 7'!$B$5:$D$5</c:f>
              <c:numCache>
                <c:formatCode>General</c:formatCode>
                <c:ptCount val="3"/>
                <c:pt idx="0">
                  <c:v>2018</c:v>
                </c:pt>
                <c:pt idx="1">
                  <c:v>2019</c:v>
                </c:pt>
                <c:pt idx="2">
                  <c:v>2020</c:v>
                </c:pt>
              </c:numCache>
            </c:numRef>
          </c:cat>
          <c:val>
            <c:numRef>
              <c:f>'[WRES 2020.xlsx]Indicator 7'!$B$8:$D$8</c:f>
              <c:numCache>
                <c:formatCode>General</c:formatCode>
                <c:ptCount val="3"/>
                <c:pt idx="0">
                  <c:v>86.8</c:v>
                </c:pt>
                <c:pt idx="1">
                  <c:v>86.5</c:v>
                </c:pt>
                <c:pt idx="2">
                  <c:v>86.7</c:v>
                </c:pt>
              </c:numCache>
            </c:numRef>
          </c:val>
          <c:smooth val="0"/>
          <c:extLst>
            <c:ext xmlns:c16="http://schemas.microsoft.com/office/drawing/2014/chart" uri="{C3380CC4-5D6E-409C-BE32-E72D297353CC}">
              <c16:uniqueId val="{00000002-71C9-47D8-B0DA-D5513315F205}"/>
            </c:ext>
          </c:extLst>
        </c:ser>
        <c:ser>
          <c:idx val="4"/>
          <c:order val="3"/>
          <c:tx>
            <c:strRef>
              <c:f>'[WRES 2020.xlsx]Indicator 7'!$A$9</c:f>
              <c:strCache>
                <c:ptCount val="1"/>
                <c:pt idx="0">
                  <c:v>BAME: Average Acute</c:v>
                </c:pt>
              </c:strCache>
            </c:strRef>
          </c:tx>
          <c:spPr>
            <a:ln w="63500">
              <a:solidFill>
                <a:schemeClr val="accent4"/>
              </a:solidFill>
              <a:prstDash val="sysDash"/>
            </a:ln>
          </c:spPr>
          <c:marker>
            <c:symbol val="none"/>
          </c:marker>
          <c:cat>
            <c:numRef>
              <c:f>'[WRES 2020.xlsx]Indicator 7'!$B$5:$D$5</c:f>
              <c:numCache>
                <c:formatCode>General</c:formatCode>
                <c:ptCount val="3"/>
                <c:pt idx="0">
                  <c:v>2018</c:v>
                </c:pt>
                <c:pt idx="1">
                  <c:v>2019</c:v>
                </c:pt>
                <c:pt idx="2">
                  <c:v>2020</c:v>
                </c:pt>
              </c:numCache>
            </c:numRef>
          </c:cat>
          <c:val>
            <c:numRef>
              <c:f>'[WRES 2020.xlsx]Indicator 7'!$B$9:$D$9</c:f>
              <c:numCache>
                <c:formatCode>General</c:formatCode>
                <c:ptCount val="3"/>
                <c:pt idx="0">
                  <c:v>75.099999999999994</c:v>
                </c:pt>
                <c:pt idx="1">
                  <c:v>72.3</c:v>
                </c:pt>
                <c:pt idx="2">
                  <c:v>74.400000000000006</c:v>
                </c:pt>
              </c:numCache>
            </c:numRef>
          </c:val>
          <c:smooth val="0"/>
          <c:extLst>
            <c:ext xmlns:c16="http://schemas.microsoft.com/office/drawing/2014/chart" uri="{C3380CC4-5D6E-409C-BE32-E72D297353CC}">
              <c16:uniqueId val="{00000003-71C9-47D8-B0DA-D5513315F205}"/>
            </c:ext>
          </c:extLst>
        </c:ser>
        <c:dLbls>
          <c:showLegendKey val="0"/>
          <c:showVal val="0"/>
          <c:showCatName val="0"/>
          <c:showSerName val="0"/>
          <c:showPercent val="0"/>
          <c:showBubbleSize val="0"/>
        </c:dLbls>
        <c:smooth val="0"/>
        <c:axId val="211353600"/>
        <c:axId val="211355136"/>
      </c:lineChart>
      <c:catAx>
        <c:axId val="211353600"/>
        <c:scaling>
          <c:orientation val="minMax"/>
        </c:scaling>
        <c:delete val="0"/>
        <c:axPos val="b"/>
        <c:numFmt formatCode="General" sourceLinked="1"/>
        <c:majorTickMark val="out"/>
        <c:minorTickMark val="none"/>
        <c:tickLblPos val="nextTo"/>
        <c:crossAx val="211355136"/>
        <c:crosses val="autoZero"/>
        <c:auto val="1"/>
        <c:lblAlgn val="ctr"/>
        <c:lblOffset val="100"/>
        <c:noMultiLvlLbl val="0"/>
      </c:catAx>
      <c:valAx>
        <c:axId val="211355136"/>
        <c:scaling>
          <c:orientation val="minMax"/>
          <c:max val="100"/>
          <c:min val="60"/>
        </c:scaling>
        <c:delete val="0"/>
        <c:axPos val="l"/>
        <c:majorGridlines/>
        <c:numFmt formatCode="General" sourceLinked="1"/>
        <c:majorTickMark val="out"/>
        <c:minorTickMark val="none"/>
        <c:tickLblPos val="nextTo"/>
        <c:crossAx val="211353600"/>
        <c:crosses val="autoZero"/>
        <c:crossBetween val="between"/>
      </c:valAx>
    </c:plotArea>
    <c:legend>
      <c:legendPos val="r"/>
      <c:layout>
        <c:manualLayout>
          <c:xMode val="edge"/>
          <c:yMode val="edge"/>
          <c:x val="9.5026246719160115E-2"/>
          <c:y val="0.1831672676429465"/>
          <c:w val="0.44664041994750658"/>
          <c:h val="0.15991169328133048"/>
        </c:manualLayout>
      </c:layout>
      <c:overlay val="0"/>
      <c:spPr>
        <a:solidFill>
          <a:schemeClr val="bg1"/>
        </a:solidFill>
        <a:ln>
          <a:solidFill>
            <a:schemeClr val="accent1">
              <a:shade val="95000"/>
              <a:satMod val="105000"/>
            </a:schemeClr>
          </a:solidFill>
        </a:ln>
      </c:sp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F091C8F5341DCB391D5DFF7505107"/>
        <w:category>
          <w:name w:val="General"/>
          <w:gallery w:val="placeholder"/>
        </w:category>
        <w:types>
          <w:type w:val="bbPlcHdr"/>
        </w:types>
        <w:behaviors>
          <w:behavior w:val="content"/>
        </w:behaviors>
        <w:guid w:val="{E7BB4E68-B6F4-48D1-97A6-1BC10CC5DB12}"/>
      </w:docPartPr>
      <w:docPartBody>
        <w:p w:rsidR="00A40297" w:rsidRDefault="00A40297" w:rsidP="00A40297">
          <w:pPr>
            <w:pStyle w:val="7FAF091C8F5341DCB391D5DFF7505107"/>
          </w:pPr>
          <w:r w:rsidRPr="00096119">
            <w:rPr>
              <w:rStyle w:val="PlaceholderText"/>
            </w:rPr>
            <w:t>[Title]</w:t>
          </w:r>
        </w:p>
      </w:docPartBody>
    </w:docPart>
    <w:docPart>
      <w:docPartPr>
        <w:name w:val="EDFA9545DE0745FA8543016534E50DD0"/>
        <w:category>
          <w:name w:val="General"/>
          <w:gallery w:val="placeholder"/>
        </w:category>
        <w:types>
          <w:type w:val="bbPlcHdr"/>
        </w:types>
        <w:behaviors>
          <w:behavior w:val="content"/>
        </w:behaviors>
        <w:guid w:val="{87786D32-DA82-446A-819C-08FF3B880971}"/>
      </w:docPartPr>
      <w:docPartBody>
        <w:p w:rsidR="00A40297" w:rsidRDefault="00A40297" w:rsidP="00A40297">
          <w:pPr>
            <w:pStyle w:val="EDFA9545DE0745FA8543016534E50DD0"/>
          </w:pPr>
          <w:r w:rsidRPr="00096119">
            <w:rPr>
              <w:rStyle w:val="PlaceholderText"/>
            </w:rPr>
            <w:t>[Subject]</w:t>
          </w:r>
        </w:p>
      </w:docPartBody>
    </w:docPart>
    <w:docPart>
      <w:docPartPr>
        <w:name w:val="F95FE1FDE70448B3A3A25EBCDCEFC84E"/>
        <w:category>
          <w:name w:val="General"/>
          <w:gallery w:val="placeholder"/>
        </w:category>
        <w:types>
          <w:type w:val="bbPlcHdr"/>
        </w:types>
        <w:behaviors>
          <w:behavior w:val="content"/>
        </w:behaviors>
        <w:guid w:val="{AE2D95F3-87E4-4A2D-A325-20355605D89A}"/>
      </w:docPartPr>
      <w:docPartBody>
        <w:p w:rsidR="00A40297" w:rsidRDefault="00A40297" w:rsidP="00A40297">
          <w:pPr>
            <w:pStyle w:val="F95FE1FDE70448B3A3A25EBCDCEFC84E"/>
          </w:pPr>
          <w:r w:rsidRPr="0009611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97"/>
    <w:rsid w:val="00A4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297"/>
    <w:rPr>
      <w:color w:val="808080"/>
    </w:rPr>
  </w:style>
  <w:style w:type="paragraph" w:customStyle="1" w:styleId="7FAF091C8F5341DCB391D5DFF7505107">
    <w:name w:val="7FAF091C8F5341DCB391D5DFF7505107"/>
    <w:rsid w:val="00A40297"/>
  </w:style>
  <w:style w:type="paragraph" w:customStyle="1" w:styleId="EDFA9545DE0745FA8543016534E50DD0">
    <w:name w:val="EDFA9545DE0745FA8543016534E50DD0"/>
    <w:rsid w:val="00A40297"/>
  </w:style>
  <w:style w:type="paragraph" w:customStyle="1" w:styleId="F95FE1FDE70448B3A3A25EBCDCEFC84E">
    <w:name w:val="F95FE1FDE70448B3A3A25EBCDCEFC84E"/>
    <w:rsid w:val="00A40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C605-5252-418E-A147-8DE12646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Workforce Race Equality Standard (WRES) Report 2020</vt:lpstr>
    </vt:vector>
  </TitlesOfParts>
  <Company>East Kent Hospital University Foundation Trust</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Race Equality Standard (WRES) Report 2020</dc:title>
  <dc:subject>Data for East Kent Hospital’s Workforce Race Equality Standard 2020.</dc:subject>
  <dc:creator>Bruce Campion-Smith</dc:creator>
  <cp:lastModifiedBy>Hollie Godwin</cp:lastModifiedBy>
  <cp:revision>3</cp:revision>
  <cp:lastPrinted>2019-07-10T11:21:00Z</cp:lastPrinted>
  <dcterms:created xsi:type="dcterms:W3CDTF">2023-07-07T11:52:00Z</dcterms:created>
  <dcterms:modified xsi:type="dcterms:W3CDTF">2023-07-07T12:02:00Z</dcterms:modified>
</cp:coreProperties>
</file>