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8.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48B66" w14:textId="4C89EE12" w:rsidR="00BF2857" w:rsidRPr="00E006CC" w:rsidRDefault="00BF2857" w:rsidP="009D592C">
      <w:pPr>
        <w:pStyle w:val="NoSpacing"/>
        <w:ind w:left="5954" w:right="-164" w:hanging="5954"/>
        <w:jc w:val="right"/>
        <w:rPr>
          <w:sz w:val="40"/>
          <w:szCs w:val="40"/>
        </w:rPr>
      </w:pPr>
      <w:bookmarkStart w:id="0" w:name="_Hlk221017836"/>
      <w:bookmarkEnd w:id="0"/>
      <w:r>
        <w:rPr>
          <w:noProof/>
        </w:rPr>
        <w:drawing>
          <wp:inline distT="0" distB="0" distL="0" distR="0" wp14:anchorId="1D7CD87B" wp14:editId="4C5D60A3">
            <wp:extent cx="2808000" cy="1591200"/>
            <wp:effectExtent l="0" t="0" r="0" b="9525"/>
            <wp:docPr id="7" name="Picture 7" descr="East Kent Hospit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st Kent Hospitals University NHS Foundation Trust CMYK BLUE white NHS.jpg"/>
                    <pic:cNvPicPr/>
                  </pic:nvPicPr>
                  <pic:blipFill rotWithShape="1">
                    <a:blip r:embed="rId8" cstate="print">
                      <a:extLst>
                        <a:ext uri="{28A0092B-C50C-407E-A947-70E740481C1C}">
                          <a14:useLocalDpi xmlns:a14="http://schemas.microsoft.com/office/drawing/2010/main" val="0"/>
                        </a:ext>
                      </a:extLst>
                    </a:blip>
                    <a:srcRect t="9000" r="6753"/>
                    <a:stretch/>
                  </pic:blipFill>
                  <pic:spPr bwMode="auto">
                    <a:xfrm>
                      <a:off x="0" y="0"/>
                      <a:ext cx="2808000" cy="1591200"/>
                    </a:xfrm>
                    <a:prstGeom prst="rect">
                      <a:avLst/>
                    </a:prstGeom>
                    <a:ln>
                      <a:noFill/>
                    </a:ln>
                    <a:extLst>
                      <a:ext uri="{53640926-AAD7-44D8-BBD7-CCE9431645EC}">
                        <a14:shadowObscured xmlns:a14="http://schemas.microsoft.com/office/drawing/2010/main"/>
                      </a:ext>
                    </a:extLst>
                  </pic:spPr>
                </pic:pic>
              </a:graphicData>
            </a:graphic>
          </wp:inline>
        </w:drawing>
      </w:r>
      <w:r w:rsidR="001D567E">
        <w:rPr>
          <w:sz w:val="40"/>
          <w:szCs w:val="40"/>
        </w:rPr>
        <w:br/>
      </w:r>
    </w:p>
    <w:p w14:paraId="0212D454" w14:textId="2C0176BD" w:rsidR="00BF2857" w:rsidRPr="007672DD" w:rsidRDefault="00E006CC" w:rsidP="00A028CD">
      <w:pPr>
        <w:pStyle w:val="Heading1"/>
        <w:ind w:right="-284"/>
        <w:rPr>
          <w:sz w:val="126"/>
          <w:szCs w:val="126"/>
        </w:rPr>
      </w:pPr>
      <w:r w:rsidRPr="007672DD">
        <w:rPr>
          <w:sz w:val="126"/>
          <w:szCs w:val="126"/>
        </w:rPr>
        <w:t xml:space="preserve">Our </w:t>
      </w:r>
      <w:r w:rsidR="00BF2857" w:rsidRPr="007672DD">
        <w:rPr>
          <w:sz w:val="126"/>
          <w:szCs w:val="126"/>
        </w:rPr>
        <w:t>Green Plan</w:t>
      </w:r>
      <w:bookmarkStart w:id="1" w:name="_GoBack"/>
      <w:bookmarkEnd w:id="1"/>
    </w:p>
    <w:p w14:paraId="56D9EEDF" w14:textId="168B3291" w:rsidR="00363092" w:rsidRDefault="00443484" w:rsidP="009D592C">
      <w:pPr>
        <w:pStyle w:val="NoSpacing"/>
        <w:spacing w:after="240"/>
        <w:ind w:left="142"/>
        <w:rPr>
          <w:sz w:val="32"/>
          <w:szCs w:val="32"/>
        </w:rPr>
      </w:pPr>
      <w:r w:rsidRPr="00E006CC">
        <w:rPr>
          <w:b/>
          <w:color w:val="469505"/>
          <w:sz w:val="72"/>
          <w:szCs w:val="72"/>
        </w:rPr>
        <w:t xml:space="preserve">2025/26 </w:t>
      </w:r>
      <w:r w:rsidR="002338FB" w:rsidRPr="00E006CC">
        <w:rPr>
          <w:b/>
          <w:color w:val="469505"/>
          <w:sz w:val="72"/>
          <w:szCs w:val="72"/>
        </w:rPr>
        <w:t>to</w:t>
      </w:r>
      <w:r w:rsidRPr="00E006CC">
        <w:rPr>
          <w:b/>
          <w:color w:val="469505"/>
          <w:sz w:val="72"/>
          <w:szCs w:val="72"/>
        </w:rPr>
        <w:t xml:space="preserve"> 2027/</w:t>
      </w:r>
      <w:r w:rsidR="00BF2857" w:rsidRPr="00E006CC">
        <w:rPr>
          <w:b/>
          <w:color w:val="469505"/>
          <w:sz w:val="72"/>
          <w:szCs w:val="72"/>
        </w:rPr>
        <w:t>28</w:t>
      </w:r>
      <w:bookmarkStart w:id="2" w:name="_Hlk221016598"/>
      <w:bookmarkEnd w:id="2"/>
      <w:r w:rsidR="00E006CC">
        <w:rPr>
          <w:b/>
          <w:color w:val="469505"/>
          <w:sz w:val="72"/>
          <w:szCs w:val="72"/>
        </w:rPr>
        <w:br/>
      </w:r>
      <w:r w:rsidR="00BF2857">
        <w:rPr>
          <w:noProof/>
        </w:rPr>
        <w:drawing>
          <wp:inline distT="0" distB="0" distL="0" distR="0" wp14:anchorId="09ABFA33" wp14:editId="20523822">
            <wp:extent cx="6196965" cy="3099435"/>
            <wp:effectExtent l="0" t="0" r="0" b="0"/>
            <wp:docPr id="8" name="Picture 8" descr="Green Pl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een plan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6965" cy="3099435"/>
                    </a:xfrm>
                    <a:prstGeom prst="rect">
                      <a:avLst/>
                    </a:prstGeom>
                  </pic:spPr>
                </pic:pic>
              </a:graphicData>
            </a:graphic>
          </wp:inline>
        </w:drawing>
      </w:r>
      <w:r w:rsidR="001D567E">
        <w:rPr>
          <w:b/>
          <w:color w:val="469505"/>
          <w:sz w:val="72"/>
          <w:szCs w:val="72"/>
        </w:rPr>
        <w:br/>
      </w:r>
      <w:r w:rsidR="00363092">
        <w:rPr>
          <w:rStyle w:val="Heading2Char"/>
          <w:sz w:val="36"/>
          <w:szCs w:val="36"/>
        </w:rPr>
        <w:br/>
      </w:r>
      <w:r w:rsidR="00363092">
        <w:rPr>
          <w:rStyle w:val="Heading2Char"/>
          <w:sz w:val="36"/>
          <w:szCs w:val="36"/>
        </w:rPr>
        <w:br/>
        <w:t>This is an accessible document</w:t>
      </w:r>
      <w:r w:rsidR="00363092" w:rsidRPr="00363092">
        <w:rPr>
          <w:rStyle w:val="Heading2Char"/>
        </w:rPr>
        <w:t xml:space="preserve"> </w:t>
      </w:r>
      <w:r w:rsidR="001D567E" w:rsidRPr="00363092">
        <w:rPr>
          <w:rStyle w:val="Heading2Char"/>
        </w:rPr>
        <w:br/>
      </w:r>
      <w:r w:rsidR="00363092" w:rsidRPr="00363092">
        <w:rPr>
          <w:sz w:val="32"/>
          <w:szCs w:val="32"/>
        </w:rPr>
        <w:t>This document has been produced in Word and fully checked for accessibility so that everyone, including people with disabilities, can access this information</w:t>
      </w:r>
      <w:r w:rsidR="00363092" w:rsidRPr="00363092">
        <w:t>.</w:t>
      </w:r>
      <w:r w:rsidR="00363092">
        <w:br/>
      </w:r>
    </w:p>
    <w:p w14:paraId="5C9B7278" w14:textId="67057156" w:rsidR="001D567E" w:rsidRPr="00363092" w:rsidRDefault="001D567E" w:rsidP="00363092">
      <w:pPr>
        <w:pStyle w:val="NoSpacing"/>
        <w:spacing w:after="240"/>
        <w:ind w:left="142"/>
        <w:rPr>
          <w:rFonts w:eastAsiaTheme="majorEastAsia" w:cstheme="majorBidi"/>
          <w:b/>
          <w:color w:val="009900"/>
          <w:sz w:val="48"/>
          <w:szCs w:val="26"/>
        </w:rPr>
      </w:pPr>
      <w:r w:rsidRPr="00363092">
        <w:rPr>
          <w:b/>
          <w:sz w:val="32"/>
          <w:szCs w:val="32"/>
        </w:rPr>
        <w:t>East Kent Hospitals University NHS Foundation Trust</w:t>
      </w:r>
      <w:r w:rsidR="00E53F18" w:rsidRPr="00363092">
        <w:rPr>
          <w:b/>
          <w:sz w:val="32"/>
          <w:szCs w:val="32"/>
        </w:rPr>
        <w:br/>
        <w:t>January 2026</w:t>
      </w:r>
    </w:p>
    <w:p w14:paraId="271D2900" w14:textId="77777777" w:rsidR="007672DD" w:rsidRDefault="007672DD" w:rsidP="00E53F18">
      <w:pPr>
        <w:pStyle w:val="Heading2"/>
      </w:pPr>
      <w:bookmarkStart w:id="3" w:name="_Toc198718806"/>
      <w:bookmarkStart w:id="4" w:name="_Toc220447407"/>
      <w:r>
        <w:br w:type="page"/>
      </w:r>
      <w:r w:rsidR="00697A35" w:rsidRPr="00E53F18">
        <w:lastRenderedPageBreak/>
        <w:t>Contents</w:t>
      </w:r>
      <w:bookmarkEnd w:id="3"/>
      <w:bookmarkEnd w:id="4"/>
    </w:p>
    <w:sdt>
      <w:sdtPr>
        <w:rPr>
          <w:rFonts w:eastAsiaTheme="minorEastAsia" w:cstheme="minorBidi"/>
          <w:color w:val="auto"/>
          <w:sz w:val="24"/>
          <w:szCs w:val="24"/>
        </w:rPr>
        <w:id w:val="693763327"/>
        <w:docPartObj>
          <w:docPartGallery w:val="Table of Contents"/>
          <w:docPartUnique/>
        </w:docPartObj>
      </w:sdtPr>
      <w:sdtEndPr>
        <w:rPr>
          <w:b w:val="0"/>
        </w:rPr>
      </w:sdtEndPr>
      <w:sdtContent>
        <w:p w14:paraId="0A37501D" w14:textId="53C4271B" w:rsidR="00CF7EA7" w:rsidRPr="003B5266" w:rsidRDefault="00CF7EA7" w:rsidP="00E53F18">
          <w:pPr>
            <w:pStyle w:val="Heading2"/>
          </w:pPr>
        </w:p>
        <w:p w14:paraId="1CB8ACB6" w14:textId="69775840" w:rsidR="00DB5B84" w:rsidRDefault="482803E5">
          <w:pPr>
            <w:pStyle w:val="TOC1"/>
            <w:tabs>
              <w:tab w:val="right" w:leader="dot" w:pos="9016"/>
            </w:tabs>
            <w:rPr>
              <w:rFonts w:asciiTheme="minorHAnsi" w:eastAsiaTheme="minorEastAsia" w:hAnsiTheme="minorHAnsi"/>
              <w:noProof/>
              <w:sz w:val="22"/>
              <w:lang w:eastAsia="en-GB"/>
            </w:rPr>
          </w:pPr>
          <w:r>
            <w:fldChar w:fldCharType="begin"/>
          </w:r>
          <w:r w:rsidR="00CF7EA7">
            <w:instrText>TOC \o "1-3" \z \u \h</w:instrText>
          </w:r>
          <w:r>
            <w:fldChar w:fldCharType="separate"/>
          </w:r>
          <w:hyperlink w:anchor="_Toc220447407" w:history="1">
            <w:r w:rsidR="00DB5B84" w:rsidRPr="004921D0">
              <w:rPr>
                <w:rStyle w:val="Hyperlink"/>
                <w:noProof/>
              </w:rPr>
              <w:t>Contents</w:t>
            </w:r>
            <w:r w:rsidR="00DB5B84">
              <w:rPr>
                <w:noProof/>
                <w:webHidden/>
              </w:rPr>
              <w:tab/>
            </w:r>
            <w:r w:rsidR="00DB5B84">
              <w:rPr>
                <w:noProof/>
                <w:webHidden/>
              </w:rPr>
              <w:fldChar w:fldCharType="begin"/>
            </w:r>
            <w:r w:rsidR="00DB5B84">
              <w:rPr>
                <w:noProof/>
                <w:webHidden/>
              </w:rPr>
              <w:instrText xml:space="preserve"> PAGEREF _Toc220447407 \h </w:instrText>
            </w:r>
            <w:r w:rsidR="00DB5B84">
              <w:rPr>
                <w:noProof/>
                <w:webHidden/>
              </w:rPr>
            </w:r>
            <w:r w:rsidR="00DB5B84">
              <w:rPr>
                <w:noProof/>
                <w:webHidden/>
              </w:rPr>
              <w:fldChar w:fldCharType="separate"/>
            </w:r>
            <w:r w:rsidR="00E53F18">
              <w:rPr>
                <w:noProof/>
                <w:webHidden/>
              </w:rPr>
              <w:t>2</w:t>
            </w:r>
            <w:r w:rsidR="00DB5B84">
              <w:rPr>
                <w:noProof/>
                <w:webHidden/>
              </w:rPr>
              <w:fldChar w:fldCharType="end"/>
            </w:r>
          </w:hyperlink>
        </w:p>
        <w:p w14:paraId="73C68C25" w14:textId="6A01BBB2" w:rsidR="00DB5B84" w:rsidRDefault="00BF2857">
          <w:pPr>
            <w:pStyle w:val="TOC1"/>
            <w:tabs>
              <w:tab w:val="right" w:leader="dot" w:pos="9016"/>
            </w:tabs>
            <w:rPr>
              <w:rFonts w:asciiTheme="minorHAnsi" w:eastAsiaTheme="minorEastAsia" w:hAnsiTheme="minorHAnsi"/>
              <w:noProof/>
              <w:sz w:val="22"/>
              <w:lang w:eastAsia="en-GB"/>
            </w:rPr>
          </w:pPr>
          <w:hyperlink w:anchor="_Toc220447408" w:history="1">
            <w:r w:rsidR="00DB5B84" w:rsidRPr="004921D0">
              <w:rPr>
                <w:rStyle w:val="Hyperlink"/>
                <w:noProof/>
              </w:rPr>
              <w:t>Foreword</w:t>
            </w:r>
            <w:r w:rsidR="00DB5B84">
              <w:rPr>
                <w:noProof/>
                <w:webHidden/>
              </w:rPr>
              <w:tab/>
            </w:r>
            <w:r w:rsidR="00DB5B84">
              <w:rPr>
                <w:noProof/>
                <w:webHidden/>
              </w:rPr>
              <w:fldChar w:fldCharType="begin"/>
            </w:r>
            <w:r w:rsidR="00DB5B84">
              <w:rPr>
                <w:noProof/>
                <w:webHidden/>
              </w:rPr>
              <w:instrText xml:space="preserve"> PAGEREF _Toc220447408 \h </w:instrText>
            </w:r>
            <w:r w:rsidR="00DB5B84">
              <w:rPr>
                <w:noProof/>
                <w:webHidden/>
              </w:rPr>
            </w:r>
            <w:r w:rsidR="00DB5B84">
              <w:rPr>
                <w:noProof/>
                <w:webHidden/>
              </w:rPr>
              <w:fldChar w:fldCharType="separate"/>
            </w:r>
            <w:r w:rsidR="00E53F18">
              <w:rPr>
                <w:noProof/>
                <w:webHidden/>
              </w:rPr>
              <w:t>3</w:t>
            </w:r>
            <w:r w:rsidR="00DB5B84">
              <w:rPr>
                <w:noProof/>
                <w:webHidden/>
              </w:rPr>
              <w:fldChar w:fldCharType="end"/>
            </w:r>
          </w:hyperlink>
        </w:p>
        <w:p w14:paraId="22FB52F7" w14:textId="498A0AE1" w:rsidR="00DB5B84" w:rsidRDefault="00BF2857">
          <w:pPr>
            <w:pStyle w:val="TOC1"/>
            <w:tabs>
              <w:tab w:val="right" w:leader="dot" w:pos="9016"/>
            </w:tabs>
            <w:rPr>
              <w:rFonts w:asciiTheme="minorHAnsi" w:eastAsiaTheme="minorEastAsia" w:hAnsiTheme="minorHAnsi"/>
              <w:noProof/>
              <w:sz w:val="22"/>
              <w:lang w:eastAsia="en-GB"/>
            </w:rPr>
          </w:pPr>
          <w:hyperlink w:anchor="_Toc220447409" w:history="1">
            <w:r w:rsidR="00DB5B84" w:rsidRPr="004921D0">
              <w:rPr>
                <w:rStyle w:val="Hyperlink"/>
                <w:noProof/>
              </w:rPr>
              <w:t>I. Introduction</w:t>
            </w:r>
            <w:r w:rsidR="00DB5B84">
              <w:rPr>
                <w:noProof/>
                <w:webHidden/>
              </w:rPr>
              <w:tab/>
            </w:r>
            <w:r w:rsidR="00DB5B84">
              <w:rPr>
                <w:noProof/>
                <w:webHidden/>
              </w:rPr>
              <w:fldChar w:fldCharType="begin"/>
            </w:r>
            <w:r w:rsidR="00DB5B84">
              <w:rPr>
                <w:noProof/>
                <w:webHidden/>
              </w:rPr>
              <w:instrText xml:space="preserve"> PAGEREF _Toc220447409 \h </w:instrText>
            </w:r>
            <w:r w:rsidR="00DB5B84">
              <w:rPr>
                <w:noProof/>
                <w:webHidden/>
              </w:rPr>
            </w:r>
            <w:r w:rsidR="00DB5B84">
              <w:rPr>
                <w:noProof/>
                <w:webHidden/>
              </w:rPr>
              <w:fldChar w:fldCharType="separate"/>
            </w:r>
            <w:r w:rsidR="00E53F18">
              <w:rPr>
                <w:noProof/>
                <w:webHidden/>
              </w:rPr>
              <w:t>4</w:t>
            </w:r>
            <w:r w:rsidR="00DB5B84">
              <w:rPr>
                <w:noProof/>
                <w:webHidden/>
              </w:rPr>
              <w:fldChar w:fldCharType="end"/>
            </w:r>
          </w:hyperlink>
        </w:p>
        <w:p w14:paraId="1EAA9A62" w14:textId="40DC0C8D" w:rsidR="00DB5B84" w:rsidRDefault="00BF2857">
          <w:pPr>
            <w:pStyle w:val="TOC2"/>
            <w:tabs>
              <w:tab w:val="right" w:leader="dot" w:pos="9016"/>
            </w:tabs>
            <w:rPr>
              <w:rFonts w:asciiTheme="minorHAnsi" w:eastAsiaTheme="minorEastAsia" w:hAnsiTheme="minorHAnsi"/>
              <w:noProof/>
              <w:sz w:val="22"/>
              <w:lang w:eastAsia="en-GB"/>
            </w:rPr>
          </w:pPr>
          <w:hyperlink w:anchor="_Toc220447410" w:history="1">
            <w:r w:rsidR="00DB5B84" w:rsidRPr="004921D0">
              <w:rPr>
                <w:rStyle w:val="Hyperlink"/>
                <w:noProof/>
              </w:rPr>
              <w:t>The communities we care for</w:t>
            </w:r>
            <w:r w:rsidR="00DB5B84">
              <w:rPr>
                <w:noProof/>
                <w:webHidden/>
              </w:rPr>
              <w:tab/>
            </w:r>
            <w:r w:rsidR="00DB5B84">
              <w:rPr>
                <w:noProof/>
                <w:webHidden/>
              </w:rPr>
              <w:fldChar w:fldCharType="begin"/>
            </w:r>
            <w:r w:rsidR="00DB5B84">
              <w:rPr>
                <w:noProof/>
                <w:webHidden/>
              </w:rPr>
              <w:instrText xml:space="preserve"> PAGEREF _Toc220447410 \h </w:instrText>
            </w:r>
            <w:r w:rsidR="00DB5B84">
              <w:rPr>
                <w:noProof/>
                <w:webHidden/>
              </w:rPr>
            </w:r>
            <w:r w:rsidR="00DB5B84">
              <w:rPr>
                <w:noProof/>
                <w:webHidden/>
              </w:rPr>
              <w:fldChar w:fldCharType="separate"/>
            </w:r>
            <w:r w:rsidR="00E53F18">
              <w:rPr>
                <w:noProof/>
                <w:webHidden/>
              </w:rPr>
              <w:t>4</w:t>
            </w:r>
            <w:r w:rsidR="00DB5B84">
              <w:rPr>
                <w:noProof/>
                <w:webHidden/>
              </w:rPr>
              <w:fldChar w:fldCharType="end"/>
            </w:r>
          </w:hyperlink>
        </w:p>
        <w:p w14:paraId="11F1747A" w14:textId="75BFFA07" w:rsidR="00DB5B84" w:rsidRDefault="00BF2857">
          <w:pPr>
            <w:pStyle w:val="TOC2"/>
            <w:tabs>
              <w:tab w:val="right" w:leader="dot" w:pos="9016"/>
            </w:tabs>
            <w:rPr>
              <w:rFonts w:asciiTheme="minorHAnsi" w:eastAsiaTheme="minorEastAsia" w:hAnsiTheme="minorHAnsi"/>
              <w:noProof/>
              <w:sz w:val="22"/>
              <w:lang w:eastAsia="en-GB"/>
            </w:rPr>
          </w:pPr>
          <w:hyperlink w:anchor="_Toc220447411" w:history="1">
            <w:r w:rsidR="00DB5B84" w:rsidRPr="004921D0">
              <w:rPr>
                <w:rStyle w:val="Hyperlink"/>
                <w:noProof/>
              </w:rPr>
              <w:t>Our operational and financial challenges</w:t>
            </w:r>
            <w:r w:rsidR="00DB5B84">
              <w:rPr>
                <w:noProof/>
                <w:webHidden/>
              </w:rPr>
              <w:tab/>
            </w:r>
            <w:r w:rsidR="00DB5B84">
              <w:rPr>
                <w:noProof/>
                <w:webHidden/>
              </w:rPr>
              <w:fldChar w:fldCharType="begin"/>
            </w:r>
            <w:r w:rsidR="00DB5B84">
              <w:rPr>
                <w:noProof/>
                <w:webHidden/>
              </w:rPr>
              <w:instrText xml:space="preserve"> PAGEREF _Toc220447411 \h </w:instrText>
            </w:r>
            <w:r w:rsidR="00DB5B84">
              <w:rPr>
                <w:noProof/>
                <w:webHidden/>
              </w:rPr>
            </w:r>
            <w:r w:rsidR="00DB5B84">
              <w:rPr>
                <w:noProof/>
                <w:webHidden/>
              </w:rPr>
              <w:fldChar w:fldCharType="separate"/>
            </w:r>
            <w:r w:rsidR="00E53F18">
              <w:rPr>
                <w:noProof/>
                <w:webHidden/>
              </w:rPr>
              <w:t>5</w:t>
            </w:r>
            <w:r w:rsidR="00DB5B84">
              <w:rPr>
                <w:noProof/>
                <w:webHidden/>
              </w:rPr>
              <w:fldChar w:fldCharType="end"/>
            </w:r>
          </w:hyperlink>
        </w:p>
        <w:p w14:paraId="770E1BBF" w14:textId="1C6391D2" w:rsidR="00DB5B84" w:rsidRDefault="00BF2857">
          <w:pPr>
            <w:pStyle w:val="TOC1"/>
            <w:tabs>
              <w:tab w:val="right" w:leader="dot" w:pos="9016"/>
            </w:tabs>
            <w:rPr>
              <w:rFonts w:asciiTheme="minorHAnsi" w:eastAsiaTheme="minorEastAsia" w:hAnsiTheme="minorHAnsi"/>
              <w:noProof/>
              <w:sz w:val="22"/>
              <w:lang w:eastAsia="en-GB"/>
            </w:rPr>
          </w:pPr>
          <w:hyperlink w:anchor="_Toc220447412" w:history="1">
            <w:r w:rsidR="00DB5B84" w:rsidRPr="004921D0">
              <w:rPr>
                <w:rStyle w:val="Hyperlink"/>
                <w:noProof/>
              </w:rPr>
              <w:t>II. Organisational vision</w:t>
            </w:r>
            <w:r w:rsidR="00DB5B84">
              <w:rPr>
                <w:noProof/>
                <w:webHidden/>
              </w:rPr>
              <w:tab/>
            </w:r>
            <w:r w:rsidR="00DB5B84">
              <w:rPr>
                <w:noProof/>
                <w:webHidden/>
              </w:rPr>
              <w:fldChar w:fldCharType="begin"/>
            </w:r>
            <w:r w:rsidR="00DB5B84">
              <w:rPr>
                <w:noProof/>
                <w:webHidden/>
              </w:rPr>
              <w:instrText xml:space="preserve"> PAGEREF _Toc220447412 \h </w:instrText>
            </w:r>
            <w:r w:rsidR="00DB5B84">
              <w:rPr>
                <w:noProof/>
                <w:webHidden/>
              </w:rPr>
            </w:r>
            <w:r w:rsidR="00DB5B84">
              <w:rPr>
                <w:noProof/>
                <w:webHidden/>
              </w:rPr>
              <w:fldChar w:fldCharType="separate"/>
            </w:r>
            <w:r w:rsidR="00E53F18">
              <w:rPr>
                <w:noProof/>
                <w:webHidden/>
              </w:rPr>
              <w:t>6</w:t>
            </w:r>
            <w:r w:rsidR="00DB5B84">
              <w:rPr>
                <w:noProof/>
                <w:webHidden/>
              </w:rPr>
              <w:fldChar w:fldCharType="end"/>
            </w:r>
          </w:hyperlink>
        </w:p>
        <w:p w14:paraId="734B6DC3" w14:textId="6209ACEC" w:rsidR="00DB5B84" w:rsidRDefault="00BF2857">
          <w:pPr>
            <w:pStyle w:val="TOC2"/>
            <w:tabs>
              <w:tab w:val="right" w:leader="dot" w:pos="9016"/>
            </w:tabs>
            <w:rPr>
              <w:rFonts w:asciiTheme="minorHAnsi" w:eastAsiaTheme="minorEastAsia" w:hAnsiTheme="minorHAnsi"/>
              <w:noProof/>
              <w:sz w:val="22"/>
              <w:lang w:eastAsia="en-GB"/>
            </w:rPr>
          </w:pPr>
          <w:hyperlink w:anchor="_Toc220447413" w:history="1">
            <w:r w:rsidR="00DB5B84" w:rsidRPr="004921D0">
              <w:rPr>
                <w:rStyle w:val="Hyperlink"/>
                <w:noProof/>
              </w:rPr>
              <w:t>Climate change and public health</w:t>
            </w:r>
            <w:r w:rsidR="00DB5B84">
              <w:rPr>
                <w:noProof/>
                <w:webHidden/>
              </w:rPr>
              <w:tab/>
            </w:r>
            <w:r w:rsidR="00DB5B84">
              <w:rPr>
                <w:noProof/>
                <w:webHidden/>
              </w:rPr>
              <w:fldChar w:fldCharType="begin"/>
            </w:r>
            <w:r w:rsidR="00DB5B84">
              <w:rPr>
                <w:noProof/>
                <w:webHidden/>
              </w:rPr>
              <w:instrText xml:space="preserve"> PAGEREF _Toc220447413 \h </w:instrText>
            </w:r>
            <w:r w:rsidR="00DB5B84">
              <w:rPr>
                <w:noProof/>
                <w:webHidden/>
              </w:rPr>
            </w:r>
            <w:r w:rsidR="00DB5B84">
              <w:rPr>
                <w:noProof/>
                <w:webHidden/>
              </w:rPr>
              <w:fldChar w:fldCharType="separate"/>
            </w:r>
            <w:r w:rsidR="00E53F18">
              <w:rPr>
                <w:noProof/>
                <w:webHidden/>
              </w:rPr>
              <w:t>6</w:t>
            </w:r>
            <w:r w:rsidR="00DB5B84">
              <w:rPr>
                <w:noProof/>
                <w:webHidden/>
              </w:rPr>
              <w:fldChar w:fldCharType="end"/>
            </w:r>
          </w:hyperlink>
        </w:p>
        <w:p w14:paraId="2FBEC9F4" w14:textId="6D191809" w:rsidR="00DB5B84" w:rsidRDefault="00BF2857">
          <w:pPr>
            <w:pStyle w:val="TOC2"/>
            <w:tabs>
              <w:tab w:val="right" w:leader="dot" w:pos="9016"/>
            </w:tabs>
            <w:rPr>
              <w:rFonts w:asciiTheme="minorHAnsi" w:eastAsiaTheme="minorEastAsia" w:hAnsiTheme="minorHAnsi"/>
              <w:noProof/>
              <w:sz w:val="22"/>
              <w:lang w:eastAsia="en-GB"/>
            </w:rPr>
          </w:pPr>
          <w:hyperlink w:anchor="_Toc220447414" w:history="1">
            <w:r w:rsidR="00DB5B84" w:rsidRPr="004921D0">
              <w:rPr>
                <w:rStyle w:val="Hyperlink"/>
                <w:noProof/>
              </w:rPr>
              <w:t>Understanding our impacts</w:t>
            </w:r>
            <w:r w:rsidR="00DB5B84">
              <w:rPr>
                <w:noProof/>
                <w:webHidden/>
              </w:rPr>
              <w:tab/>
            </w:r>
            <w:r w:rsidR="00DB5B84">
              <w:rPr>
                <w:noProof/>
                <w:webHidden/>
              </w:rPr>
              <w:fldChar w:fldCharType="begin"/>
            </w:r>
            <w:r w:rsidR="00DB5B84">
              <w:rPr>
                <w:noProof/>
                <w:webHidden/>
              </w:rPr>
              <w:instrText xml:space="preserve"> PAGEREF _Toc220447414 \h </w:instrText>
            </w:r>
            <w:r w:rsidR="00DB5B84">
              <w:rPr>
                <w:noProof/>
                <w:webHidden/>
              </w:rPr>
            </w:r>
            <w:r w:rsidR="00DB5B84">
              <w:rPr>
                <w:noProof/>
                <w:webHidden/>
              </w:rPr>
              <w:fldChar w:fldCharType="separate"/>
            </w:r>
            <w:r w:rsidR="00E53F18">
              <w:rPr>
                <w:noProof/>
                <w:webHidden/>
              </w:rPr>
              <w:t>7</w:t>
            </w:r>
            <w:r w:rsidR="00DB5B84">
              <w:rPr>
                <w:noProof/>
                <w:webHidden/>
              </w:rPr>
              <w:fldChar w:fldCharType="end"/>
            </w:r>
          </w:hyperlink>
        </w:p>
        <w:p w14:paraId="45564FB6" w14:textId="43452171" w:rsidR="00DB5B84" w:rsidRDefault="00BF2857">
          <w:pPr>
            <w:pStyle w:val="TOC2"/>
            <w:tabs>
              <w:tab w:val="right" w:leader="dot" w:pos="9016"/>
            </w:tabs>
            <w:rPr>
              <w:rFonts w:asciiTheme="minorHAnsi" w:eastAsiaTheme="minorEastAsia" w:hAnsiTheme="minorHAnsi"/>
              <w:noProof/>
              <w:sz w:val="22"/>
              <w:lang w:eastAsia="en-GB"/>
            </w:rPr>
          </w:pPr>
          <w:hyperlink w:anchor="_Toc220447415" w:history="1">
            <w:r w:rsidR="00DB5B84" w:rsidRPr="004921D0">
              <w:rPr>
                <w:rStyle w:val="Hyperlink"/>
                <w:noProof/>
              </w:rPr>
              <w:t>Our NHS Carbon Footprint</w:t>
            </w:r>
            <w:r w:rsidR="00DB5B84">
              <w:rPr>
                <w:noProof/>
                <w:webHidden/>
              </w:rPr>
              <w:tab/>
            </w:r>
            <w:r w:rsidR="00DB5B84">
              <w:rPr>
                <w:noProof/>
                <w:webHidden/>
              </w:rPr>
              <w:fldChar w:fldCharType="begin"/>
            </w:r>
            <w:r w:rsidR="00DB5B84">
              <w:rPr>
                <w:noProof/>
                <w:webHidden/>
              </w:rPr>
              <w:instrText xml:space="preserve"> PAGEREF _Toc220447415 \h </w:instrText>
            </w:r>
            <w:r w:rsidR="00DB5B84">
              <w:rPr>
                <w:noProof/>
                <w:webHidden/>
              </w:rPr>
            </w:r>
            <w:r w:rsidR="00DB5B84">
              <w:rPr>
                <w:noProof/>
                <w:webHidden/>
              </w:rPr>
              <w:fldChar w:fldCharType="separate"/>
            </w:r>
            <w:r w:rsidR="00E53F18">
              <w:rPr>
                <w:noProof/>
                <w:webHidden/>
              </w:rPr>
              <w:t>9</w:t>
            </w:r>
            <w:r w:rsidR="00DB5B84">
              <w:rPr>
                <w:noProof/>
                <w:webHidden/>
              </w:rPr>
              <w:fldChar w:fldCharType="end"/>
            </w:r>
          </w:hyperlink>
        </w:p>
        <w:p w14:paraId="1B3CCA31" w14:textId="732FB1CD" w:rsidR="00DB5B84" w:rsidRDefault="00BF2857">
          <w:pPr>
            <w:pStyle w:val="TOC2"/>
            <w:tabs>
              <w:tab w:val="right" w:leader="dot" w:pos="9016"/>
            </w:tabs>
            <w:rPr>
              <w:rFonts w:asciiTheme="minorHAnsi" w:eastAsiaTheme="minorEastAsia" w:hAnsiTheme="minorHAnsi"/>
              <w:noProof/>
              <w:sz w:val="22"/>
              <w:lang w:eastAsia="en-GB"/>
            </w:rPr>
          </w:pPr>
          <w:hyperlink w:anchor="_Toc220447416" w:history="1">
            <w:r w:rsidR="00DB5B84" w:rsidRPr="004921D0">
              <w:rPr>
                <w:rStyle w:val="Hyperlink"/>
                <w:noProof/>
              </w:rPr>
              <w:t>Our NHS Carbon Footprint Plus</w:t>
            </w:r>
            <w:r w:rsidR="00DB5B84">
              <w:rPr>
                <w:noProof/>
                <w:webHidden/>
              </w:rPr>
              <w:tab/>
            </w:r>
            <w:r w:rsidR="00DB5B84">
              <w:rPr>
                <w:noProof/>
                <w:webHidden/>
              </w:rPr>
              <w:fldChar w:fldCharType="begin"/>
            </w:r>
            <w:r w:rsidR="00DB5B84">
              <w:rPr>
                <w:noProof/>
                <w:webHidden/>
              </w:rPr>
              <w:instrText xml:space="preserve"> PAGEREF _Toc220447416 \h </w:instrText>
            </w:r>
            <w:r w:rsidR="00DB5B84">
              <w:rPr>
                <w:noProof/>
                <w:webHidden/>
              </w:rPr>
            </w:r>
            <w:r w:rsidR="00DB5B84">
              <w:rPr>
                <w:noProof/>
                <w:webHidden/>
              </w:rPr>
              <w:fldChar w:fldCharType="separate"/>
            </w:r>
            <w:r w:rsidR="00E53F18">
              <w:rPr>
                <w:noProof/>
                <w:webHidden/>
              </w:rPr>
              <w:t>10</w:t>
            </w:r>
            <w:r w:rsidR="00DB5B84">
              <w:rPr>
                <w:noProof/>
                <w:webHidden/>
              </w:rPr>
              <w:fldChar w:fldCharType="end"/>
            </w:r>
          </w:hyperlink>
        </w:p>
        <w:p w14:paraId="062581D0" w14:textId="3AE64224" w:rsidR="00DB5B84" w:rsidRDefault="00BF2857">
          <w:pPr>
            <w:pStyle w:val="TOC1"/>
            <w:tabs>
              <w:tab w:val="right" w:leader="dot" w:pos="9016"/>
            </w:tabs>
            <w:rPr>
              <w:rFonts w:asciiTheme="minorHAnsi" w:eastAsiaTheme="minorEastAsia" w:hAnsiTheme="minorHAnsi"/>
              <w:noProof/>
              <w:sz w:val="22"/>
              <w:lang w:eastAsia="en-GB"/>
            </w:rPr>
          </w:pPr>
          <w:hyperlink w:anchor="_Toc220447417" w:history="1">
            <w:r w:rsidR="00DB5B84" w:rsidRPr="004921D0">
              <w:rPr>
                <w:rStyle w:val="Hyperlink"/>
                <w:rFonts w:cs="Arial"/>
                <w:noProof/>
              </w:rPr>
              <w:t>III. Areas of Focus</w:t>
            </w:r>
            <w:r w:rsidR="00DB5B84">
              <w:rPr>
                <w:noProof/>
                <w:webHidden/>
              </w:rPr>
              <w:tab/>
            </w:r>
            <w:r w:rsidR="00DB5B84">
              <w:rPr>
                <w:noProof/>
                <w:webHidden/>
              </w:rPr>
              <w:fldChar w:fldCharType="begin"/>
            </w:r>
            <w:r w:rsidR="00DB5B84">
              <w:rPr>
                <w:noProof/>
                <w:webHidden/>
              </w:rPr>
              <w:instrText xml:space="preserve"> PAGEREF _Toc220447417 \h </w:instrText>
            </w:r>
            <w:r w:rsidR="00DB5B84">
              <w:rPr>
                <w:noProof/>
                <w:webHidden/>
              </w:rPr>
            </w:r>
            <w:r w:rsidR="00DB5B84">
              <w:rPr>
                <w:noProof/>
                <w:webHidden/>
              </w:rPr>
              <w:fldChar w:fldCharType="separate"/>
            </w:r>
            <w:r w:rsidR="00E53F18">
              <w:rPr>
                <w:noProof/>
                <w:webHidden/>
              </w:rPr>
              <w:t>11</w:t>
            </w:r>
            <w:r w:rsidR="00DB5B84">
              <w:rPr>
                <w:noProof/>
                <w:webHidden/>
              </w:rPr>
              <w:fldChar w:fldCharType="end"/>
            </w:r>
          </w:hyperlink>
        </w:p>
        <w:p w14:paraId="67F1AB07" w14:textId="2FBD2529" w:rsidR="00DB5B84" w:rsidRDefault="00BF2857">
          <w:pPr>
            <w:pStyle w:val="TOC2"/>
            <w:tabs>
              <w:tab w:val="right" w:leader="dot" w:pos="9016"/>
            </w:tabs>
            <w:rPr>
              <w:rFonts w:asciiTheme="minorHAnsi" w:eastAsiaTheme="minorEastAsia" w:hAnsiTheme="minorHAnsi"/>
              <w:noProof/>
              <w:sz w:val="22"/>
              <w:lang w:eastAsia="en-GB"/>
            </w:rPr>
          </w:pPr>
          <w:hyperlink w:anchor="_Toc220447418" w:history="1">
            <w:r w:rsidR="00DB5B84" w:rsidRPr="004921D0">
              <w:rPr>
                <w:rStyle w:val="Hyperlink"/>
                <w:rFonts w:cs="Arial"/>
                <w:noProof/>
              </w:rPr>
              <w:t>Leadership</w:t>
            </w:r>
            <w:r w:rsidR="00DB5B84">
              <w:rPr>
                <w:noProof/>
                <w:webHidden/>
              </w:rPr>
              <w:tab/>
            </w:r>
            <w:r w:rsidR="00DB5B84">
              <w:rPr>
                <w:noProof/>
                <w:webHidden/>
              </w:rPr>
              <w:fldChar w:fldCharType="begin"/>
            </w:r>
            <w:r w:rsidR="00DB5B84">
              <w:rPr>
                <w:noProof/>
                <w:webHidden/>
              </w:rPr>
              <w:instrText xml:space="preserve"> PAGEREF _Toc220447418 \h </w:instrText>
            </w:r>
            <w:r w:rsidR="00DB5B84">
              <w:rPr>
                <w:noProof/>
                <w:webHidden/>
              </w:rPr>
            </w:r>
            <w:r w:rsidR="00DB5B84">
              <w:rPr>
                <w:noProof/>
                <w:webHidden/>
              </w:rPr>
              <w:fldChar w:fldCharType="separate"/>
            </w:r>
            <w:r w:rsidR="00E53F18">
              <w:rPr>
                <w:noProof/>
                <w:webHidden/>
              </w:rPr>
              <w:t>11</w:t>
            </w:r>
            <w:r w:rsidR="00DB5B84">
              <w:rPr>
                <w:noProof/>
                <w:webHidden/>
              </w:rPr>
              <w:fldChar w:fldCharType="end"/>
            </w:r>
          </w:hyperlink>
        </w:p>
        <w:p w14:paraId="3D3B1AAA" w14:textId="26659257" w:rsidR="00DB5B84" w:rsidRDefault="00BF2857">
          <w:pPr>
            <w:pStyle w:val="TOC2"/>
            <w:tabs>
              <w:tab w:val="right" w:leader="dot" w:pos="9016"/>
            </w:tabs>
            <w:rPr>
              <w:rFonts w:asciiTheme="minorHAnsi" w:eastAsiaTheme="minorEastAsia" w:hAnsiTheme="minorHAnsi"/>
              <w:noProof/>
              <w:sz w:val="22"/>
              <w:lang w:eastAsia="en-GB"/>
            </w:rPr>
          </w:pPr>
          <w:hyperlink w:anchor="_Toc220447419" w:history="1">
            <w:r w:rsidR="00DB5B84" w:rsidRPr="004921D0">
              <w:rPr>
                <w:rStyle w:val="Hyperlink"/>
                <w:rFonts w:cs="Arial"/>
                <w:noProof/>
              </w:rPr>
              <w:t>Net zero clinical transformation</w:t>
            </w:r>
            <w:r w:rsidR="00DB5B84">
              <w:rPr>
                <w:noProof/>
                <w:webHidden/>
              </w:rPr>
              <w:tab/>
            </w:r>
            <w:r w:rsidR="00DB5B84">
              <w:rPr>
                <w:noProof/>
                <w:webHidden/>
              </w:rPr>
              <w:fldChar w:fldCharType="begin"/>
            </w:r>
            <w:r w:rsidR="00DB5B84">
              <w:rPr>
                <w:noProof/>
                <w:webHidden/>
              </w:rPr>
              <w:instrText xml:space="preserve"> PAGEREF _Toc220447419 \h </w:instrText>
            </w:r>
            <w:r w:rsidR="00DB5B84">
              <w:rPr>
                <w:noProof/>
                <w:webHidden/>
              </w:rPr>
            </w:r>
            <w:r w:rsidR="00DB5B84">
              <w:rPr>
                <w:noProof/>
                <w:webHidden/>
              </w:rPr>
              <w:fldChar w:fldCharType="separate"/>
            </w:r>
            <w:r w:rsidR="00E53F18">
              <w:rPr>
                <w:noProof/>
                <w:webHidden/>
              </w:rPr>
              <w:t>12</w:t>
            </w:r>
            <w:r w:rsidR="00DB5B84">
              <w:rPr>
                <w:noProof/>
                <w:webHidden/>
              </w:rPr>
              <w:fldChar w:fldCharType="end"/>
            </w:r>
          </w:hyperlink>
        </w:p>
        <w:p w14:paraId="1F7AAD8C" w14:textId="68F94AA1" w:rsidR="00DB5B84" w:rsidRDefault="00BF2857">
          <w:pPr>
            <w:pStyle w:val="TOC2"/>
            <w:tabs>
              <w:tab w:val="right" w:leader="dot" w:pos="9016"/>
            </w:tabs>
            <w:rPr>
              <w:rFonts w:asciiTheme="minorHAnsi" w:eastAsiaTheme="minorEastAsia" w:hAnsiTheme="minorHAnsi"/>
              <w:noProof/>
              <w:sz w:val="22"/>
              <w:lang w:eastAsia="en-GB"/>
            </w:rPr>
          </w:pPr>
          <w:hyperlink w:anchor="_Toc220447420" w:history="1">
            <w:r w:rsidR="00DB5B84" w:rsidRPr="004921D0">
              <w:rPr>
                <w:rStyle w:val="Hyperlink"/>
                <w:rFonts w:cs="Arial"/>
                <w:noProof/>
              </w:rPr>
              <w:t>Digital Transformation</w:t>
            </w:r>
            <w:r w:rsidR="00DB5B84">
              <w:rPr>
                <w:noProof/>
                <w:webHidden/>
              </w:rPr>
              <w:tab/>
            </w:r>
            <w:r w:rsidR="00DB5B84">
              <w:rPr>
                <w:noProof/>
                <w:webHidden/>
              </w:rPr>
              <w:fldChar w:fldCharType="begin"/>
            </w:r>
            <w:r w:rsidR="00DB5B84">
              <w:rPr>
                <w:noProof/>
                <w:webHidden/>
              </w:rPr>
              <w:instrText xml:space="preserve"> PAGEREF _Toc220447420 \h </w:instrText>
            </w:r>
            <w:r w:rsidR="00DB5B84">
              <w:rPr>
                <w:noProof/>
                <w:webHidden/>
              </w:rPr>
            </w:r>
            <w:r w:rsidR="00DB5B84">
              <w:rPr>
                <w:noProof/>
                <w:webHidden/>
              </w:rPr>
              <w:fldChar w:fldCharType="separate"/>
            </w:r>
            <w:r w:rsidR="00E53F18">
              <w:rPr>
                <w:noProof/>
                <w:webHidden/>
              </w:rPr>
              <w:t>13</w:t>
            </w:r>
            <w:r w:rsidR="00DB5B84">
              <w:rPr>
                <w:noProof/>
                <w:webHidden/>
              </w:rPr>
              <w:fldChar w:fldCharType="end"/>
            </w:r>
          </w:hyperlink>
        </w:p>
        <w:p w14:paraId="406099C5" w14:textId="0E35F40A" w:rsidR="00DB5B84" w:rsidRDefault="00BF2857">
          <w:pPr>
            <w:pStyle w:val="TOC2"/>
            <w:tabs>
              <w:tab w:val="right" w:leader="dot" w:pos="9016"/>
            </w:tabs>
            <w:rPr>
              <w:rFonts w:asciiTheme="minorHAnsi" w:eastAsiaTheme="minorEastAsia" w:hAnsiTheme="minorHAnsi"/>
              <w:noProof/>
              <w:sz w:val="22"/>
              <w:lang w:eastAsia="en-GB"/>
            </w:rPr>
          </w:pPr>
          <w:hyperlink w:anchor="_Toc220447421" w:history="1">
            <w:r w:rsidR="00DB5B84" w:rsidRPr="004921D0">
              <w:rPr>
                <w:rStyle w:val="Hyperlink"/>
                <w:rFonts w:cs="Arial"/>
                <w:noProof/>
              </w:rPr>
              <w:t>Medicines</w:t>
            </w:r>
            <w:r w:rsidR="00DB5B84">
              <w:rPr>
                <w:noProof/>
                <w:webHidden/>
              </w:rPr>
              <w:tab/>
            </w:r>
            <w:r w:rsidR="00DB5B84">
              <w:rPr>
                <w:noProof/>
                <w:webHidden/>
              </w:rPr>
              <w:fldChar w:fldCharType="begin"/>
            </w:r>
            <w:r w:rsidR="00DB5B84">
              <w:rPr>
                <w:noProof/>
                <w:webHidden/>
              </w:rPr>
              <w:instrText xml:space="preserve"> PAGEREF _Toc220447421 \h </w:instrText>
            </w:r>
            <w:r w:rsidR="00DB5B84">
              <w:rPr>
                <w:noProof/>
                <w:webHidden/>
              </w:rPr>
            </w:r>
            <w:r w:rsidR="00DB5B84">
              <w:rPr>
                <w:noProof/>
                <w:webHidden/>
              </w:rPr>
              <w:fldChar w:fldCharType="separate"/>
            </w:r>
            <w:r w:rsidR="00E53F18">
              <w:rPr>
                <w:noProof/>
                <w:webHidden/>
              </w:rPr>
              <w:t>14</w:t>
            </w:r>
            <w:r w:rsidR="00DB5B84">
              <w:rPr>
                <w:noProof/>
                <w:webHidden/>
              </w:rPr>
              <w:fldChar w:fldCharType="end"/>
            </w:r>
          </w:hyperlink>
        </w:p>
        <w:p w14:paraId="54F7E019" w14:textId="74BA32D2" w:rsidR="00DB5B84" w:rsidRDefault="00BF2857">
          <w:pPr>
            <w:pStyle w:val="TOC2"/>
            <w:tabs>
              <w:tab w:val="right" w:leader="dot" w:pos="9016"/>
            </w:tabs>
            <w:rPr>
              <w:rFonts w:asciiTheme="minorHAnsi" w:eastAsiaTheme="minorEastAsia" w:hAnsiTheme="minorHAnsi"/>
              <w:noProof/>
              <w:sz w:val="22"/>
              <w:lang w:eastAsia="en-GB"/>
            </w:rPr>
          </w:pPr>
          <w:hyperlink w:anchor="_Toc220447422" w:history="1">
            <w:r w:rsidR="00DB5B84" w:rsidRPr="004921D0">
              <w:rPr>
                <w:rStyle w:val="Hyperlink"/>
                <w:rFonts w:cs="Arial"/>
                <w:noProof/>
              </w:rPr>
              <w:t>Travel and Transport</w:t>
            </w:r>
            <w:r w:rsidR="00DB5B84">
              <w:rPr>
                <w:noProof/>
                <w:webHidden/>
              </w:rPr>
              <w:tab/>
            </w:r>
            <w:r w:rsidR="00DB5B84">
              <w:rPr>
                <w:noProof/>
                <w:webHidden/>
              </w:rPr>
              <w:fldChar w:fldCharType="begin"/>
            </w:r>
            <w:r w:rsidR="00DB5B84">
              <w:rPr>
                <w:noProof/>
                <w:webHidden/>
              </w:rPr>
              <w:instrText xml:space="preserve"> PAGEREF _Toc220447422 \h </w:instrText>
            </w:r>
            <w:r w:rsidR="00DB5B84">
              <w:rPr>
                <w:noProof/>
                <w:webHidden/>
              </w:rPr>
            </w:r>
            <w:r w:rsidR="00DB5B84">
              <w:rPr>
                <w:noProof/>
                <w:webHidden/>
              </w:rPr>
              <w:fldChar w:fldCharType="separate"/>
            </w:r>
            <w:r w:rsidR="00E53F18">
              <w:rPr>
                <w:noProof/>
                <w:webHidden/>
              </w:rPr>
              <w:t>15</w:t>
            </w:r>
            <w:r w:rsidR="00DB5B84">
              <w:rPr>
                <w:noProof/>
                <w:webHidden/>
              </w:rPr>
              <w:fldChar w:fldCharType="end"/>
            </w:r>
          </w:hyperlink>
        </w:p>
        <w:p w14:paraId="445D0E80" w14:textId="7CDAFB56" w:rsidR="00DB5B84" w:rsidRDefault="00BF2857">
          <w:pPr>
            <w:pStyle w:val="TOC2"/>
            <w:tabs>
              <w:tab w:val="right" w:leader="dot" w:pos="9016"/>
            </w:tabs>
            <w:rPr>
              <w:rFonts w:asciiTheme="minorHAnsi" w:eastAsiaTheme="minorEastAsia" w:hAnsiTheme="minorHAnsi"/>
              <w:noProof/>
              <w:sz w:val="22"/>
              <w:lang w:eastAsia="en-GB"/>
            </w:rPr>
          </w:pPr>
          <w:hyperlink w:anchor="_Toc220447423" w:history="1">
            <w:r w:rsidR="00DB5B84" w:rsidRPr="004921D0">
              <w:rPr>
                <w:rStyle w:val="Hyperlink"/>
                <w:rFonts w:cs="Arial"/>
                <w:noProof/>
              </w:rPr>
              <w:t>Estates and Facilities</w:t>
            </w:r>
            <w:r w:rsidR="00DB5B84">
              <w:rPr>
                <w:noProof/>
                <w:webHidden/>
              </w:rPr>
              <w:tab/>
            </w:r>
            <w:r w:rsidR="00DB5B84">
              <w:rPr>
                <w:noProof/>
                <w:webHidden/>
              </w:rPr>
              <w:fldChar w:fldCharType="begin"/>
            </w:r>
            <w:r w:rsidR="00DB5B84">
              <w:rPr>
                <w:noProof/>
                <w:webHidden/>
              </w:rPr>
              <w:instrText xml:space="preserve"> PAGEREF _Toc220447423 \h </w:instrText>
            </w:r>
            <w:r w:rsidR="00DB5B84">
              <w:rPr>
                <w:noProof/>
                <w:webHidden/>
              </w:rPr>
            </w:r>
            <w:r w:rsidR="00DB5B84">
              <w:rPr>
                <w:noProof/>
                <w:webHidden/>
              </w:rPr>
              <w:fldChar w:fldCharType="separate"/>
            </w:r>
            <w:r w:rsidR="00E53F18">
              <w:rPr>
                <w:noProof/>
                <w:webHidden/>
              </w:rPr>
              <w:t>16</w:t>
            </w:r>
            <w:r w:rsidR="00DB5B84">
              <w:rPr>
                <w:noProof/>
                <w:webHidden/>
              </w:rPr>
              <w:fldChar w:fldCharType="end"/>
            </w:r>
          </w:hyperlink>
        </w:p>
        <w:p w14:paraId="41022229" w14:textId="271C7414" w:rsidR="00DB5B84" w:rsidRDefault="00BF2857">
          <w:pPr>
            <w:pStyle w:val="TOC2"/>
            <w:tabs>
              <w:tab w:val="right" w:leader="dot" w:pos="9016"/>
            </w:tabs>
            <w:rPr>
              <w:rFonts w:asciiTheme="minorHAnsi" w:eastAsiaTheme="minorEastAsia" w:hAnsiTheme="minorHAnsi"/>
              <w:noProof/>
              <w:sz w:val="22"/>
              <w:lang w:eastAsia="en-GB"/>
            </w:rPr>
          </w:pPr>
          <w:hyperlink w:anchor="_Toc220447424" w:history="1">
            <w:r w:rsidR="00DB5B84" w:rsidRPr="004921D0">
              <w:rPr>
                <w:rStyle w:val="Hyperlink"/>
                <w:rFonts w:cs="Arial"/>
                <w:noProof/>
              </w:rPr>
              <w:t>Supply Chain and Procurement</w:t>
            </w:r>
            <w:r w:rsidR="00DB5B84">
              <w:rPr>
                <w:noProof/>
                <w:webHidden/>
              </w:rPr>
              <w:tab/>
            </w:r>
            <w:r w:rsidR="00DB5B84">
              <w:rPr>
                <w:noProof/>
                <w:webHidden/>
              </w:rPr>
              <w:fldChar w:fldCharType="begin"/>
            </w:r>
            <w:r w:rsidR="00DB5B84">
              <w:rPr>
                <w:noProof/>
                <w:webHidden/>
              </w:rPr>
              <w:instrText xml:space="preserve"> PAGEREF _Toc220447424 \h </w:instrText>
            </w:r>
            <w:r w:rsidR="00DB5B84">
              <w:rPr>
                <w:noProof/>
                <w:webHidden/>
              </w:rPr>
            </w:r>
            <w:r w:rsidR="00DB5B84">
              <w:rPr>
                <w:noProof/>
                <w:webHidden/>
              </w:rPr>
              <w:fldChar w:fldCharType="separate"/>
            </w:r>
            <w:r w:rsidR="00E53F18">
              <w:rPr>
                <w:noProof/>
                <w:webHidden/>
              </w:rPr>
              <w:t>17</w:t>
            </w:r>
            <w:r w:rsidR="00DB5B84">
              <w:rPr>
                <w:noProof/>
                <w:webHidden/>
              </w:rPr>
              <w:fldChar w:fldCharType="end"/>
            </w:r>
          </w:hyperlink>
        </w:p>
        <w:p w14:paraId="09E55AAF" w14:textId="08B2B99E" w:rsidR="00DB5B84" w:rsidRDefault="00BF2857">
          <w:pPr>
            <w:pStyle w:val="TOC2"/>
            <w:tabs>
              <w:tab w:val="right" w:leader="dot" w:pos="9016"/>
            </w:tabs>
            <w:rPr>
              <w:rFonts w:asciiTheme="minorHAnsi" w:eastAsiaTheme="minorEastAsia" w:hAnsiTheme="minorHAnsi"/>
              <w:noProof/>
              <w:sz w:val="22"/>
              <w:lang w:eastAsia="en-GB"/>
            </w:rPr>
          </w:pPr>
          <w:hyperlink w:anchor="_Toc220447425" w:history="1">
            <w:r w:rsidR="00DB5B84" w:rsidRPr="004921D0">
              <w:rPr>
                <w:rStyle w:val="Hyperlink"/>
                <w:rFonts w:cs="Arial"/>
                <w:noProof/>
              </w:rPr>
              <w:t>Food and nutrition</w:t>
            </w:r>
            <w:r w:rsidR="00DB5B84">
              <w:rPr>
                <w:noProof/>
                <w:webHidden/>
              </w:rPr>
              <w:tab/>
            </w:r>
            <w:r w:rsidR="00DB5B84">
              <w:rPr>
                <w:noProof/>
                <w:webHidden/>
              </w:rPr>
              <w:fldChar w:fldCharType="begin"/>
            </w:r>
            <w:r w:rsidR="00DB5B84">
              <w:rPr>
                <w:noProof/>
                <w:webHidden/>
              </w:rPr>
              <w:instrText xml:space="preserve"> PAGEREF _Toc220447425 \h </w:instrText>
            </w:r>
            <w:r w:rsidR="00DB5B84">
              <w:rPr>
                <w:noProof/>
                <w:webHidden/>
              </w:rPr>
            </w:r>
            <w:r w:rsidR="00DB5B84">
              <w:rPr>
                <w:noProof/>
                <w:webHidden/>
              </w:rPr>
              <w:fldChar w:fldCharType="separate"/>
            </w:r>
            <w:r w:rsidR="00E53F18">
              <w:rPr>
                <w:noProof/>
                <w:webHidden/>
              </w:rPr>
              <w:t>18</w:t>
            </w:r>
            <w:r w:rsidR="00DB5B84">
              <w:rPr>
                <w:noProof/>
                <w:webHidden/>
              </w:rPr>
              <w:fldChar w:fldCharType="end"/>
            </w:r>
          </w:hyperlink>
        </w:p>
        <w:p w14:paraId="3ED4B29B" w14:textId="77279E6E" w:rsidR="00DB5B84" w:rsidRDefault="00BF2857">
          <w:pPr>
            <w:pStyle w:val="TOC2"/>
            <w:tabs>
              <w:tab w:val="right" w:leader="dot" w:pos="9016"/>
            </w:tabs>
            <w:rPr>
              <w:rFonts w:asciiTheme="minorHAnsi" w:eastAsiaTheme="minorEastAsia" w:hAnsiTheme="minorHAnsi"/>
              <w:noProof/>
              <w:sz w:val="22"/>
              <w:lang w:eastAsia="en-GB"/>
            </w:rPr>
          </w:pPr>
          <w:hyperlink w:anchor="_Toc220447426" w:history="1">
            <w:r w:rsidR="00DB5B84" w:rsidRPr="004921D0">
              <w:rPr>
                <w:rStyle w:val="Hyperlink"/>
                <w:rFonts w:cs="Arial"/>
                <w:noProof/>
              </w:rPr>
              <w:t>Adaptation</w:t>
            </w:r>
            <w:r w:rsidR="00DB5B84">
              <w:rPr>
                <w:noProof/>
                <w:webHidden/>
              </w:rPr>
              <w:tab/>
            </w:r>
            <w:r w:rsidR="00DB5B84">
              <w:rPr>
                <w:noProof/>
                <w:webHidden/>
              </w:rPr>
              <w:fldChar w:fldCharType="begin"/>
            </w:r>
            <w:r w:rsidR="00DB5B84">
              <w:rPr>
                <w:noProof/>
                <w:webHidden/>
              </w:rPr>
              <w:instrText xml:space="preserve"> PAGEREF _Toc220447426 \h </w:instrText>
            </w:r>
            <w:r w:rsidR="00DB5B84">
              <w:rPr>
                <w:noProof/>
                <w:webHidden/>
              </w:rPr>
            </w:r>
            <w:r w:rsidR="00DB5B84">
              <w:rPr>
                <w:noProof/>
                <w:webHidden/>
              </w:rPr>
              <w:fldChar w:fldCharType="separate"/>
            </w:r>
            <w:r w:rsidR="00E53F18">
              <w:rPr>
                <w:noProof/>
                <w:webHidden/>
              </w:rPr>
              <w:t>19</w:t>
            </w:r>
            <w:r w:rsidR="00DB5B84">
              <w:rPr>
                <w:noProof/>
                <w:webHidden/>
              </w:rPr>
              <w:fldChar w:fldCharType="end"/>
            </w:r>
          </w:hyperlink>
        </w:p>
        <w:p w14:paraId="00D4C5A5" w14:textId="4BDBE43B" w:rsidR="00DB5B84" w:rsidRDefault="00BF2857">
          <w:pPr>
            <w:pStyle w:val="TOC1"/>
            <w:tabs>
              <w:tab w:val="right" w:leader="dot" w:pos="9016"/>
            </w:tabs>
            <w:rPr>
              <w:rFonts w:asciiTheme="minorHAnsi" w:eastAsiaTheme="minorEastAsia" w:hAnsiTheme="minorHAnsi"/>
              <w:noProof/>
              <w:sz w:val="22"/>
              <w:lang w:eastAsia="en-GB"/>
            </w:rPr>
          </w:pPr>
          <w:hyperlink w:anchor="_Toc220447427" w:history="1">
            <w:r w:rsidR="00DB5B84" w:rsidRPr="004921D0">
              <w:rPr>
                <w:rStyle w:val="Hyperlink"/>
                <w:rFonts w:cs="Arial"/>
                <w:noProof/>
              </w:rPr>
              <w:t>Endnotes</w:t>
            </w:r>
            <w:r w:rsidR="00DB5B84">
              <w:rPr>
                <w:noProof/>
                <w:webHidden/>
              </w:rPr>
              <w:tab/>
            </w:r>
            <w:r w:rsidR="00DB5B84">
              <w:rPr>
                <w:noProof/>
                <w:webHidden/>
              </w:rPr>
              <w:fldChar w:fldCharType="begin"/>
            </w:r>
            <w:r w:rsidR="00DB5B84">
              <w:rPr>
                <w:noProof/>
                <w:webHidden/>
              </w:rPr>
              <w:instrText xml:space="preserve"> PAGEREF _Toc220447427 \h </w:instrText>
            </w:r>
            <w:r w:rsidR="00DB5B84">
              <w:rPr>
                <w:noProof/>
                <w:webHidden/>
              </w:rPr>
            </w:r>
            <w:r w:rsidR="00DB5B84">
              <w:rPr>
                <w:noProof/>
                <w:webHidden/>
              </w:rPr>
              <w:fldChar w:fldCharType="separate"/>
            </w:r>
            <w:r w:rsidR="00E53F18">
              <w:rPr>
                <w:noProof/>
                <w:webHidden/>
              </w:rPr>
              <w:t>20</w:t>
            </w:r>
            <w:r w:rsidR="00DB5B84">
              <w:rPr>
                <w:noProof/>
                <w:webHidden/>
              </w:rPr>
              <w:fldChar w:fldCharType="end"/>
            </w:r>
          </w:hyperlink>
        </w:p>
        <w:p w14:paraId="46544563" w14:textId="0EC45334" w:rsidR="482803E5" w:rsidRDefault="482803E5" w:rsidP="482803E5">
          <w:pPr>
            <w:pStyle w:val="TOC1"/>
            <w:tabs>
              <w:tab w:val="right" w:leader="dot" w:pos="9015"/>
            </w:tabs>
            <w:rPr>
              <w:rStyle w:val="Hyperlink"/>
            </w:rPr>
          </w:pPr>
          <w:r>
            <w:fldChar w:fldCharType="end"/>
          </w:r>
        </w:p>
      </w:sdtContent>
    </w:sdt>
    <w:p w14:paraId="02EB378F" w14:textId="01D3008A" w:rsidR="00697A35" w:rsidRPr="003B5266" w:rsidRDefault="00E53F18" w:rsidP="007672DD">
      <w:pPr>
        <w:pStyle w:val="NoSpacing"/>
        <w:jc w:val="right"/>
      </w:pPr>
      <w:r>
        <w:rPr>
          <w:noProof/>
        </w:rPr>
        <w:drawing>
          <wp:inline distT="0" distB="0" distL="0" distR="0" wp14:anchorId="58F82764" wp14:editId="0AE5E7C9">
            <wp:extent cx="871521" cy="1306544"/>
            <wp:effectExtent l="38100" t="11430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een plan leaf x4 colour_EK Green.png"/>
                    <pic:cNvPicPr/>
                  </pic:nvPicPr>
                  <pic:blipFill>
                    <a:blip r:embed="rId10" cstate="print">
                      <a:extLst>
                        <a:ext uri="{28A0092B-C50C-407E-A947-70E740481C1C}">
                          <a14:useLocalDpi xmlns:a14="http://schemas.microsoft.com/office/drawing/2010/main" val="0"/>
                        </a:ext>
                      </a:extLst>
                    </a:blip>
                    <a:stretch>
                      <a:fillRect/>
                    </a:stretch>
                  </pic:blipFill>
                  <pic:spPr>
                    <a:xfrm rot="2505963">
                      <a:off x="0" y="0"/>
                      <a:ext cx="877288" cy="1315190"/>
                    </a:xfrm>
                    <a:prstGeom prst="rect">
                      <a:avLst/>
                    </a:prstGeom>
                  </pic:spPr>
                </pic:pic>
              </a:graphicData>
            </a:graphic>
          </wp:inline>
        </w:drawing>
      </w:r>
    </w:p>
    <w:p w14:paraId="40C38EC2" w14:textId="303554B5" w:rsidR="00817EF8" w:rsidRPr="003B5266" w:rsidRDefault="00383120" w:rsidP="0053578C">
      <w:pPr>
        <w:pStyle w:val="Heading2"/>
      </w:pPr>
      <w:r>
        <w:br w:type="page"/>
      </w:r>
      <w:bookmarkStart w:id="5" w:name="_Toc220447408"/>
      <w:r w:rsidR="00E53F18">
        <w:rPr>
          <w:noProof/>
        </w:rPr>
        <w:lastRenderedPageBreak/>
        <w:drawing>
          <wp:inline distT="0" distB="0" distL="0" distR="0" wp14:anchorId="08FF5E0D" wp14:editId="69B3F502">
            <wp:extent cx="631371" cy="946522"/>
            <wp:effectExtent l="0" t="0" r="0" b="635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een plan leaf x4 colour_EK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9872" cy="959267"/>
                    </a:xfrm>
                    <a:prstGeom prst="rect">
                      <a:avLst/>
                    </a:prstGeom>
                  </pic:spPr>
                </pic:pic>
              </a:graphicData>
            </a:graphic>
          </wp:inline>
        </w:drawing>
      </w:r>
      <w:r w:rsidR="00817EF8">
        <w:t>Foreword</w:t>
      </w:r>
      <w:bookmarkEnd w:id="5"/>
    </w:p>
    <w:p w14:paraId="36C7B116" w14:textId="3F88CB19" w:rsidR="003D4EC7" w:rsidRPr="002D2A16" w:rsidRDefault="003D4EC7" w:rsidP="00844995">
      <w:pPr>
        <w:spacing w:line="360" w:lineRule="auto"/>
        <w:rPr>
          <w:rFonts w:cs="Arial"/>
        </w:rPr>
      </w:pPr>
      <w:r>
        <w:rPr>
          <w:rFonts w:cs="Arial"/>
        </w:rPr>
        <w:t>L</w:t>
      </w:r>
      <w:r w:rsidRPr="002D2A16">
        <w:rPr>
          <w:rFonts w:cs="Arial"/>
        </w:rPr>
        <w:t xml:space="preserve">eadership is about taking action today to secure a better tomorrow. We are committed to becoming leaders in setting </w:t>
      </w:r>
      <w:r>
        <w:rPr>
          <w:rFonts w:cs="Arial"/>
        </w:rPr>
        <w:t>best practice towards</w:t>
      </w:r>
      <w:r w:rsidRPr="002D2A16">
        <w:rPr>
          <w:rFonts w:cs="Arial"/>
        </w:rPr>
        <w:t xml:space="preserve"> a healthier and more resilient future. By transforming the way we work and deliver care, we are not only committing to reducing our negative environmental impacts, but also improving the wellbeing of our patients, colleagues, and the wider community we serve.</w:t>
      </w:r>
    </w:p>
    <w:p w14:paraId="25E15EE7" w14:textId="70AAA5E5" w:rsidR="003D4EC7" w:rsidRDefault="003D4EC7" w:rsidP="00844995">
      <w:pPr>
        <w:spacing w:line="360" w:lineRule="auto"/>
        <w:rPr>
          <w:rFonts w:cs="Arial"/>
        </w:rPr>
      </w:pPr>
      <w:r w:rsidRPr="002D2A16">
        <w:rPr>
          <w:rFonts w:cs="Arial"/>
        </w:rPr>
        <w:t xml:space="preserve">This Green Plan is our roadmap to transformation. It aligns efforts across the </w:t>
      </w:r>
      <w:r w:rsidR="00342604">
        <w:rPr>
          <w:rFonts w:cs="Arial"/>
        </w:rPr>
        <w:t>T</w:t>
      </w:r>
      <w:r w:rsidRPr="002D2A16">
        <w:rPr>
          <w:rFonts w:cs="Arial"/>
        </w:rPr>
        <w:t>rust to lead the way in sustainable healthcare. Our goal is clear: To deliver healthcare of the highest quality while protecting the environment for generations to come. The actions we take now will shape a legacy of responsibility, innovation, and resilience, because the health of our community and our planet are inseparable.</w:t>
      </w:r>
    </w:p>
    <w:p w14:paraId="52028973" w14:textId="4CCDDAA2" w:rsidR="003D4EC7" w:rsidRPr="00360E15" w:rsidRDefault="003D4EC7" w:rsidP="00844995">
      <w:pPr>
        <w:spacing w:line="360" w:lineRule="auto"/>
        <w:rPr>
          <w:rFonts w:cs="Arial"/>
          <w:i/>
        </w:rPr>
      </w:pPr>
      <w:r w:rsidRPr="00360E15">
        <w:rPr>
          <w:rFonts w:cs="Arial"/>
          <w:i/>
        </w:rPr>
        <w:t>The responsibility is ours and the time to act is now.</w:t>
      </w:r>
    </w:p>
    <w:p w14:paraId="35BAEFD0" w14:textId="2B731F1A" w:rsidR="00360E15" w:rsidRDefault="00360E15" w:rsidP="003D4EC7">
      <w:pPr>
        <w:spacing w:line="36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9062ED" w14:paraId="0B54ACCD" w14:textId="77777777" w:rsidTr="002D2C1E">
        <w:tc>
          <w:tcPr>
            <w:tcW w:w="1696" w:type="dxa"/>
          </w:tcPr>
          <w:p w14:paraId="5F8FC2EB" w14:textId="6274FB76" w:rsidR="009062ED" w:rsidRDefault="009062ED" w:rsidP="003D4EC7">
            <w:pPr>
              <w:spacing w:line="360" w:lineRule="auto"/>
              <w:rPr>
                <w:rFonts w:cs="Arial"/>
              </w:rPr>
            </w:pPr>
            <w:r>
              <w:rPr>
                <w:noProof/>
              </w:rPr>
              <w:drawing>
                <wp:inline distT="0" distB="0" distL="0" distR="0" wp14:anchorId="3CDFCC63" wp14:editId="17A7FE96">
                  <wp:extent cx="879475" cy="845820"/>
                  <wp:effectExtent l="0" t="0" r="0" b="0"/>
                  <wp:docPr id="6" name="Picture 6" descr="Who we are | East Kent Hospital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we are | East Kent Hospitals Charity"/>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4831" b="98442" l="2912" r="89974">
                                        <a14:foregroundMark x1="29848" y1="90183" x2="29848" y2="90183"/>
                                        <a14:foregroundMark x1="42124" y1="86054" x2="42124" y2="86054"/>
                                        <a14:foregroundMark x1="46195" y1="13751" x2="46195" y2="13751"/>
                                        <a14:foregroundMark x1="39775" y1="11687" x2="39775" y2="11687"/>
                                        <a14:foregroundMark x1="47386" y1="4831" x2="47386" y2="4831"/>
                                        <a14:foregroundMark x1="78954" y1="95676" x2="78954" y2="95676"/>
                                        <a14:foregroundMark x1="65520" y1="92949" x2="65520" y2="92949"/>
                                        <a14:foregroundMark x1="56155" y1="97078" x2="56155" y2="97078"/>
                                        <a14:foregroundMark x1="2912" y1="96377" x2="2912" y2="96377"/>
                                        <a14:foregroundMark x1="40371" y1="98442" x2="40371" y2="98442"/>
                                        <a14:foregroundMark x1="75447" y1="38878" x2="75447" y2="38878"/>
                                      </a14:backgroundRemoval>
                                    </a14:imgEffect>
                                  </a14:imgLayer>
                                </a14:imgProps>
                              </a:ext>
                              <a:ext uri="{28A0092B-C50C-407E-A947-70E740481C1C}">
                                <a14:useLocalDpi xmlns:a14="http://schemas.microsoft.com/office/drawing/2010/main" val="0"/>
                              </a:ext>
                            </a:extLst>
                          </a:blip>
                          <a:srcRect r="11673"/>
                          <a:stretch/>
                        </pic:blipFill>
                        <pic:spPr bwMode="auto">
                          <a:xfrm>
                            <a:off x="0" y="0"/>
                            <a:ext cx="879475" cy="8458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20" w:type="dxa"/>
          </w:tcPr>
          <w:p w14:paraId="45A383C1" w14:textId="77777777" w:rsidR="009062ED" w:rsidRPr="00360E15" w:rsidRDefault="009062ED" w:rsidP="007F39B8">
            <w:pPr>
              <w:pStyle w:val="Heading3"/>
              <w:outlineLvl w:val="2"/>
            </w:pPr>
            <w:r w:rsidRPr="00360E15">
              <w:t>Ben Stevens</w:t>
            </w:r>
          </w:p>
          <w:p w14:paraId="2D026067" w14:textId="77777777" w:rsidR="009062ED" w:rsidRPr="00FB4CA7" w:rsidRDefault="009062ED" w:rsidP="009062ED">
            <w:pPr>
              <w:spacing w:line="360" w:lineRule="auto"/>
              <w:rPr>
                <w:rFonts w:cs="Arial"/>
                <w:lang w:val="en-GB"/>
              </w:rPr>
            </w:pPr>
            <w:r w:rsidRPr="00FB4CA7">
              <w:rPr>
                <w:rFonts w:cs="Arial"/>
                <w:lang w:val="en-GB"/>
              </w:rPr>
              <w:t>Chief Strategy and Partnerships Officer</w:t>
            </w:r>
          </w:p>
          <w:p w14:paraId="4F39085D" w14:textId="77777777" w:rsidR="009062ED" w:rsidRPr="00FB4CA7" w:rsidRDefault="009062ED" w:rsidP="009062ED">
            <w:pPr>
              <w:spacing w:line="360" w:lineRule="auto"/>
              <w:rPr>
                <w:rFonts w:cs="Arial"/>
                <w:lang w:val="en-GB"/>
              </w:rPr>
            </w:pPr>
            <w:r w:rsidRPr="00FB4CA7">
              <w:rPr>
                <w:rFonts w:cs="Arial"/>
                <w:lang w:val="en-GB"/>
              </w:rPr>
              <w:t xml:space="preserve">East Kent Hospitals University NHS Foundation Trust </w:t>
            </w:r>
          </w:p>
          <w:p w14:paraId="2935ADAE" w14:textId="77777777" w:rsidR="009062ED" w:rsidRDefault="009062ED" w:rsidP="003D4EC7">
            <w:pPr>
              <w:spacing w:line="360" w:lineRule="auto"/>
              <w:rPr>
                <w:rFonts w:cs="Arial"/>
              </w:rPr>
            </w:pPr>
          </w:p>
        </w:tc>
      </w:tr>
    </w:tbl>
    <w:p w14:paraId="58EF0606" w14:textId="77777777" w:rsidR="009062ED" w:rsidRPr="00360E15" w:rsidRDefault="009062ED" w:rsidP="003D4EC7">
      <w:pPr>
        <w:spacing w:line="360" w:lineRule="auto"/>
        <w:rPr>
          <w:rFonts w:cs="Arial"/>
        </w:rPr>
      </w:pPr>
    </w:p>
    <w:p w14:paraId="72DDA280" w14:textId="7D97F069" w:rsidR="007B7B2C" w:rsidRDefault="007B7B2C" w:rsidP="003C6A1C">
      <w:pPr>
        <w:spacing w:line="360" w:lineRule="auto"/>
        <w:jc w:val="right"/>
      </w:pPr>
      <w:r>
        <w:rPr>
          <w:rFonts w:cs="Arial"/>
          <w:noProof/>
        </w:rPr>
        <w:drawing>
          <wp:inline distT="0" distB="0" distL="0" distR="0" wp14:anchorId="2EF786DE" wp14:editId="340A3C02">
            <wp:extent cx="936700" cy="1404257"/>
            <wp:effectExtent l="0" t="0" r="0" b="571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een plan leaf x4 colour_EK Dark Green.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939728" cy="1408797"/>
                    </a:xfrm>
                    <a:prstGeom prst="rect">
                      <a:avLst/>
                    </a:prstGeom>
                  </pic:spPr>
                </pic:pic>
              </a:graphicData>
            </a:graphic>
          </wp:inline>
        </w:drawing>
      </w:r>
    </w:p>
    <w:p w14:paraId="02BF939B" w14:textId="77777777" w:rsidR="00360E15" w:rsidRDefault="00517666" w:rsidP="007B7B2C">
      <w:pPr>
        <w:tabs>
          <w:tab w:val="left" w:pos="7474"/>
        </w:tabs>
        <w:spacing w:line="276" w:lineRule="auto"/>
      </w:pPr>
      <w:r w:rsidRPr="007B7B2C">
        <w:br w:type="page"/>
      </w:r>
      <w:r w:rsidR="007B7B2C">
        <w:lastRenderedPageBreak/>
        <w:tab/>
      </w:r>
    </w:p>
    <w:p w14:paraId="5A088332" w14:textId="2739EAD8" w:rsidR="005B2E38" w:rsidRDefault="009B061C" w:rsidP="0053578C">
      <w:pPr>
        <w:pStyle w:val="Heading2"/>
      </w:pPr>
      <w:bookmarkStart w:id="6" w:name="_Toc220447409"/>
      <w:r>
        <w:t xml:space="preserve">I. </w:t>
      </w:r>
      <w:r w:rsidR="00806D23">
        <w:t>Introduction</w:t>
      </w:r>
      <w:bookmarkEnd w:id="6"/>
    </w:p>
    <w:p w14:paraId="7926065C" w14:textId="77777777" w:rsidR="00B23A63" w:rsidRDefault="00B23A63" w:rsidP="0053578C">
      <w:pPr>
        <w:pStyle w:val="Heading2"/>
        <w:sectPr w:rsidR="00B23A63" w:rsidSect="009D592C">
          <w:footerReference w:type="default" r:id="rId15"/>
          <w:footerReference w:type="first" r:id="rId16"/>
          <w:pgSz w:w="11906" w:h="16838"/>
          <w:pgMar w:top="1134" w:right="1274" w:bottom="1134" w:left="1440" w:header="850" w:footer="510" w:gutter="0"/>
          <w:cols w:space="708"/>
          <w:titlePg/>
          <w:docGrid w:linePitch="360"/>
        </w:sectPr>
      </w:pPr>
    </w:p>
    <w:p w14:paraId="484D2342" w14:textId="579B3AA7" w:rsidR="00071374" w:rsidRDefault="00071374" w:rsidP="00B23A63">
      <w:pPr>
        <w:spacing w:line="276" w:lineRule="auto"/>
      </w:pPr>
      <w:r>
        <w:t xml:space="preserve">East Kent Hospitals University NHS Foundation Trust is one of the largest hospital </w:t>
      </w:r>
      <w:r w:rsidR="00342604">
        <w:t>T</w:t>
      </w:r>
      <w:r>
        <w:t xml:space="preserve">rusts in England, delivering care to around 730,000 people across Canterbury, Margate, Ashford, Dover, Folkestone, and Whitstable. Our services span five hospital sites and </w:t>
      </w:r>
      <w:r w:rsidR="00E121AB">
        <w:t xml:space="preserve">multiple </w:t>
      </w:r>
      <w:r>
        <w:t>community settings.</w:t>
      </w:r>
    </w:p>
    <w:p w14:paraId="24FB9D96" w14:textId="15C308E1" w:rsidR="00071374" w:rsidRDefault="00071374" w:rsidP="00B23A63">
      <w:pPr>
        <w:spacing w:line="276" w:lineRule="auto"/>
      </w:pPr>
      <w:r>
        <w:t>We provide emergency and elective procedures</w:t>
      </w:r>
      <w:r w:rsidR="00E121AB">
        <w:t>,</w:t>
      </w:r>
      <w:r>
        <w:t xml:space="preserve"> maternity </w:t>
      </w:r>
      <w:r w:rsidR="00E121AB">
        <w:t xml:space="preserve">services </w:t>
      </w:r>
      <w:r>
        <w:t>and specialist services such as trauma, orthopaedics, renal, neonatal intensive care, and cardiac care. Many of our services extend into the community and into people’s homes, including home dialysis, stoma care, mobile chemotherapy, and community paediatrics.</w:t>
      </w:r>
    </w:p>
    <w:p w14:paraId="208E8937" w14:textId="1FBE9CE3" w:rsidR="00071374" w:rsidRDefault="00071374" w:rsidP="00B23A63">
      <w:pPr>
        <w:spacing w:line="276" w:lineRule="auto"/>
      </w:pPr>
      <w:r>
        <w:t>As a specialist provider for a wider population of over 1.5 million, we are the regional hub for renal care, vascular surgery, otolaryngology, oncology and specialist cardiac services, with outreach across Medway and Maidstone and a cardiac centre of excellence at William Harvey Hospital in Ashford.</w:t>
      </w:r>
    </w:p>
    <w:p w14:paraId="5CD50336" w14:textId="77777777" w:rsidR="00B23A63" w:rsidRDefault="00071374" w:rsidP="00B23A63">
      <w:pPr>
        <w:spacing w:line="276" w:lineRule="auto"/>
      </w:pPr>
      <w:r>
        <w:t xml:space="preserve">Our workforce consists of more than 10,100 people, including over 3,300 nurses and midwives, 1,400 doctors, and 1,700 technical, scientific, and therapeutic staff, and is supported by 3,600 colleagues across corporate and estates functions. </w:t>
      </w:r>
    </w:p>
    <w:p w14:paraId="324F4B29" w14:textId="2E8FA0C0" w:rsidR="000E0F1A" w:rsidRDefault="00071374" w:rsidP="00B23A63">
      <w:pPr>
        <w:spacing w:line="276" w:lineRule="auto"/>
      </w:pPr>
      <w:r>
        <w:t>Together, we are committed to providing excellent patient care in ways that reduce our</w:t>
      </w:r>
      <w:r w:rsidR="00CC2B3A">
        <w:t xml:space="preserve"> </w:t>
      </w:r>
      <w:r>
        <w:t>environmental impact and support a more sustainable health system for future generations.</w:t>
      </w:r>
    </w:p>
    <w:p w14:paraId="04F7DD5E" w14:textId="3D6662CF" w:rsidR="00806D23" w:rsidRPr="0053578C" w:rsidRDefault="00806D23" w:rsidP="007F39B8">
      <w:pPr>
        <w:pStyle w:val="Heading3"/>
      </w:pPr>
      <w:bookmarkStart w:id="7" w:name="_Toc220447410"/>
      <w:r w:rsidRPr="0053578C">
        <w:t>The communities we care for</w:t>
      </w:r>
      <w:bookmarkEnd w:id="7"/>
    </w:p>
    <w:p w14:paraId="53C50CC6" w14:textId="0EACBA3C" w:rsidR="00806D23" w:rsidRDefault="00806D23" w:rsidP="00B23A63">
      <w:pPr>
        <w:spacing w:line="276" w:lineRule="auto"/>
      </w:pPr>
      <w:r>
        <w:t xml:space="preserve">As recognised in Lord Darzi’s </w:t>
      </w:r>
      <w:r w:rsidR="00E121AB">
        <w:t xml:space="preserve">2024 </w:t>
      </w:r>
      <w:r>
        <w:t xml:space="preserve">independent investigation of the NHS, the health of the nation has deteriorated and, with an ageing population, an increasing demand on NHS services </w:t>
      </w:r>
      <w:r w:rsidR="00E121AB">
        <w:t xml:space="preserve">is </w:t>
      </w:r>
      <w:r w:rsidR="00CC2B3A">
        <w:t>expected</w:t>
      </w:r>
      <w:r w:rsidR="00B23A63">
        <w:rPr>
          <w:rStyle w:val="EndnoteReference"/>
        </w:rPr>
        <w:endnoteReference w:id="1"/>
      </w:r>
      <w:r>
        <w:t xml:space="preserve">. </w:t>
      </w:r>
    </w:p>
    <w:p w14:paraId="05176404" w14:textId="2DA7E442" w:rsidR="00806D23" w:rsidRDefault="00CC2B3A" w:rsidP="00B23A63">
      <w:pPr>
        <w:spacing w:line="276" w:lineRule="auto"/>
      </w:pPr>
      <w:r w:rsidRPr="00B23A63">
        <w:rPr>
          <w:i/>
        </w:rPr>
        <w:t>We are ageing</w:t>
      </w:r>
      <w:r>
        <w:t xml:space="preserve">: </w:t>
      </w:r>
      <w:r w:rsidR="00806D23">
        <w:t xml:space="preserve">Across East Kent, </w:t>
      </w:r>
      <w:r>
        <w:t>t</w:t>
      </w:r>
      <w:r w:rsidR="00806D23">
        <w:t xml:space="preserve">he number of people aged over 65 is forecast to increase by 58% by 2036, with the number of people aged over 85 expected to increase by 131% during the same time. </w:t>
      </w:r>
    </w:p>
    <w:p w14:paraId="7777E654" w14:textId="77777777" w:rsidR="00CC2B3A" w:rsidRDefault="00CC2B3A" w:rsidP="00B23A63">
      <w:pPr>
        <w:keepNext/>
        <w:spacing w:after="0" w:line="276" w:lineRule="auto"/>
      </w:pPr>
      <w:r w:rsidRPr="00B23A63">
        <w:rPr>
          <w:i/>
        </w:rPr>
        <w:t>Areas of deprivation</w:t>
      </w:r>
      <w:r>
        <w:t xml:space="preserve">: </w:t>
      </w:r>
      <w:r w:rsidR="00806D23">
        <w:t xml:space="preserve">There are some areas of significant deprivation in east Kent. Some parts of Thanet are among the most deprived in England, with 21% of Thanet’s population living in the bottom 10% of the most deprived nationally. </w:t>
      </w:r>
    </w:p>
    <w:p w14:paraId="6F56E39D" w14:textId="77777777" w:rsidR="00B23A63" w:rsidRDefault="00B23A63" w:rsidP="00B23A63">
      <w:pPr>
        <w:keepNext/>
        <w:spacing w:after="0" w:line="276" w:lineRule="auto"/>
        <w:rPr>
          <w:i/>
        </w:rPr>
      </w:pPr>
    </w:p>
    <w:p w14:paraId="0C34035A" w14:textId="1D3AAEF6" w:rsidR="00123F44" w:rsidRDefault="00CC2B3A" w:rsidP="00B23A63">
      <w:pPr>
        <w:keepNext/>
        <w:spacing w:after="0" w:line="276" w:lineRule="auto"/>
      </w:pPr>
      <w:r w:rsidRPr="00B23A63">
        <w:rPr>
          <w:i/>
        </w:rPr>
        <w:t>Health and social care needs are increasing</w:t>
      </w:r>
      <w:r>
        <w:t xml:space="preserve">: </w:t>
      </w:r>
      <w:r w:rsidR="00806D23">
        <w:t xml:space="preserve">East Kent has increasing rates of hypertension, diabetes and chronic kidney disease. This contributes to increased demand for health and social care services, including a </w:t>
      </w:r>
      <w:r>
        <w:t xml:space="preserve">6-7% </w:t>
      </w:r>
      <w:r w:rsidR="00806D23">
        <w:t>yearly increase in the number of patients going to hospital for urgent or emergency care.</w:t>
      </w:r>
    </w:p>
    <w:p w14:paraId="6883D9A9" w14:textId="531DA9DC" w:rsidR="00E53F18" w:rsidRDefault="00806D23" w:rsidP="00B23A63">
      <w:pPr>
        <w:spacing w:before="240" w:after="0" w:line="276" w:lineRule="auto"/>
      </w:pPr>
      <w:r w:rsidRPr="00806D23">
        <w:t xml:space="preserve">In addition to </w:t>
      </w:r>
      <w:r w:rsidR="00D64E65">
        <w:t xml:space="preserve">pressures linked to </w:t>
      </w:r>
      <w:r w:rsidRPr="00806D23">
        <w:t>demographic and de</w:t>
      </w:r>
      <w:r w:rsidR="00E121AB">
        <w:t>p</w:t>
      </w:r>
      <w:r w:rsidRPr="00806D23">
        <w:t>rivation, the Trust and local health economy is impacted by health disparities across its communities</w:t>
      </w:r>
      <w:r w:rsidR="00CC2B3A">
        <w:t>.</w:t>
      </w:r>
      <w:r w:rsidR="007B7B2C">
        <w:t xml:space="preserve"> </w:t>
      </w:r>
    </w:p>
    <w:p w14:paraId="77263B95" w14:textId="1323CA43" w:rsidR="00806D23" w:rsidRDefault="0025512D" w:rsidP="00B23A63">
      <w:pPr>
        <w:spacing w:before="240" w:after="0" w:line="276" w:lineRule="auto"/>
      </w:pPr>
      <w:r>
        <w:br w:type="column"/>
      </w:r>
      <w:r w:rsidR="00806D23" w:rsidRPr="00806D23">
        <w:lastRenderedPageBreak/>
        <w:t xml:space="preserve">Kent County Council Public Health has highlighted particular areas of challenge for the Trust, which </w:t>
      </w:r>
      <w:r w:rsidR="00CC2B3A">
        <w:t>project</w:t>
      </w:r>
      <w:r w:rsidR="00806D23" w:rsidRPr="00806D23">
        <w:t xml:space="preserve"> likely demand for services</w:t>
      </w:r>
      <w:r w:rsidR="00CC2B3A">
        <w:t xml:space="preserve"> up to 2030</w:t>
      </w:r>
      <w:r w:rsidR="00806D23" w:rsidRPr="00806D23">
        <w:t xml:space="preserve"> and</w:t>
      </w:r>
      <w:r w:rsidR="00123F44">
        <w:t xml:space="preserve"> have</w:t>
      </w:r>
      <w:r w:rsidR="00806D23" w:rsidRPr="00806D23">
        <w:t xml:space="preserve"> inform</w:t>
      </w:r>
      <w:r w:rsidR="00123F44">
        <w:t>ed</w:t>
      </w:r>
      <w:r w:rsidR="00806D23" w:rsidRPr="00806D23">
        <w:t xml:space="preserve"> the areas of focus for the Trust and system over the coming </w:t>
      </w:r>
      <w:r w:rsidR="00123F44">
        <w:t>years.</w:t>
      </w:r>
      <w:r w:rsidR="007F39B8">
        <w:br/>
      </w:r>
    </w:p>
    <w:p w14:paraId="4199D413" w14:textId="39531582" w:rsidR="00806D23" w:rsidRDefault="00123F44" w:rsidP="007F39B8">
      <w:pPr>
        <w:pStyle w:val="Heading3"/>
      </w:pPr>
      <w:bookmarkStart w:id="8" w:name="_Toc220447411"/>
      <w:r>
        <w:t>O</w:t>
      </w:r>
      <w:r w:rsidR="000E0F1A">
        <w:t>ur operational and financial challenges</w:t>
      </w:r>
      <w:bookmarkEnd w:id="8"/>
    </w:p>
    <w:p w14:paraId="7202F509" w14:textId="0244F8E6" w:rsidR="000E0F1A" w:rsidRDefault="000E0F1A" w:rsidP="00B23A63">
      <w:pPr>
        <w:spacing w:line="276" w:lineRule="auto"/>
      </w:pPr>
      <w:r>
        <w:t xml:space="preserve">The Trust has developed a Financial Sustainability Plan which represents plans and ambitions for the coming years in order to achieve financial balance. It sets out how we must address our underlying deficit, whilst delivering productivity improvements and service transformation to deliver high quality care to our population.  </w:t>
      </w:r>
    </w:p>
    <w:p w14:paraId="141ACD6A" w14:textId="21C24DAB" w:rsidR="000E0F1A" w:rsidRDefault="00123F44" w:rsidP="00B23A63">
      <w:pPr>
        <w:spacing w:line="276" w:lineRule="auto"/>
      </w:pPr>
      <w:r>
        <w:t>The incoming</w:t>
      </w:r>
      <w:r w:rsidR="000E0F1A">
        <w:t xml:space="preserve"> ten-year clinical strategy will sit alongside our three-year financial recovery programme. It sets out our longer-term clinical ambition to develop a broad and varied range of clinically driven services that offer high quality, innovative patient centred care, across the range of clinical pathways</w:t>
      </w:r>
      <w:r w:rsidR="00EE7378">
        <w:t>.</w:t>
      </w:r>
    </w:p>
    <w:p w14:paraId="00C3FF79" w14:textId="4E6F3B68" w:rsidR="000E0F1A" w:rsidRDefault="000E0F1A" w:rsidP="00B23A63">
      <w:pPr>
        <w:spacing w:line="276" w:lineRule="auto"/>
      </w:pPr>
      <w:r>
        <w:t>Recovering our financial position and balancing our books is an essential building block to ou</w:t>
      </w:r>
      <w:r w:rsidR="00E121AB">
        <w:t>r</w:t>
      </w:r>
      <w:r>
        <w:t xml:space="preserve"> Trust’s long-term sustainability and growth.</w:t>
      </w:r>
      <w:r w:rsidR="00123F44">
        <w:t xml:space="preserve"> </w:t>
      </w:r>
      <w:r>
        <w:t>The pace at which we are able to deliver innovation and clinical transformation will be determined by the financial challenges that we must first address.</w:t>
      </w:r>
    </w:p>
    <w:p w14:paraId="7C0EEA61" w14:textId="77777777" w:rsidR="00B23A63" w:rsidRDefault="00B23A63" w:rsidP="00B23A63">
      <w:pPr>
        <w:spacing w:line="276" w:lineRule="auto"/>
        <w:rPr>
          <w:i/>
        </w:rPr>
      </w:pPr>
    </w:p>
    <w:p w14:paraId="3886C62D" w14:textId="63427F82" w:rsidR="000E0F1A" w:rsidRDefault="000E0F1A" w:rsidP="00B23A63">
      <w:pPr>
        <w:spacing w:line="276" w:lineRule="auto"/>
      </w:pPr>
      <w:r w:rsidRPr="00B23A63">
        <w:rPr>
          <w:i/>
        </w:rPr>
        <w:t>Operational demand and productivity:</w:t>
      </w:r>
      <w:r>
        <w:t xml:space="preserve"> </w:t>
      </w:r>
      <w:r w:rsidR="00123F44" w:rsidRPr="00123F44">
        <w:t>The Trust continues to experience increased demand for emergency and elective services. Progress is being made to</w:t>
      </w:r>
      <w:r w:rsidR="00F54997">
        <w:t xml:space="preserve"> </w:t>
      </w:r>
      <w:r w:rsidR="00123F44" w:rsidRPr="00123F44">
        <w:t>improve our inpatient length of stay</w:t>
      </w:r>
      <w:r w:rsidR="00F54997">
        <w:t xml:space="preserve"> and</w:t>
      </w:r>
      <w:r w:rsidR="00123F44" w:rsidRPr="00123F44">
        <w:t xml:space="preserve"> </w:t>
      </w:r>
      <w:r w:rsidR="00F54997">
        <w:t xml:space="preserve">clinical </w:t>
      </w:r>
      <w:r w:rsidR="00123F44" w:rsidRPr="00123F44">
        <w:t xml:space="preserve">productivity, to ensure we have the capacity to treat our patients effectively, and we will be looking at where our clinical service change priorities can support us in meeting these operational demands. </w:t>
      </w:r>
    </w:p>
    <w:p w14:paraId="67CC5072" w14:textId="0985480D" w:rsidR="000E0F1A" w:rsidRDefault="000E0F1A" w:rsidP="00B23A63">
      <w:pPr>
        <w:spacing w:line="276" w:lineRule="auto"/>
      </w:pPr>
      <w:r w:rsidRPr="00B23A63">
        <w:rPr>
          <w:i/>
        </w:rPr>
        <w:t>Ageing estate and infrastructure</w:t>
      </w:r>
      <w:r w:rsidR="00F54997" w:rsidRPr="00B23A63">
        <w:rPr>
          <w:i/>
        </w:rPr>
        <w:t>:</w:t>
      </w:r>
      <w:r w:rsidR="00F54997">
        <w:t xml:space="preserve"> </w:t>
      </w:r>
      <w:r w:rsidR="00EF4E24" w:rsidRPr="00EF4E24">
        <w:t xml:space="preserve">The Trust’s estate encompasses a mix of buildings, both modern and historic in nature, having a significant impact on the Trust’s financial position. Specifically, the Trust’s estate requires significant resource for maintenance and preservation.  </w:t>
      </w:r>
    </w:p>
    <w:p w14:paraId="1D200E35" w14:textId="32C61451" w:rsidR="000E0F1A" w:rsidRDefault="000E0F1A" w:rsidP="00B23A63">
      <w:pPr>
        <w:spacing w:line="276" w:lineRule="auto"/>
      </w:pPr>
      <w:r w:rsidRPr="00B23A63">
        <w:rPr>
          <w:i/>
        </w:rPr>
        <w:t>Digital maturity, innovation and adoption</w:t>
      </w:r>
      <w:r w:rsidR="00606BEB" w:rsidRPr="00B23A63">
        <w:rPr>
          <w:i/>
        </w:rPr>
        <w:t>:</w:t>
      </w:r>
      <w:r w:rsidR="00606BEB">
        <w:t xml:space="preserve"> </w:t>
      </w:r>
      <w:r w:rsidR="00606BEB" w:rsidRPr="00606BEB">
        <w:t>The Trust has identified it has significant progress to be made in embracing digital technology to drive transformation. Lord Darzi’s recent independent review recognises how the NHS has fallen behind other sectors in how digital technology has been used, and has highlighted that much more needs to be done to use this to radically reshape services.</w:t>
      </w:r>
    </w:p>
    <w:p w14:paraId="1FED109D" w14:textId="4150FE12" w:rsidR="009B061C" w:rsidRPr="00B23A63" w:rsidRDefault="00606BEB" w:rsidP="00B23A63">
      <w:pPr>
        <w:spacing w:line="276" w:lineRule="auto"/>
        <w:rPr>
          <w:b/>
        </w:rPr>
      </w:pPr>
      <w:r w:rsidRPr="00B23A63">
        <w:rPr>
          <w:b/>
        </w:rPr>
        <w:t xml:space="preserve">We recognise that </w:t>
      </w:r>
      <w:r w:rsidR="00D64E65" w:rsidRPr="00B23A63">
        <w:rPr>
          <w:b/>
        </w:rPr>
        <w:t>achieving</w:t>
      </w:r>
      <w:r w:rsidRPr="00B23A63">
        <w:rPr>
          <w:b/>
        </w:rPr>
        <w:t xml:space="preserve"> financial sustainab</w:t>
      </w:r>
      <w:r w:rsidR="00D64E65" w:rsidRPr="00B23A63">
        <w:rPr>
          <w:b/>
        </w:rPr>
        <w:t>i</w:t>
      </w:r>
      <w:r w:rsidRPr="00B23A63">
        <w:rPr>
          <w:b/>
        </w:rPr>
        <w:t>l</w:t>
      </w:r>
      <w:r w:rsidR="00D64E65" w:rsidRPr="00B23A63">
        <w:rPr>
          <w:b/>
        </w:rPr>
        <w:t>ity</w:t>
      </w:r>
      <w:r w:rsidRPr="00B23A63">
        <w:rPr>
          <w:b/>
        </w:rPr>
        <w:t xml:space="preserve"> is c</w:t>
      </w:r>
      <w:r w:rsidR="00D64E65" w:rsidRPr="00B23A63">
        <w:rPr>
          <w:b/>
        </w:rPr>
        <w:t>losely</w:t>
      </w:r>
      <w:r w:rsidRPr="00B23A63">
        <w:rPr>
          <w:b/>
        </w:rPr>
        <w:t xml:space="preserve"> linked with our responsibility to </w:t>
      </w:r>
      <w:r w:rsidR="009B061C" w:rsidRPr="00B23A63">
        <w:rPr>
          <w:b/>
        </w:rPr>
        <w:t>reduce the negative environmental impacts and to maximise the social benefits of our actions.</w:t>
      </w:r>
    </w:p>
    <w:p w14:paraId="188B8C0C" w14:textId="77777777" w:rsidR="00B23A63" w:rsidRDefault="00B23A63">
      <w:pPr>
        <w:spacing w:line="276" w:lineRule="auto"/>
        <w:sectPr w:rsidR="00B23A63" w:rsidSect="00A05C49">
          <w:footerReference w:type="default" r:id="rId17"/>
          <w:type w:val="continuous"/>
          <w:pgSz w:w="11906" w:h="16838"/>
          <w:pgMar w:top="1440" w:right="1440" w:bottom="1134" w:left="1440" w:header="850" w:footer="510" w:gutter="0"/>
          <w:pgNumType w:start="0"/>
          <w:cols w:num="2" w:space="510"/>
          <w:titlePg/>
          <w:docGrid w:linePitch="360"/>
        </w:sectPr>
      </w:pPr>
    </w:p>
    <w:p w14:paraId="0B8DC3E5" w14:textId="42CEF4A1" w:rsidR="00251FD5" w:rsidRDefault="00251FD5">
      <w:pPr>
        <w:spacing w:line="276" w:lineRule="auto"/>
        <w:rPr>
          <w:rFonts w:eastAsiaTheme="majorEastAsia" w:cstheme="majorBidi"/>
          <w:b/>
          <w:color w:val="365F91" w:themeColor="accent1" w:themeShade="BF"/>
          <w:sz w:val="32"/>
          <w:szCs w:val="32"/>
        </w:rPr>
      </w:pPr>
      <w:r>
        <w:br w:type="page"/>
      </w:r>
    </w:p>
    <w:p w14:paraId="62BCBA8E" w14:textId="61923C42" w:rsidR="009B061C" w:rsidRDefault="009B061C" w:rsidP="007F39B8">
      <w:pPr>
        <w:pStyle w:val="Heading2"/>
      </w:pPr>
      <w:bookmarkStart w:id="9" w:name="_Toc220447412"/>
      <w:r>
        <w:lastRenderedPageBreak/>
        <w:t>II. Organisational vision</w:t>
      </w:r>
      <w:bookmarkEnd w:id="9"/>
    </w:p>
    <w:p w14:paraId="1747FF98" w14:textId="77777777" w:rsidR="00F316D7" w:rsidRDefault="00F316D7" w:rsidP="007F39B8">
      <w:pPr>
        <w:pStyle w:val="Heading2"/>
        <w:rPr>
          <w:bCs/>
          <w:i/>
        </w:rPr>
        <w:sectPr w:rsidR="00F316D7" w:rsidSect="007F39B8">
          <w:footerReference w:type="default" r:id="rId18"/>
          <w:type w:val="continuous"/>
          <w:pgSz w:w="11906" w:h="16838"/>
          <w:pgMar w:top="1135" w:right="1440" w:bottom="1134" w:left="1440" w:header="850" w:footer="510" w:gutter="0"/>
          <w:pgNumType w:start="0"/>
          <w:cols w:space="708"/>
          <w:titlePg/>
          <w:docGrid w:linePitch="360"/>
        </w:sectPr>
      </w:pPr>
    </w:p>
    <w:p w14:paraId="2123CB6F" w14:textId="77777777" w:rsidR="002475A6" w:rsidRDefault="7B3761C9" w:rsidP="00F316D7">
      <w:pPr>
        <w:spacing w:line="276" w:lineRule="auto"/>
        <w:rPr>
          <w:b/>
          <w:bCs/>
        </w:rPr>
      </w:pPr>
      <w:r w:rsidRPr="00806D23">
        <w:rPr>
          <w:bCs/>
          <w:i/>
        </w:rPr>
        <w:t>The NHS is not only a cornerstone of health and wellbeing in the UK but also one of the largest employers and consumers of resources.</w:t>
      </w:r>
      <w:r w:rsidRPr="609030A4">
        <w:rPr>
          <w:b/>
          <w:bCs/>
        </w:rPr>
        <w:t xml:space="preserve"> </w:t>
      </w:r>
    </w:p>
    <w:p w14:paraId="2E4D7678" w14:textId="428FC921" w:rsidR="00517666" w:rsidRDefault="7B3761C9" w:rsidP="00F316D7">
      <w:pPr>
        <w:spacing w:line="276" w:lineRule="auto"/>
      </w:pPr>
      <w:r>
        <w:t>As such, it has a unique responsibility to lead by example in addressing the urgent environmental challenges facing our society. The need to reduce our carbon footprint, manage resources more effectively, and promote a healthier environment aligns with our core mission of improving public health. Integrating sustainability into the fabric of our operations is essential for ensuring the long-term viability of our services and the wellbeing of our communities.</w:t>
      </w:r>
    </w:p>
    <w:p w14:paraId="2ABB2267" w14:textId="5BC8AEC5" w:rsidR="4AB6C18D" w:rsidRDefault="4AB6C18D" w:rsidP="007F39B8">
      <w:pPr>
        <w:pStyle w:val="Heading3"/>
        <w:rPr>
          <w:u w:val="single"/>
        </w:rPr>
      </w:pPr>
      <w:bookmarkStart w:id="10" w:name="_Toc220447413"/>
      <w:r>
        <w:t>Climate change and public health</w:t>
      </w:r>
      <w:bookmarkEnd w:id="10"/>
    </w:p>
    <w:p w14:paraId="0EE6A497" w14:textId="427F8BFC" w:rsidR="0015574C" w:rsidRDefault="5BDBD713" w:rsidP="00F316D7">
      <w:pPr>
        <w:spacing w:line="276" w:lineRule="auto"/>
      </w:pPr>
      <w:r>
        <w:t>Climate change is not just an environmental crisis. It has been recognised as the greatest public health threat of the 21st century</w:t>
      </w:r>
      <w:r w:rsidR="004205CF">
        <w:rPr>
          <w:rStyle w:val="EndnoteReference"/>
        </w:rPr>
        <w:endnoteReference w:id="2"/>
      </w:r>
      <w:r w:rsidR="44BA6D9A">
        <w:t xml:space="preserve">. </w:t>
      </w:r>
      <w:r>
        <w:t xml:space="preserve">In the UK, the impacts of climate change are already being felt through rising </w:t>
      </w:r>
      <w:r w:rsidR="15CF96E9">
        <w:t xml:space="preserve">average </w:t>
      </w:r>
      <w:r>
        <w:t>temperatures</w:t>
      </w:r>
      <w:r w:rsidR="4EE4A816">
        <w:t xml:space="preserve"> (</w:t>
      </w:r>
      <w:r w:rsidR="003D4EC7">
        <w:fldChar w:fldCharType="begin"/>
      </w:r>
      <w:r w:rsidR="003D4EC7">
        <w:instrText xml:space="preserve"> REF _Ref210227347 \h </w:instrText>
      </w:r>
      <w:r w:rsidR="00F316D7">
        <w:instrText xml:space="preserve"> \* MERGEFORMAT </w:instrText>
      </w:r>
      <w:r w:rsidR="003D4EC7">
        <w:fldChar w:fldCharType="separate"/>
      </w:r>
      <w:r w:rsidR="00AA305F" w:rsidRPr="00D21291">
        <w:rPr>
          <w:rFonts w:cs="Arial"/>
          <w:color w:val="000000" w:themeColor="text1"/>
        </w:rPr>
        <w:t xml:space="preserve">Figure </w:t>
      </w:r>
      <w:r w:rsidR="00AA305F">
        <w:rPr>
          <w:rFonts w:cs="Arial"/>
          <w:noProof/>
          <w:color w:val="000000" w:themeColor="text1"/>
        </w:rPr>
        <w:t>1</w:t>
      </w:r>
      <w:r w:rsidR="003D4EC7">
        <w:fldChar w:fldCharType="end"/>
      </w:r>
      <w:r w:rsidR="4EE4A816">
        <w:t>)</w:t>
      </w:r>
      <w:r>
        <w:t>,</w:t>
      </w:r>
      <w:r w:rsidR="7B9F35F3">
        <w:t xml:space="preserve"> wetter </w:t>
      </w:r>
      <w:r>
        <w:t>weather</w:t>
      </w:r>
      <w:r w:rsidR="004205CF">
        <w:rPr>
          <w:rStyle w:val="EndnoteReference"/>
        </w:rPr>
        <w:endnoteReference w:id="3"/>
      </w:r>
      <w:r>
        <w:t xml:space="preserve">, degraded air </w:t>
      </w:r>
      <w:r w:rsidR="2D77C11F">
        <w:t>quality</w:t>
      </w:r>
      <w:r w:rsidR="004205CF">
        <w:rPr>
          <w:rStyle w:val="EndnoteReference"/>
        </w:rPr>
        <w:endnoteReference w:id="4"/>
      </w:r>
      <w:r w:rsidR="2D77C11F">
        <w:t xml:space="preserve">, </w:t>
      </w:r>
      <w:r>
        <w:t>water quality</w:t>
      </w:r>
      <w:r w:rsidR="004205CF">
        <w:rPr>
          <w:rStyle w:val="EndnoteReference"/>
        </w:rPr>
        <w:endnoteReference w:id="5"/>
      </w:r>
      <w:r>
        <w:t>, and disrupted food systems</w:t>
      </w:r>
      <w:r w:rsidR="004205CF">
        <w:rPr>
          <w:rStyle w:val="EndnoteReference"/>
        </w:rPr>
        <w:endnoteReference w:id="6"/>
      </w:r>
      <w:r>
        <w:t>. These changes</w:t>
      </w:r>
      <w:r w:rsidR="0338C127">
        <w:t xml:space="preserve"> have</w:t>
      </w:r>
      <w:r>
        <w:t xml:space="preserve"> real, immediate consequences for </w:t>
      </w:r>
      <w:r w:rsidR="52AE82E2">
        <w:t>our capacity</w:t>
      </w:r>
      <w:r w:rsidR="6A5DACAE">
        <w:t xml:space="preserve"> </w:t>
      </w:r>
      <w:r>
        <w:t xml:space="preserve">to deliver </w:t>
      </w:r>
      <w:r w:rsidR="3AD6104E">
        <w:t>health and wellbeing services for the communities we care for.</w:t>
      </w:r>
    </w:p>
    <w:p w14:paraId="6EE4D9D0" w14:textId="77777777" w:rsidR="00F316D7" w:rsidRDefault="00F316D7" w:rsidP="609030A4">
      <w:pPr>
        <w:spacing w:after="0" w:line="360" w:lineRule="auto"/>
        <w:sectPr w:rsidR="00F316D7" w:rsidSect="007F39B8">
          <w:type w:val="continuous"/>
          <w:pgSz w:w="11906" w:h="16838"/>
          <w:pgMar w:top="1134" w:right="1440" w:bottom="1134" w:left="1440" w:header="850" w:footer="510" w:gutter="0"/>
          <w:pgNumType w:start="0"/>
          <w:cols w:num="2" w:space="708"/>
          <w:titlePg/>
          <w:docGrid w:linePitch="360"/>
        </w:sectPr>
      </w:pPr>
    </w:p>
    <w:p w14:paraId="4655FBCC" w14:textId="40253812" w:rsidR="61A96DB9" w:rsidRDefault="007456C3" w:rsidP="609030A4">
      <w:pPr>
        <w:spacing w:after="0" w:line="360" w:lineRule="auto"/>
      </w:pPr>
      <w:r>
        <w:rPr>
          <w:noProof/>
        </w:rPr>
        <w:drawing>
          <wp:inline distT="0" distB="0" distL="0" distR="0" wp14:anchorId="2DF8E7E5" wp14:editId="117E2D40">
            <wp:extent cx="5731510" cy="4367283"/>
            <wp:effectExtent l="0" t="0" r="2540" b="0"/>
            <wp:docPr id="3" name="Chart 3" descr="A line graph showing monthly average air temperatures and temperature ranges for the periods 1960–1990 and 1990–2020. The x-axis represents months from January to December, and the y-axis shows temperature in degrees Celsius (°C), ranging from 0°C to over 20°C. Two sets of dashed lines represent average temperatures: blue for 1960–1990 and red for 1990–2020. Shaded bands around each line indicate the range between average maximum and minimum temperatures. The red line and band (1990–2020) are consistently higher than the blue (1960–1990), especially in the warmer months, highlighting a warming trend over time. The results are as follows:">
              <a:extLst xmlns:a="http://schemas.openxmlformats.org/drawingml/2006/main">
                <a:ext uri="{FF2B5EF4-FFF2-40B4-BE49-F238E27FC236}">
                  <a16:creationId xmlns:a16="http://schemas.microsoft.com/office/drawing/2014/main" id="{1E0AFD48-B77D-48A0-A0EF-B1A1B23F1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CF3DBE" w14:textId="309AA620" w:rsidR="007456C3" w:rsidRPr="007F39B8" w:rsidRDefault="007456C3" w:rsidP="007F39B8">
      <w:pPr>
        <w:pStyle w:val="Caption"/>
        <w:jc w:val="center"/>
        <w:rPr>
          <w:rFonts w:ascii="Arial" w:hAnsi="Arial" w:cs="Arial"/>
          <w:color w:val="000000" w:themeColor="text1"/>
          <w:sz w:val="24"/>
        </w:rPr>
      </w:pPr>
      <w:bookmarkStart w:id="11" w:name="_Ref210227347"/>
      <w:bookmarkStart w:id="12" w:name="_Ref218673252"/>
      <w:r w:rsidRPr="00844995">
        <w:rPr>
          <w:rFonts w:ascii="Arial" w:hAnsi="Arial" w:cs="Arial"/>
          <w:color w:val="000000" w:themeColor="text1"/>
          <w:sz w:val="24"/>
        </w:rPr>
        <w:t xml:space="preserve">Figure </w:t>
      </w:r>
      <w:r w:rsidRPr="00844995">
        <w:rPr>
          <w:rFonts w:ascii="Arial" w:hAnsi="Arial" w:cs="Arial"/>
          <w:color w:val="000000" w:themeColor="text1"/>
          <w:sz w:val="24"/>
        </w:rPr>
        <w:fldChar w:fldCharType="begin"/>
      </w:r>
      <w:r w:rsidRPr="00844995">
        <w:rPr>
          <w:rFonts w:ascii="Arial" w:hAnsi="Arial" w:cs="Arial"/>
          <w:color w:val="000000" w:themeColor="text1"/>
          <w:sz w:val="24"/>
        </w:rPr>
        <w:instrText xml:space="preserve"> SEQ Figure \* ARABIC </w:instrText>
      </w:r>
      <w:r w:rsidRPr="00844995">
        <w:rPr>
          <w:rFonts w:ascii="Arial" w:hAnsi="Arial" w:cs="Arial"/>
          <w:color w:val="000000" w:themeColor="text1"/>
          <w:sz w:val="24"/>
        </w:rPr>
        <w:fldChar w:fldCharType="separate"/>
      </w:r>
      <w:r w:rsidR="00AA305F" w:rsidRPr="00844995">
        <w:rPr>
          <w:rFonts w:ascii="Arial" w:hAnsi="Arial" w:cs="Arial"/>
          <w:noProof/>
          <w:color w:val="000000" w:themeColor="text1"/>
          <w:sz w:val="24"/>
        </w:rPr>
        <w:t>1</w:t>
      </w:r>
      <w:r w:rsidRPr="00844995">
        <w:rPr>
          <w:rFonts w:ascii="Arial" w:hAnsi="Arial" w:cs="Arial"/>
          <w:color w:val="000000" w:themeColor="text1"/>
          <w:sz w:val="24"/>
        </w:rPr>
        <w:fldChar w:fldCharType="end"/>
      </w:r>
      <w:bookmarkEnd w:id="11"/>
      <w:r w:rsidRPr="00844995">
        <w:rPr>
          <w:rFonts w:ascii="Arial" w:hAnsi="Arial" w:cs="Arial"/>
          <w:color w:val="000000" w:themeColor="text1"/>
          <w:sz w:val="24"/>
        </w:rPr>
        <w:t xml:space="preserve">. Monthly air temperature (°C) between 1960–1990 and 1990–2020 averaged between location-specific long-term averages from weather stations in </w:t>
      </w:r>
      <w:hyperlink r:id="rId20">
        <w:r w:rsidRPr="00844995">
          <w:rPr>
            <w:rStyle w:val="Hyperlink"/>
            <w:rFonts w:ascii="Arial" w:hAnsi="Arial" w:cs="Arial"/>
            <w:color w:val="000000" w:themeColor="text1"/>
            <w:sz w:val="24"/>
            <w:u w:val="none"/>
          </w:rPr>
          <w:t>Faversham</w:t>
        </w:r>
      </w:hyperlink>
      <w:r w:rsidRPr="00844995">
        <w:rPr>
          <w:rFonts w:ascii="Arial" w:hAnsi="Arial" w:cs="Arial"/>
          <w:color w:val="000000" w:themeColor="text1"/>
          <w:sz w:val="24"/>
        </w:rPr>
        <w:t xml:space="preserve">, </w:t>
      </w:r>
      <w:hyperlink r:id="rId21">
        <w:r w:rsidRPr="00844995">
          <w:rPr>
            <w:rStyle w:val="Hyperlink"/>
            <w:rFonts w:ascii="Arial" w:hAnsi="Arial" w:cs="Arial"/>
            <w:color w:val="000000" w:themeColor="text1"/>
            <w:sz w:val="24"/>
            <w:u w:val="none"/>
          </w:rPr>
          <w:t>Dover</w:t>
        </w:r>
      </w:hyperlink>
      <w:r w:rsidRPr="00844995">
        <w:rPr>
          <w:rFonts w:ascii="Arial" w:hAnsi="Arial" w:cs="Arial"/>
          <w:color w:val="000000" w:themeColor="text1"/>
          <w:sz w:val="24"/>
        </w:rPr>
        <w:t xml:space="preserve"> and </w:t>
      </w:r>
      <w:hyperlink r:id="rId22">
        <w:r w:rsidRPr="00844995">
          <w:rPr>
            <w:rStyle w:val="Hyperlink"/>
            <w:rFonts w:ascii="Arial" w:hAnsi="Arial" w:cs="Arial"/>
            <w:color w:val="000000" w:themeColor="text1"/>
            <w:sz w:val="24"/>
            <w:u w:val="none"/>
          </w:rPr>
          <w:t>Bodiam</w:t>
        </w:r>
      </w:hyperlink>
      <w:r w:rsidRPr="00844995">
        <w:rPr>
          <w:rFonts w:ascii="Arial" w:hAnsi="Arial" w:cs="Arial"/>
          <w:color w:val="000000" w:themeColor="text1"/>
          <w:sz w:val="24"/>
        </w:rPr>
        <w:t>, UK.</w:t>
      </w:r>
      <w:bookmarkEnd w:id="12"/>
    </w:p>
    <w:p w14:paraId="7921FF2B" w14:textId="051149BF" w:rsidR="00192ECE" w:rsidRDefault="00192ECE" w:rsidP="609030A4">
      <w:pPr>
        <w:spacing w:line="360" w:lineRule="auto"/>
        <w:sectPr w:rsidR="00192ECE" w:rsidSect="007F39B8">
          <w:type w:val="continuous"/>
          <w:pgSz w:w="11906" w:h="16838"/>
          <w:pgMar w:top="1560" w:right="1440" w:bottom="1134" w:left="1440" w:header="850" w:footer="510" w:gutter="0"/>
          <w:pgNumType w:start="0"/>
          <w:cols w:space="708"/>
          <w:titlePg/>
          <w:docGrid w:linePitch="360"/>
        </w:sectPr>
      </w:pPr>
    </w:p>
    <w:p w14:paraId="2B2979E6" w14:textId="547A7687" w:rsidR="6E15A905" w:rsidRDefault="6E15A905" w:rsidP="00192ECE">
      <w:pPr>
        <w:spacing w:line="276" w:lineRule="auto"/>
      </w:pPr>
      <w:r>
        <w:lastRenderedPageBreak/>
        <w:t xml:space="preserve">The health impacts of climate change are well </w:t>
      </w:r>
      <w:r w:rsidR="4E2877F3">
        <w:t>understood,</w:t>
      </w:r>
      <w:r>
        <w:t xml:space="preserve"> and the evidence </w:t>
      </w:r>
      <w:r w:rsidR="77886F2D">
        <w:t>around</w:t>
      </w:r>
      <w:r>
        <w:t xml:space="preserve"> </w:t>
      </w:r>
      <w:r w:rsidR="6F7BD6A8">
        <w:t xml:space="preserve">higher temperatures, increased flooding and air pollution are </w:t>
      </w:r>
      <w:r>
        <w:t>unfortunately growing</w:t>
      </w:r>
      <w:r w:rsidR="33115F01">
        <w:t>:</w:t>
      </w:r>
      <w:r w:rsidR="3A8D3EFE">
        <w:t xml:space="preserve"> </w:t>
      </w:r>
    </w:p>
    <w:p w14:paraId="33E68FF4" w14:textId="1C3536B4" w:rsidR="55073037" w:rsidRDefault="55073037" w:rsidP="00192ECE">
      <w:pPr>
        <w:spacing w:line="276" w:lineRule="auto"/>
      </w:pPr>
      <w:r>
        <w:t xml:space="preserve">In July 2022, the UK experienced its </w:t>
      </w:r>
      <w:r w:rsidRPr="00192ECE">
        <w:rPr>
          <w:i/>
        </w:rPr>
        <w:t>highest-ever recorded temperatures</w:t>
      </w:r>
      <w:r w:rsidR="00322F99">
        <w:rPr>
          <w:rStyle w:val="EndnoteReference"/>
        </w:rPr>
        <w:endnoteReference w:id="7"/>
      </w:r>
      <w:r w:rsidR="00ACFEB1">
        <w:t>.</w:t>
      </w:r>
      <w:r>
        <w:t xml:space="preserve"> </w:t>
      </w:r>
      <w:r w:rsidR="3FB9F530">
        <w:t>A</w:t>
      </w:r>
      <w:r>
        <w:t>cross England and Wales, over 2,800 excess deaths were recorded over a single six-day period</w:t>
      </w:r>
      <w:r w:rsidR="3ABA04AE">
        <w:t xml:space="preserve"> for those aged 65 and over</w:t>
      </w:r>
      <w:r w:rsidR="00322F99">
        <w:rPr>
          <w:rStyle w:val="EndnoteReference"/>
        </w:rPr>
        <w:endnoteReference w:id="8"/>
      </w:r>
      <w:r>
        <w:t>.</w:t>
      </w:r>
    </w:p>
    <w:p w14:paraId="32548DEC" w14:textId="21D6B8CC" w:rsidR="2805F8B0" w:rsidRDefault="2805F8B0" w:rsidP="00192ECE">
      <w:pPr>
        <w:spacing w:line="276" w:lineRule="auto"/>
      </w:pPr>
      <w:r w:rsidRPr="00192ECE">
        <w:rPr>
          <w:i/>
        </w:rPr>
        <w:t>Wetter weather</w:t>
      </w:r>
      <w:r>
        <w:t xml:space="preserve"> can lead to f</w:t>
      </w:r>
      <w:r w:rsidR="55073037">
        <w:t>looding</w:t>
      </w:r>
      <w:r w:rsidR="22B97F6E">
        <w:t xml:space="preserve"> which is</w:t>
      </w:r>
      <w:r w:rsidR="55073037">
        <w:t xml:space="preserve"> another growing risk in parts of Kent</w:t>
      </w:r>
      <w:r w:rsidR="00322F99">
        <w:rPr>
          <w:rStyle w:val="EndnoteReference"/>
        </w:rPr>
        <w:endnoteReference w:id="9"/>
      </w:r>
      <w:r w:rsidR="6ACEF343">
        <w:t>.</w:t>
      </w:r>
      <w:r w:rsidR="55073037">
        <w:t xml:space="preserve"> </w:t>
      </w:r>
      <w:r w:rsidR="320D39E2">
        <w:t xml:space="preserve">Flooding </w:t>
      </w:r>
      <w:r w:rsidR="55073037">
        <w:t>is linked to both physical harm and lasting mental health impacts especially for people who are displaced or already facing housing insecurity</w:t>
      </w:r>
      <w:r w:rsidR="00322F99">
        <w:rPr>
          <w:rStyle w:val="EndnoteReference"/>
        </w:rPr>
        <w:endnoteReference w:id="10"/>
      </w:r>
      <w:r w:rsidR="55073037">
        <w:t>.</w:t>
      </w:r>
    </w:p>
    <w:p w14:paraId="11C96F99" w14:textId="12B7EB57" w:rsidR="55073037" w:rsidRDefault="55073037" w:rsidP="00192ECE">
      <w:pPr>
        <w:spacing w:line="276" w:lineRule="auto"/>
      </w:pPr>
      <w:r>
        <w:t xml:space="preserve">Exposure to </w:t>
      </w:r>
      <w:r w:rsidRPr="00192ECE">
        <w:rPr>
          <w:i/>
        </w:rPr>
        <w:t>air pollution</w:t>
      </w:r>
      <w:r>
        <w:t>, especially nitrogen dioxide (NO</w:t>
      </w:r>
      <w:r>
        <w:rPr>
          <w:rFonts w:ascii="Cambria Math" w:hAnsi="Cambria Math" w:cs="Cambria Math"/>
        </w:rPr>
        <w:t>₂</w:t>
      </w:r>
      <w:r>
        <w:t>) and fine particulate matter (PM2.5), contributes to asthma</w:t>
      </w:r>
      <w:r w:rsidR="003A1EF8">
        <w:t>,</w:t>
      </w:r>
      <w:r>
        <w:t xml:space="preserve"> heart disease</w:t>
      </w:r>
      <w:r w:rsidR="003A1EF8">
        <w:t>,</w:t>
      </w:r>
      <w:r>
        <w:t xml:space="preserve"> dementia</w:t>
      </w:r>
      <w:r w:rsidR="003A1EF8">
        <w:t>,</w:t>
      </w:r>
      <w:r>
        <w:t xml:space="preserve"> cancer</w:t>
      </w:r>
      <w:r w:rsidR="003A1EF8">
        <w:t xml:space="preserve"> and other health problems</w:t>
      </w:r>
      <w:r w:rsidR="00322F99">
        <w:rPr>
          <w:rStyle w:val="EndnoteReference"/>
        </w:rPr>
        <w:endnoteReference w:id="11"/>
      </w:r>
      <w:r>
        <w:t>.</w:t>
      </w:r>
    </w:p>
    <w:p w14:paraId="7A4B078E" w14:textId="1C18AA80" w:rsidR="75186DCD" w:rsidRDefault="75186DCD" w:rsidP="00192ECE">
      <w:pPr>
        <w:spacing w:after="0" w:line="276" w:lineRule="auto"/>
      </w:pPr>
      <w:r>
        <w:t>It is crucial to note that t</w:t>
      </w:r>
      <w:r w:rsidR="55073037">
        <w:t>hese health impacts do not fall evenly</w:t>
      </w:r>
      <w:r w:rsidR="5D680451">
        <w:t>. A</w:t>
      </w:r>
      <w:r w:rsidR="7E085055">
        <w:t>ddressing air quality and climate change</w:t>
      </w:r>
      <w:r w:rsidR="2A1947AE">
        <w:t xml:space="preserve"> is </w:t>
      </w:r>
      <w:r w:rsidR="6B3C815E">
        <w:t>c</w:t>
      </w:r>
      <w:r w:rsidR="2A1947AE">
        <w:t>ritical</w:t>
      </w:r>
      <w:r w:rsidR="6D747536">
        <w:t xml:space="preserve"> for red</w:t>
      </w:r>
      <w:r w:rsidR="7E085055">
        <w:t>uc</w:t>
      </w:r>
      <w:r w:rsidR="7186B948">
        <w:t>ing</w:t>
      </w:r>
      <w:r w:rsidR="7E085055">
        <w:t xml:space="preserve"> health inequalities</w:t>
      </w:r>
      <w:r w:rsidR="00773293">
        <w:rPr>
          <w:rStyle w:val="EndnoteReference"/>
        </w:rPr>
        <w:endnoteReference w:id="12"/>
      </w:r>
      <w:r w:rsidR="3CF9831C">
        <w:t xml:space="preserve"> and the </w:t>
      </w:r>
      <w:r w:rsidR="55073037">
        <w:t>NHS must adapt in ways that protect those who are already disadvantaged.</w:t>
      </w:r>
      <w:r w:rsidR="2A8A6F8A">
        <w:t xml:space="preserve"> </w:t>
      </w:r>
      <w:r w:rsidR="3E4212E3">
        <w:t>In response, the NHS has committed to reaching net zero for directly controlled emissions by 2040, and for emissions across its wider supply chain by 2045.</w:t>
      </w:r>
      <w:r w:rsidR="23F766C4">
        <w:t xml:space="preserve"> As a Trust, we are fully aligned with this ambition.</w:t>
      </w:r>
    </w:p>
    <w:p w14:paraId="3CCB5D44" w14:textId="21B89CC7" w:rsidR="4D694787" w:rsidRDefault="00192ECE" w:rsidP="007F39B8">
      <w:pPr>
        <w:pStyle w:val="Heading3"/>
      </w:pPr>
      <w:r>
        <w:br w:type="column"/>
      </w:r>
      <w:bookmarkStart w:id="13" w:name="_Toc220447414"/>
      <w:r w:rsidR="00FD16F5">
        <w:t>Understanding our impacts</w:t>
      </w:r>
      <w:bookmarkEnd w:id="13"/>
    </w:p>
    <w:p w14:paraId="48441E6D" w14:textId="087266F3" w:rsidR="55073037" w:rsidRDefault="55073037" w:rsidP="00192ECE">
      <w:pPr>
        <w:spacing w:line="276" w:lineRule="auto"/>
      </w:pPr>
      <w:r>
        <w:t xml:space="preserve">As one of the largest NHS </w:t>
      </w:r>
      <w:r w:rsidR="00342604">
        <w:t>T</w:t>
      </w:r>
      <w:r>
        <w:t xml:space="preserve">rusts in the </w:t>
      </w:r>
      <w:r w:rsidR="458D8007">
        <w:t>South-East</w:t>
      </w:r>
      <w:r>
        <w:t xml:space="preserve">, East Kent Hospitals University NHS Foundation Trust (EKHUFT) has </w:t>
      </w:r>
      <w:r w:rsidR="31BEB9DF">
        <w:t>a considerable emissions footprint</w:t>
      </w:r>
      <w:r w:rsidR="42040FDE">
        <w:t xml:space="preserve"> (</w:t>
      </w:r>
      <w:r w:rsidR="00BE1E4D">
        <w:fldChar w:fldCharType="begin"/>
      </w:r>
      <w:r w:rsidR="00BE1E4D">
        <w:instrText xml:space="preserve"> REF _Ref220447297 \h </w:instrText>
      </w:r>
      <w:r w:rsidR="00BE1E4D">
        <w:fldChar w:fldCharType="separate"/>
      </w:r>
      <w:r w:rsidR="00BE1E4D" w:rsidRPr="00D21291">
        <w:rPr>
          <w:rFonts w:cs="Arial"/>
        </w:rPr>
        <w:t xml:space="preserve">Figure </w:t>
      </w:r>
      <w:r w:rsidR="00BE1E4D">
        <w:rPr>
          <w:rFonts w:cs="Arial"/>
          <w:noProof/>
        </w:rPr>
        <w:t>2</w:t>
      </w:r>
      <w:r w:rsidR="00BE1E4D">
        <w:fldChar w:fldCharType="end"/>
      </w:r>
      <w:r w:rsidR="42040FDE">
        <w:t>)</w:t>
      </w:r>
      <w:r w:rsidR="31BEB9DF">
        <w:t>.</w:t>
      </w:r>
      <w:r w:rsidR="68DE905F">
        <w:t xml:space="preserve"> Energy used across our five hospital sites, business travel, medical gases, waste processing and metred dose inhalers all contribute significantly to our environmental impact </w:t>
      </w:r>
      <w:r w:rsidR="78D0E38D">
        <w:t xml:space="preserve">(our </w:t>
      </w:r>
      <w:r w:rsidR="78D0E38D" w:rsidRPr="482803E5">
        <w:rPr>
          <w:i/>
          <w:iCs/>
        </w:rPr>
        <w:t>NHS Footprint</w:t>
      </w:r>
      <w:r w:rsidR="78D0E38D">
        <w:t xml:space="preserve">) </w:t>
      </w:r>
      <w:r w:rsidR="68DE905F">
        <w:t xml:space="preserve">and further work is required to </w:t>
      </w:r>
      <w:r w:rsidR="507B1953">
        <w:t xml:space="preserve">robustly </w:t>
      </w:r>
      <w:r w:rsidR="68DE905F">
        <w:t xml:space="preserve">understand </w:t>
      </w:r>
      <w:r w:rsidR="4A83E172">
        <w:t xml:space="preserve">our position around </w:t>
      </w:r>
      <w:r w:rsidR="533CFA7B">
        <w:t xml:space="preserve">our supply chain and patient and visitor travel impacts (our </w:t>
      </w:r>
      <w:r w:rsidR="533CFA7B" w:rsidRPr="482803E5">
        <w:rPr>
          <w:i/>
          <w:iCs/>
        </w:rPr>
        <w:t>NHS Footprint Plus</w:t>
      </w:r>
      <w:r w:rsidR="00773293">
        <w:rPr>
          <w:rStyle w:val="EndnoteReference"/>
          <w:i/>
          <w:iCs/>
        </w:rPr>
        <w:endnoteReference w:id="13"/>
      </w:r>
      <w:r w:rsidR="533CFA7B">
        <w:t xml:space="preserve">). </w:t>
      </w:r>
      <w:r w:rsidR="01201014">
        <w:t xml:space="preserve">We have </w:t>
      </w:r>
      <w:r>
        <w:t>a clear responsibility</w:t>
      </w:r>
      <w:r w:rsidR="3EBE6CE5">
        <w:t xml:space="preserve"> a</w:t>
      </w:r>
      <w:r>
        <w:t>nd opportunity to lead the transition to a low-carbon, climate-resilient healthcare system</w:t>
      </w:r>
      <w:r w:rsidR="60CE1B1E">
        <w:t xml:space="preserve"> in the region.</w:t>
      </w:r>
    </w:p>
    <w:p w14:paraId="70BC99C2" w14:textId="3FF3745C" w:rsidR="55073037" w:rsidRDefault="55073037" w:rsidP="00192ECE">
      <w:pPr>
        <w:spacing w:line="276" w:lineRule="auto"/>
      </w:pPr>
      <w:r>
        <w:t>Sustainability in healthcare is not simply about doing less harm</w:t>
      </w:r>
      <w:r w:rsidR="003A1EF8">
        <w:t>;</w:t>
      </w:r>
      <w:r>
        <w:t xml:space="preserve"> it’s about creating new value. Many actions that reduce emissions also support better patient outcomes, improve operational resilience, and reduce long-term costs.</w:t>
      </w:r>
      <w:r w:rsidR="00192ECE">
        <w:t xml:space="preserve"> </w:t>
      </w:r>
      <w:r>
        <w:t>For example:</w:t>
      </w:r>
    </w:p>
    <w:p w14:paraId="2187A596" w14:textId="4BCA988E" w:rsidR="55073037" w:rsidRDefault="55073037" w:rsidP="00192ECE">
      <w:pPr>
        <w:spacing w:line="276" w:lineRule="auto"/>
      </w:pPr>
      <w:r>
        <w:t xml:space="preserve">Shifting to digital outpatient appointments and remote monitoring </w:t>
      </w:r>
      <w:r w:rsidR="5773137D">
        <w:t>helps improve</w:t>
      </w:r>
      <w:r>
        <w:t xml:space="preserve"> access to care</w:t>
      </w:r>
      <w:r w:rsidR="5440CBA1">
        <w:t xml:space="preserve"> while reducing unnecessary travel which supports operational efficiency and reduces environmental impacts.</w:t>
      </w:r>
    </w:p>
    <w:p w14:paraId="506C231D" w14:textId="77777777" w:rsidR="007F39B8" w:rsidRDefault="55073037" w:rsidP="00192ECE">
      <w:pPr>
        <w:spacing w:line="276" w:lineRule="auto"/>
      </w:pPr>
      <w:r>
        <w:t>Investing in our estates to improve energy efficiency enhances patient comfort and clinical effectiveness</w:t>
      </w:r>
      <w:r w:rsidR="0B0B01C2">
        <w:t xml:space="preserve"> while reducing waste.</w:t>
      </w:r>
    </w:p>
    <w:p w14:paraId="183C7A41" w14:textId="77777777" w:rsidR="007F39B8" w:rsidRDefault="007F39B8">
      <w:pPr>
        <w:spacing w:line="276" w:lineRule="auto"/>
      </w:pPr>
      <w:r>
        <w:br w:type="page"/>
      </w:r>
    </w:p>
    <w:p w14:paraId="6F83DC9C" w14:textId="7A7F9B8B" w:rsidR="55073037" w:rsidRDefault="55073037" w:rsidP="00192ECE">
      <w:pPr>
        <w:spacing w:line="276" w:lineRule="auto"/>
      </w:pPr>
      <w:r>
        <w:lastRenderedPageBreak/>
        <w:t xml:space="preserve">Transitioning to low-carbon inhalers and </w:t>
      </w:r>
      <w:r w:rsidR="36762A9E">
        <w:t xml:space="preserve">seeking alternatives to </w:t>
      </w:r>
      <w:r>
        <w:t>anaesthetic</w:t>
      </w:r>
      <w:r w:rsidR="7277D87F">
        <w:t xml:space="preserve"> gasses</w:t>
      </w:r>
      <w:r w:rsidR="3920258F">
        <w:t xml:space="preserve"> with a high environmental impact</w:t>
      </w:r>
      <w:r>
        <w:t xml:space="preserve"> improves both clinical outcomes and environmental performance.</w:t>
      </w:r>
    </w:p>
    <w:p w14:paraId="31371505" w14:textId="18A3C8F5" w:rsidR="55073037" w:rsidRPr="00192ECE" w:rsidRDefault="55073037" w:rsidP="00192ECE">
      <w:pPr>
        <w:spacing w:line="276" w:lineRule="auto"/>
        <w:rPr>
          <w:szCs w:val="24"/>
        </w:rPr>
      </w:pPr>
      <w:r>
        <w:t xml:space="preserve">Promoting active travel for </w:t>
      </w:r>
      <w:r w:rsidR="01C170E9">
        <w:t xml:space="preserve">colleagues </w:t>
      </w:r>
      <w:r>
        <w:t>and visitors reduces emissions, relieves parking pressure, and supports healthier lifestyles.</w:t>
      </w:r>
    </w:p>
    <w:p w14:paraId="097F8F2D" w14:textId="77777777" w:rsidR="00192ECE" w:rsidRDefault="1BB1A742" w:rsidP="00192ECE">
      <w:pPr>
        <w:spacing w:line="276" w:lineRule="auto"/>
      </w:pPr>
      <w:r>
        <w:t>W</w:t>
      </w:r>
      <w:r w:rsidR="55073037">
        <w:t xml:space="preserve">e are already making progress including energy-saving projects, waste reduction initiatives, and improved environmental monitoring </w:t>
      </w:r>
      <w:r w:rsidR="00B0411F">
        <w:t>and we are committed</w:t>
      </w:r>
      <w:r w:rsidR="55073037">
        <w:t xml:space="preserve"> </w:t>
      </w:r>
      <w:r w:rsidR="00B0411F">
        <w:t>to accelerating our efforts</w:t>
      </w:r>
      <w:r w:rsidR="55073037">
        <w:t>. Meeting the climate challenge will require innovation, partnership, and bold change.</w:t>
      </w:r>
    </w:p>
    <w:p w14:paraId="4C5F31D5" w14:textId="77777777" w:rsidR="001413AC" w:rsidRDefault="001413AC" w:rsidP="00192ECE">
      <w:pPr>
        <w:spacing w:line="276" w:lineRule="auto"/>
      </w:pPr>
    </w:p>
    <w:p w14:paraId="6B0B90D3" w14:textId="77777777" w:rsidR="001413AC" w:rsidRDefault="001413AC" w:rsidP="00192ECE">
      <w:pPr>
        <w:spacing w:line="276" w:lineRule="auto"/>
      </w:pPr>
    </w:p>
    <w:p w14:paraId="256F5354" w14:textId="7B078879" w:rsidR="00192ECE" w:rsidRDefault="55073037" w:rsidP="00192ECE">
      <w:pPr>
        <w:spacing w:line="276" w:lineRule="auto"/>
      </w:pPr>
      <w:r>
        <w:t xml:space="preserve">This Green Plan sets out how East Kent Hospitals will reduce its environmental footprint while delivering high-quality, patient-centred care. </w:t>
      </w:r>
    </w:p>
    <w:p w14:paraId="3B953DE2" w14:textId="7DA45C21" w:rsidR="55073037" w:rsidRDefault="55073037" w:rsidP="00192ECE">
      <w:pPr>
        <w:spacing w:line="276" w:lineRule="auto"/>
      </w:pPr>
      <w:r>
        <w:t>We will:</w:t>
      </w:r>
    </w:p>
    <w:p w14:paraId="41C5DF58" w14:textId="129C83FB" w:rsidR="55073037" w:rsidRDefault="55073037" w:rsidP="00192ECE">
      <w:pPr>
        <w:pStyle w:val="ListParagraph"/>
        <w:numPr>
          <w:ilvl w:val="0"/>
          <w:numId w:val="4"/>
        </w:numPr>
        <w:spacing w:line="276" w:lineRule="auto"/>
        <w:rPr>
          <w:szCs w:val="24"/>
        </w:rPr>
      </w:pPr>
      <w:r>
        <w:t>Cut emissions from energy use, transport, and clinical activity</w:t>
      </w:r>
    </w:p>
    <w:p w14:paraId="317980DC" w14:textId="588CA475" w:rsidR="55073037" w:rsidRDefault="55073037" w:rsidP="00192ECE">
      <w:pPr>
        <w:pStyle w:val="ListParagraph"/>
        <w:numPr>
          <w:ilvl w:val="0"/>
          <w:numId w:val="3"/>
        </w:numPr>
        <w:spacing w:line="276" w:lineRule="auto"/>
        <w:rPr>
          <w:szCs w:val="24"/>
        </w:rPr>
      </w:pPr>
      <w:r>
        <w:t>Reduce waste and improve resource efficiency</w:t>
      </w:r>
    </w:p>
    <w:p w14:paraId="7C505D52" w14:textId="45C4C6D2" w:rsidR="55073037" w:rsidRDefault="55073037" w:rsidP="00192ECE">
      <w:pPr>
        <w:pStyle w:val="ListParagraph"/>
        <w:numPr>
          <w:ilvl w:val="0"/>
          <w:numId w:val="2"/>
        </w:numPr>
        <w:spacing w:line="276" w:lineRule="auto"/>
        <w:rPr>
          <w:szCs w:val="24"/>
        </w:rPr>
      </w:pPr>
      <w:r>
        <w:t>Support climate adaptation and health resilience</w:t>
      </w:r>
    </w:p>
    <w:p w14:paraId="14B85AE8" w14:textId="0CF5D1C0" w:rsidR="55073037" w:rsidRDefault="55073037" w:rsidP="00192ECE">
      <w:pPr>
        <w:pStyle w:val="ListParagraph"/>
        <w:numPr>
          <w:ilvl w:val="0"/>
          <w:numId w:val="1"/>
        </w:numPr>
        <w:spacing w:line="276" w:lineRule="auto"/>
        <w:rPr>
          <w:szCs w:val="24"/>
        </w:rPr>
      </w:pPr>
      <w:r>
        <w:t xml:space="preserve">Engage </w:t>
      </w:r>
      <w:r w:rsidR="78A66598">
        <w:t>colleagues</w:t>
      </w:r>
      <w:r>
        <w:t>, patients, and partners in delivering sustainable healthcare</w:t>
      </w:r>
    </w:p>
    <w:p w14:paraId="5DFC79C5" w14:textId="77777777" w:rsidR="00192ECE" w:rsidRDefault="55073037" w:rsidP="00192ECE">
      <w:pPr>
        <w:spacing w:line="276" w:lineRule="auto"/>
      </w:pPr>
      <w:r>
        <w:t xml:space="preserve">We believe that our responsibility to the population of East Kent includes protecting their health now and in the future. </w:t>
      </w:r>
    </w:p>
    <w:p w14:paraId="7991E461" w14:textId="23390834" w:rsidR="55073037" w:rsidRPr="00192ECE" w:rsidRDefault="55073037" w:rsidP="00192ECE">
      <w:pPr>
        <w:spacing w:line="276" w:lineRule="auto"/>
        <w:rPr>
          <w:b/>
        </w:rPr>
      </w:pPr>
      <w:r w:rsidRPr="00192ECE">
        <w:rPr>
          <w:b/>
        </w:rPr>
        <w:t xml:space="preserve">This Green Plan is our roadmap to achieving that creating a healthcare system that is fit for purpose, fit for </w:t>
      </w:r>
      <w:r w:rsidR="00FD16F5" w:rsidRPr="00192ECE">
        <w:rPr>
          <w:b/>
        </w:rPr>
        <w:t>our ambition</w:t>
      </w:r>
      <w:r w:rsidRPr="00192ECE">
        <w:rPr>
          <w:b/>
        </w:rPr>
        <w:t>, and fit for</w:t>
      </w:r>
      <w:r w:rsidR="00FD16F5" w:rsidRPr="00192ECE">
        <w:rPr>
          <w:b/>
        </w:rPr>
        <w:t xml:space="preserve"> the future</w:t>
      </w:r>
      <w:r w:rsidRPr="00192ECE">
        <w:rPr>
          <w:b/>
        </w:rPr>
        <w:t>.</w:t>
      </w:r>
    </w:p>
    <w:p w14:paraId="4786F08A" w14:textId="77777777" w:rsidR="00192ECE" w:rsidRDefault="00192ECE">
      <w:pPr>
        <w:spacing w:line="276" w:lineRule="auto"/>
        <w:sectPr w:rsidR="00192ECE" w:rsidSect="000F4794">
          <w:footerReference w:type="default" r:id="rId23"/>
          <w:footerReference w:type="first" r:id="rId24"/>
          <w:type w:val="continuous"/>
          <w:pgSz w:w="11906" w:h="16838"/>
          <w:pgMar w:top="1440" w:right="1440" w:bottom="1134" w:left="1440" w:header="850" w:footer="510" w:gutter="0"/>
          <w:cols w:num="2" w:space="708"/>
          <w:titlePg/>
          <w:docGrid w:linePitch="360"/>
        </w:sectPr>
      </w:pPr>
    </w:p>
    <w:p w14:paraId="3C8190C5" w14:textId="28470491" w:rsidR="00773293" w:rsidRDefault="00773293">
      <w:pPr>
        <w:spacing w:line="276" w:lineRule="auto"/>
        <w:rPr>
          <w:rFonts w:eastAsiaTheme="majorEastAsia" w:cstheme="majorBidi"/>
          <w:b/>
          <w:color w:val="365F91" w:themeColor="accent1" w:themeShade="BF"/>
          <w:szCs w:val="26"/>
        </w:rPr>
      </w:pPr>
      <w:r>
        <w:br w:type="page"/>
      </w:r>
    </w:p>
    <w:p w14:paraId="5F62CA13" w14:textId="145C85B1" w:rsidR="00660797" w:rsidRDefault="00660797" w:rsidP="00660797">
      <w:pPr>
        <w:pStyle w:val="Heading2"/>
      </w:pPr>
      <w:bookmarkStart w:id="14" w:name="_Toc220447415"/>
      <w:r>
        <w:lastRenderedPageBreak/>
        <w:t>Our NHS Carbon Footprint</w:t>
      </w:r>
      <w:bookmarkEnd w:id="14"/>
    </w:p>
    <w:p w14:paraId="0411D3BF" w14:textId="77777777" w:rsidR="00192ECE" w:rsidRDefault="00192ECE" w:rsidP="002E4206">
      <w:pPr>
        <w:spacing w:line="360" w:lineRule="auto"/>
        <w:sectPr w:rsidR="00192ECE" w:rsidSect="00A05C49">
          <w:footerReference w:type="default" r:id="rId25"/>
          <w:type w:val="continuous"/>
          <w:pgSz w:w="11906" w:h="16838"/>
          <w:pgMar w:top="1440" w:right="1440" w:bottom="1134" w:left="1440" w:header="850" w:footer="510" w:gutter="0"/>
          <w:pgNumType w:start="0"/>
          <w:cols w:space="708"/>
          <w:titlePg/>
          <w:docGrid w:linePitch="360"/>
        </w:sectPr>
      </w:pPr>
    </w:p>
    <w:p w14:paraId="57AB7736" w14:textId="5EA9D8F1" w:rsidR="001D3E92" w:rsidRPr="001D3E92" w:rsidRDefault="00132948" w:rsidP="00192ECE">
      <w:pPr>
        <w:spacing w:line="276" w:lineRule="auto"/>
      </w:pPr>
      <w:r>
        <w:t>Effective management of emissions needs to be based in a robust measurement of impacts. Standardised estimation methodologies were utilised</w:t>
      </w:r>
      <w:r w:rsidR="0063367F">
        <w:rPr>
          <w:rStyle w:val="EndnoteReference"/>
        </w:rPr>
        <w:endnoteReference w:id="14"/>
      </w:r>
      <w:r>
        <w:t xml:space="preserve"> for approximating the Trust Group’s controlled emissions impacts (“NHS Carbon Footprint”) from 2019/20 to 2024/25. While there were initial </w:t>
      </w:r>
      <w:r w:rsidR="001D3E92">
        <w:t>reductions in the Trust</w:t>
      </w:r>
      <w:r>
        <w:t>’s</w:t>
      </w:r>
      <w:r w:rsidR="001D3E92">
        <w:t xml:space="preserve"> </w:t>
      </w:r>
      <w:r>
        <w:t>controlled emissions</w:t>
      </w:r>
      <w:r w:rsidR="001D3E92">
        <w:t xml:space="preserve"> after 2019/20, as </w:t>
      </w:r>
      <w:r w:rsidR="00F052A5">
        <w:t xml:space="preserve">the </w:t>
      </w:r>
      <w:r>
        <w:t>T</w:t>
      </w:r>
      <w:r w:rsidR="00F052A5">
        <w:t xml:space="preserve">rust </w:t>
      </w:r>
      <w:r w:rsidR="00F052A5">
        <w:t>has grown</w:t>
      </w:r>
      <w:r>
        <w:t xml:space="preserve"> in size</w:t>
      </w:r>
      <w:r w:rsidR="00F052A5">
        <w:t xml:space="preserve"> to meet increasing demand, emissions </w:t>
      </w:r>
      <w:r>
        <w:t xml:space="preserve">continued to rise from 2021/22 </w:t>
      </w:r>
      <w:r w:rsidR="00374782">
        <w:t>to</w:t>
      </w:r>
      <w:r>
        <w:t xml:space="preserve"> the current position in </w:t>
      </w:r>
      <w:r w:rsidR="00F052A5">
        <w:t>2024/25 (</w:t>
      </w:r>
      <w:r w:rsidR="00AA305F">
        <w:fldChar w:fldCharType="begin"/>
      </w:r>
      <w:r w:rsidR="00AA305F">
        <w:instrText xml:space="preserve"> REF _Ref220447297 \h </w:instrText>
      </w:r>
      <w:r w:rsidR="00AA305F">
        <w:fldChar w:fldCharType="separate"/>
      </w:r>
      <w:r w:rsidR="00AA305F" w:rsidRPr="00D21291">
        <w:rPr>
          <w:rFonts w:cs="Arial"/>
        </w:rPr>
        <w:t xml:space="preserve">Figure </w:t>
      </w:r>
      <w:r w:rsidR="00AA305F">
        <w:rPr>
          <w:rFonts w:cs="Arial"/>
          <w:noProof/>
        </w:rPr>
        <w:t>2</w:t>
      </w:r>
      <w:r w:rsidR="00AA305F">
        <w:fldChar w:fldCharType="end"/>
      </w:r>
      <w:r w:rsidR="00F052A5">
        <w:t>)</w:t>
      </w:r>
      <w:r w:rsidR="00500235">
        <w:t>.</w:t>
      </w:r>
      <w:r w:rsidR="009E15E0">
        <w:t xml:space="preserve"> Significant actions </w:t>
      </w:r>
      <w:r w:rsidR="004C58E2">
        <w:t>are</w:t>
      </w:r>
      <w:r w:rsidR="009E15E0">
        <w:t xml:space="preserve"> required to return Trust emissions to the required trajectory to meet its legislated targets, particularly on energy efficiency and decarbonisation of heat alongside action on reduction of emissions associated with medical gasses.</w:t>
      </w:r>
    </w:p>
    <w:p w14:paraId="640E1A5A" w14:textId="77777777" w:rsidR="00192ECE" w:rsidRDefault="00192ECE" w:rsidP="00B847C3">
      <w:pPr>
        <w:keepNext/>
        <w:spacing w:after="0" w:line="360" w:lineRule="auto"/>
        <w:jc w:val="center"/>
        <w:sectPr w:rsidR="00192ECE" w:rsidSect="00A05C49">
          <w:type w:val="continuous"/>
          <w:pgSz w:w="11906" w:h="16838"/>
          <w:pgMar w:top="1440" w:right="1440" w:bottom="1134" w:left="1440" w:header="850" w:footer="510" w:gutter="0"/>
          <w:pgNumType w:start="0"/>
          <w:cols w:num="2" w:space="708"/>
          <w:titlePg/>
          <w:docGrid w:linePitch="360"/>
        </w:sectPr>
      </w:pPr>
    </w:p>
    <w:p w14:paraId="77A0F298" w14:textId="3AF50002" w:rsidR="00B847C3" w:rsidRDefault="004C58E2" w:rsidP="00B847C3">
      <w:pPr>
        <w:keepNext/>
        <w:spacing w:after="0" w:line="360" w:lineRule="auto"/>
        <w:jc w:val="center"/>
      </w:pPr>
      <w:r w:rsidRPr="002D2A16">
        <w:rPr>
          <w:rFonts w:cs="Arial"/>
          <w:noProof/>
        </w:rPr>
        <w:drawing>
          <wp:inline distT="0" distB="0" distL="0" distR="0" wp14:anchorId="33408CF8" wp14:editId="33CDC236">
            <wp:extent cx="5731510" cy="5486400"/>
            <wp:effectExtent l="0" t="0" r="2540" b="0"/>
            <wp:docPr id="2" name="Chart 2" descr="The estimated emissions footprint (in tonnes of carbon dioxide equivalent – tCO2e) of the Trust Group between 2019/20 and 2024/25 with areas of focus aligned with the Greener NHS Team’s NHS Carbon Footprint. The graph demonstrates the trend is increasing rather than reducing over time.">
              <a:extLst xmlns:a="http://schemas.openxmlformats.org/drawingml/2006/main">
                <a:ext uri="{FF2B5EF4-FFF2-40B4-BE49-F238E27FC236}">
                  <a16:creationId xmlns:a16="http://schemas.microsoft.com/office/drawing/2014/main" id="{D777F0E1-3273-49EA-8902-BEB0CC7D5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0F52FF1" w14:textId="16C0F581" w:rsidR="004C58E2" w:rsidRPr="00844995" w:rsidRDefault="00B847C3" w:rsidP="00B847C3">
      <w:pPr>
        <w:pStyle w:val="Caption"/>
        <w:jc w:val="center"/>
        <w:rPr>
          <w:rFonts w:ascii="Arial" w:hAnsi="Arial" w:cs="Arial"/>
          <w:color w:val="auto"/>
          <w:sz w:val="24"/>
          <w:szCs w:val="24"/>
        </w:rPr>
      </w:pPr>
      <w:bookmarkStart w:id="15" w:name="_Ref220447297"/>
      <w:r w:rsidRPr="00844995">
        <w:rPr>
          <w:rFonts w:ascii="Arial" w:hAnsi="Arial" w:cs="Arial"/>
          <w:color w:val="auto"/>
          <w:sz w:val="24"/>
          <w:szCs w:val="24"/>
        </w:rPr>
        <w:t xml:space="preserve">Figure </w:t>
      </w:r>
      <w:r w:rsidRPr="00844995">
        <w:rPr>
          <w:rFonts w:ascii="Arial" w:hAnsi="Arial" w:cs="Arial"/>
          <w:color w:val="auto"/>
          <w:sz w:val="24"/>
          <w:szCs w:val="24"/>
        </w:rPr>
        <w:fldChar w:fldCharType="begin"/>
      </w:r>
      <w:r w:rsidRPr="00844995">
        <w:rPr>
          <w:rFonts w:ascii="Arial" w:hAnsi="Arial" w:cs="Arial"/>
          <w:color w:val="auto"/>
          <w:sz w:val="24"/>
          <w:szCs w:val="24"/>
        </w:rPr>
        <w:instrText xml:space="preserve"> SEQ Figure \* ARABIC </w:instrText>
      </w:r>
      <w:r w:rsidRPr="00844995">
        <w:rPr>
          <w:rFonts w:ascii="Arial" w:hAnsi="Arial" w:cs="Arial"/>
          <w:color w:val="auto"/>
          <w:sz w:val="24"/>
          <w:szCs w:val="24"/>
        </w:rPr>
        <w:fldChar w:fldCharType="separate"/>
      </w:r>
      <w:r w:rsidR="00AA305F" w:rsidRPr="00844995">
        <w:rPr>
          <w:rFonts w:ascii="Arial" w:hAnsi="Arial" w:cs="Arial"/>
          <w:noProof/>
          <w:color w:val="auto"/>
          <w:sz w:val="24"/>
          <w:szCs w:val="24"/>
        </w:rPr>
        <w:t>2</w:t>
      </w:r>
      <w:r w:rsidRPr="00844995">
        <w:rPr>
          <w:rFonts w:ascii="Arial" w:hAnsi="Arial" w:cs="Arial"/>
          <w:color w:val="auto"/>
          <w:sz w:val="24"/>
          <w:szCs w:val="24"/>
        </w:rPr>
        <w:fldChar w:fldCharType="end"/>
      </w:r>
      <w:bookmarkEnd w:id="15"/>
      <w:r w:rsidRPr="00844995">
        <w:rPr>
          <w:rFonts w:ascii="Arial" w:hAnsi="Arial" w:cs="Arial"/>
          <w:color w:val="auto"/>
          <w:sz w:val="24"/>
          <w:szCs w:val="24"/>
        </w:rPr>
        <w:t>. The estimated emissions footprint (in tonnes of carbon dioxide equivalent – tCO2e) of the EKHUFT Group in 2024/25 including areas aligned with the Greener NHS Team’s ‘NHS Footprint’.</w:t>
      </w:r>
    </w:p>
    <w:p w14:paraId="6BEF24D9" w14:textId="7F2DC897" w:rsidR="00660797" w:rsidRDefault="00660797" w:rsidP="00660797">
      <w:pPr>
        <w:pStyle w:val="Heading2"/>
      </w:pPr>
      <w:bookmarkStart w:id="16" w:name="_Toc220447416"/>
      <w:r>
        <w:lastRenderedPageBreak/>
        <w:t>Our NHS Carbon Footprint Plus</w:t>
      </w:r>
      <w:bookmarkEnd w:id="16"/>
    </w:p>
    <w:p w14:paraId="0C6568D0" w14:textId="77777777" w:rsidR="00192ECE" w:rsidRDefault="00192ECE" w:rsidP="005139C2">
      <w:pPr>
        <w:spacing w:line="360" w:lineRule="auto"/>
        <w:rPr>
          <w:szCs w:val="24"/>
        </w:rPr>
        <w:sectPr w:rsidR="00192ECE" w:rsidSect="00A05C49">
          <w:footerReference w:type="default" r:id="rId27"/>
          <w:type w:val="continuous"/>
          <w:pgSz w:w="11906" w:h="16838"/>
          <w:pgMar w:top="1440" w:right="1440" w:bottom="1134" w:left="1440" w:header="850" w:footer="510" w:gutter="0"/>
          <w:pgNumType w:start="0"/>
          <w:cols w:space="708"/>
          <w:titlePg/>
          <w:docGrid w:linePitch="360"/>
        </w:sectPr>
      </w:pPr>
    </w:p>
    <w:p w14:paraId="6B4AA422" w14:textId="77777777" w:rsidR="001413AC" w:rsidRDefault="005B2CDC" w:rsidP="00192ECE">
      <w:pPr>
        <w:spacing w:line="276" w:lineRule="auto"/>
        <w:rPr>
          <w:szCs w:val="24"/>
        </w:rPr>
      </w:pPr>
      <w:r w:rsidRPr="00B0411F">
        <w:rPr>
          <w:szCs w:val="24"/>
        </w:rPr>
        <w:t>T</w:t>
      </w:r>
      <w:r w:rsidR="0039174D" w:rsidRPr="00B0411F">
        <w:rPr>
          <w:szCs w:val="24"/>
        </w:rPr>
        <w:t xml:space="preserve">he emissions associated with the Trust Group’s supply chain </w:t>
      </w:r>
      <w:r w:rsidR="005139C2" w:rsidRPr="00B0411F">
        <w:rPr>
          <w:szCs w:val="24"/>
        </w:rPr>
        <w:t xml:space="preserve">were also estimated using best practice approaches with the data available (historical spend). </w:t>
      </w:r>
      <w:r w:rsidR="003A1EF8" w:rsidRPr="00B93EF8">
        <w:rPr>
          <w:szCs w:val="24"/>
        </w:rPr>
        <w:t>M</w:t>
      </w:r>
      <w:r w:rsidR="005139C2" w:rsidRPr="00B93EF8">
        <w:rPr>
          <w:szCs w:val="24"/>
        </w:rPr>
        <w:t xml:space="preserve">ore than 75% of the Trust Group’s total emissions footprint is </w:t>
      </w:r>
      <w:r w:rsidR="003A1EF8" w:rsidRPr="004E6338">
        <w:rPr>
          <w:szCs w:val="24"/>
        </w:rPr>
        <w:t xml:space="preserve">linked </w:t>
      </w:r>
      <w:r w:rsidR="005139C2" w:rsidRPr="004E6338">
        <w:rPr>
          <w:szCs w:val="24"/>
        </w:rPr>
        <w:t xml:space="preserve">to the </w:t>
      </w:r>
      <w:r w:rsidR="005139C2" w:rsidRPr="00DE2841">
        <w:rPr>
          <w:szCs w:val="24"/>
        </w:rPr>
        <w:t>supply chain (</w:t>
      </w:r>
      <w:r w:rsidR="00913C08" w:rsidRPr="00DE2841">
        <w:rPr>
          <w:szCs w:val="24"/>
        </w:rPr>
        <w:fldChar w:fldCharType="begin"/>
      </w:r>
      <w:r w:rsidR="00913C08" w:rsidRPr="00DE2841">
        <w:rPr>
          <w:szCs w:val="24"/>
        </w:rPr>
        <w:instrText xml:space="preserve"> REF _Ref218674118 \h  \* MERGEFORMAT </w:instrText>
      </w:r>
      <w:r w:rsidR="00913C08" w:rsidRPr="00DE2841">
        <w:rPr>
          <w:szCs w:val="24"/>
        </w:rPr>
      </w:r>
      <w:r w:rsidR="00913C08" w:rsidRPr="00DE2841">
        <w:rPr>
          <w:szCs w:val="24"/>
        </w:rPr>
        <w:fldChar w:fldCharType="separate"/>
      </w:r>
      <w:r w:rsidR="00AA305F" w:rsidRPr="00AA305F">
        <w:rPr>
          <w:rFonts w:cs="Arial"/>
          <w:szCs w:val="24"/>
        </w:rPr>
        <w:t xml:space="preserve">Figure </w:t>
      </w:r>
      <w:r w:rsidR="00AA305F" w:rsidRPr="00AA305F">
        <w:rPr>
          <w:rFonts w:cs="Arial"/>
          <w:noProof/>
          <w:szCs w:val="24"/>
        </w:rPr>
        <w:t>3</w:t>
      </w:r>
      <w:r w:rsidR="00913C08" w:rsidRPr="00DE2841">
        <w:rPr>
          <w:szCs w:val="24"/>
        </w:rPr>
        <w:fldChar w:fldCharType="end"/>
      </w:r>
      <w:r w:rsidR="005139C2" w:rsidRPr="00DE2841">
        <w:rPr>
          <w:szCs w:val="24"/>
        </w:rPr>
        <w:t xml:space="preserve">). </w:t>
      </w:r>
      <w:r w:rsidR="00B0411F" w:rsidRPr="00DE2841">
        <w:rPr>
          <w:szCs w:val="24"/>
        </w:rPr>
        <w:t xml:space="preserve">Targeted </w:t>
      </w:r>
      <w:r w:rsidR="005139C2" w:rsidRPr="00DE2841">
        <w:rPr>
          <w:szCs w:val="24"/>
        </w:rPr>
        <w:t>action is crucial to a more robust, and evidenced, understanding</w:t>
      </w:r>
      <w:r w:rsidR="005139C2" w:rsidRPr="00B0411F">
        <w:rPr>
          <w:szCs w:val="24"/>
        </w:rPr>
        <w:t xml:space="preserve"> of the emissions arising from supply chain partnerships. </w:t>
      </w:r>
    </w:p>
    <w:p w14:paraId="3F7F280F" w14:textId="66768148" w:rsidR="0039174D" w:rsidRPr="004E6338" w:rsidRDefault="00D42E33" w:rsidP="00192ECE">
      <w:pPr>
        <w:spacing w:line="276" w:lineRule="auto"/>
        <w:rPr>
          <w:szCs w:val="24"/>
        </w:rPr>
      </w:pPr>
      <w:r w:rsidRPr="00342604">
        <w:rPr>
          <w:szCs w:val="24"/>
        </w:rPr>
        <w:t>In addition to being b</w:t>
      </w:r>
      <w:r w:rsidR="005139C2" w:rsidRPr="00342604">
        <w:rPr>
          <w:szCs w:val="24"/>
        </w:rPr>
        <w:t xml:space="preserve">eneficial for </w:t>
      </w:r>
      <w:r w:rsidRPr="00B93EF8">
        <w:rPr>
          <w:szCs w:val="24"/>
        </w:rPr>
        <w:t>understanding how decarbonisation efforts need to be focused, closer collaborations with suppliers around understanding impacts opens the door for product innovation, resilience of approach and social value while strengthening trust and delivering evidenced benef</w:t>
      </w:r>
      <w:r w:rsidRPr="004E6338">
        <w:rPr>
          <w:szCs w:val="24"/>
        </w:rPr>
        <w:t>its to patients, colleagues and the community.</w:t>
      </w:r>
    </w:p>
    <w:p w14:paraId="31C096CD" w14:textId="77777777" w:rsidR="00192ECE" w:rsidRDefault="00192ECE" w:rsidP="00B847C3">
      <w:pPr>
        <w:keepNext/>
        <w:sectPr w:rsidR="00192ECE" w:rsidSect="00A05C49">
          <w:type w:val="continuous"/>
          <w:pgSz w:w="11906" w:h="16838"/>
          <w:pgMar w:top="1440" w:right="1440" w:bottom="1134" w:left="1440" w:header="850" w:footer="510" w:gutter="0"/>
          <w:pgNumType w:start="0"/>
          <w:cols w:num="2" w:space="708"/>
          <w:titlePg/>
          <w:docGrid w:linePitch="360"/>
        </w:sectPr>
      </w:pPr>
    </w:p>
    <w:p w14:paraId="42782891" w14:textId="2972BCC5" w:rsidR="00B847C3" w:rsidRDefault="00F052A5" w:rsidP="00192ECE">
      <w:pPr>
        <w:keepNext/>
        <w:spacing w:before="600"/>
      </w:pPr>
      <w:r>
        <w:rPr>
          <w:noProof/>
        </w:rPr>
        <w:drawing>
          <wp:inline distT="0" distB="0" distL="0" distR="0" wp14:anchorId="224A337B" wp14:editId="52E85E35">
            <wp:extent cx="5731510" cy="4461642"/>
            <wp:effectExtent l="0" t="0" r="2540" b="0"/>
            <wp:docPr id="1" name="Chart 1" descr="The estimated emissions footprint (in tonnes of carbon dioxide equivalent – tCO2e) of the EKHUFT Group in 2024/25 including areas aligned with the Greener NHS Team’s ‘NHS Footprint’. The pie chart demonstrates that approximately 76% of the Trust's impacts are estimated to be associated with the supply chain.">
              <a:extLst xmlns:a="http://schemas.openxmlformats.org/drawingml/2006/main">
                <a:ext uri="{FF2B5EF4-FFF2-40B4-BE49-F238E27FC236}">
                  <a16:creationId xmlns:a16="http://schemas.microsoft.com/office/drawing/2014/main" id="{1FAD8D82-CAC6-42F3-814A-2CBE7713C2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581353D" w14:textId="73D8F5CD" w:rsidR="0019648F" w:rsidRPr="00844995" w:rsidRDefault="00B847C3" w:rsidP="00B847C3">
      <w:pPr>
        <w:pStyle w:val="Caption"/>
        <w:jc w:val="center"/>
        <w:rPr>
          <w:rFonts w:ascii="Arial" w:hAnsi="Arial" w:cs="Arial"/>
          <w:color w:val="auto"/>
          <w:sz w:val="24"/>
          <w:szCs w:val="24"/>
        </w:rPr>
      </w:pPr>
      <w:bookmarkStart w:id="17" w:name="_Ref218674118"/>
      <w:r w:rsidRPr="00844995">
        <w:rPr>
          <w:rFonts w:ascii="Arial" w:hAnsi="Arial" w:cs="Arial"/>
          <w:color w:val="auto"/>
          <w:sz w:val="24"/>
          <w:szCs w:val="24"/>
        </w:rPr>
        <w:t xml:space="preserve">Figure </w:t>
      </w:r>
      <w:r w:rsidRPr="00844995">
        <w:rPr>
          <w:rFonts w:ascii="Arial" w:hAnsi="Arial" w:cs="Arial"/>
          <w:color w:val="auto"/>
          <w:sz w:val="24"/>
          <w:szCs w:val="24"/>
        </w:rPr>
        <w:fldChar w:fldCharType="begin"/>
      </w:r>
      <w:r w:rsidRPr="00844995">
        <w:rPr>
          <w:rFonts w:ascii="Arial" w:hAnsi="Arial" w:cs="Arial"/>
          <w:color w:val="auto"/>
          <w:sz w:val="24"/>
          <w:szCs w:val="24"/>
        </w:rPr>
        <w:instrText xml:space="preserve"> SEQ Figure \* ARABIC </w:instrText>
      </w:r>
      <w:r w:rsidRPr="00844995">
        <w:rPr>
          <w:rFonts w:ascii="Arial" w:hAnsi="Arial" w:cs="Arial"/>
          <w:color w:val="auto"/>
          <w:sz w:val="24"/>
          <w:szCs w:val="24"/>
        </w:rPr>
        <w:fldChar w:fldCharType="separate"/>
      </w:r>
      <w:r w:rsidR="00AA305F" w:rsidRPr="00844995">
        <w:rPr>
          <w:rFonts w:ascii="Arial" w:hAnsi="Arial" w:cs="Arial"/>
          <w:noProof/>
          <w:color w:val="auto"/>
          <w:sz w:val="24"/>
          <w:szCs w:val="24"/>
        </w:rPr>
        <w:t>3</w:t>
      </w:r>
      <w:r w:rsidRPr="00844995">
        <w:rPr>
          <w:rFonts w:ascii="Arial" w:hAnsi="Arial" w:cs="Arial"/>
          <w:color w:val="auto"/>
          <w:sz w:val="24"/>
          <w:szCs w:val="24"/>
        </w:rPr>
        <w:fldChar w:fldCharType="end"/>
      </w:r>
      <w:bookmarkEnd w:id="17"/>
      <w:r w:rsidRPr="00844995">
        <w:rPr>
          <w:rFonts w:ascii="Arial" w:hAnsi="Arial" w:cs="Arial"/>
          <w:color w:val="auto"/>
          <w:sz w:val="24"/>
          <w:szCs w:val="24"/>
        </w:rPr>
        <w:t>. The proportional estimated emissions footprint (in tonnes of carbon dioxide equivalent – tCO2e) of the EKHUFT Group in 2024/25 including areas aligned with the Greener NHS Team’s ‘NHS Footprint’ and part of the ‘NHS Footprint Plus (supply chain)’.</w:t>
      </w:r>
    </w:p>
    <w:p w14:paraId="431A4C4B" w14:textId="77777777" w:rsidR="00B847C3" w:rsidRDefault="00B847C3" w:rsidP="0019648F">
      <w:pPr>
        <w:pStyle w:val="Caption"/>
        <w:rPr>
          <w:i w:val="0"/>
          <w:color w:val="000000" w:themeColor="text1"/>
        </w:rPr>
      </w:pPr>
      <w:bookmarkStart w:id="18" w:name="_Ref210224772"/>
      <w:bookmarkStart w:id="19" w:name="_Ref218673317"/>
    </w:p>
    <w:bookmarkEnd w:id="18"/>
    <w:bookmarkEnd w:id="19"/>
    <w:p w14:paraId="3B8085C6" w14:textId="50C186BC" w:rsidR="0019648F" w:rsidRPr="002D2A16" w:rsidRDefault="26E5844C" w:rsidP="007F39B8">
      <w:pPr>
        <w:pStyle w:val="Heading2"/>
      </w:pPr>
      <w:r>
        <w:br w:type="page"/>
      </w:r>
      <w:bookmarkStart w:id="20" w:name="_Toc220447417"/>
      <w:r w:rsidR="0019648F" w:rsidRPr="002D2A16">
        <w:lastRenderedPageBreak/>
        <w:t xml:space="preserve">III. </w:t>
      </w:r>
      <w:r w:rsidR="003A443F">
        <w:t>Areas of Focus</w:t>
      </w:r>
      <w:bookmarkEnd w:id="20"/>
    </w:p>
    <w:p w14:paraId="4C98C1B7" w14:textId="77777777" w:rsidR="0019648F" w:rsidRPr="002D2A16" w:rsidRDefault="0019648F" w:rsidP="007F39B8">
      <w:pPr>
        <w:pStyle w:val="Heading3"/>
      </w:pPr>
      <w:bookmarkStart w:id="21" w:name="_Toc220447418"/>
      <w:bookmarkStart w:id="22" w:name="_Hlk198723829"/>
      <w:r w:rsidRPr="002D2A16">
        <w:t>Leadership</w:t>
      </w:r>
      <w:bookmarkEnd w:id="21"/>
    </w:p>
    <w:p w14:paraId="627D1997" w14:textId="77777777" w:rsidR="007D5E86" w:rsidRDefault="007D5E86" w:rsidP="007F39B8">
      <w:pPr>
        <w:pStyle w:val="Heading3"/>
        <w:sectPr w:rsidR="007D5E86" w:rsidSect="00A05C49">
          <w:footerReference w:type="default" r:id="rId29"/>
          <w:type w:val="continuous"/>
          <w:pgSz w:w="11906" w:h="16838"/>
          <w:pgMar w:top="1440" w:right="1440" w:bottom="1134" w:left="1440" w:header="850" w:footer="510" w:gutter="0"/>
          <w:pgNumType w:start="0"/>
          <w:cols w:space="708"/>
          <w:titlePg/>
          <w:docGrid w:linePitch="360"/>
        </w:sectPr>
      </w:pPr>
      <w:bookmarkStart w:id="23" w:name="_Hlk198723822"/>
    </w:p>
    <w:p w14:paraId="060893A8" w14:textId="77777777" w:rsidR="00844995" w:rsidRPr="00844995" w:rsidRDefault="0019648F" w:rsidP="00844995">
      <w:pPr>
        <w:spacing w:line="276" w:lineRule="auto"/>
        <w:rPr>
          <w:rFonts w:cs="Arial"/>
          <w:szCs w:val="24"/>
        </w:rPr>
      </w:pPr>
      <w:r w:rsidRPr="002D2A16">
        <w:rPr>
          <w:rFonts w:cs="Arial"/>
        </w:rPr>
        <w:t xml:space="preserve">Forward-thinking leadership nurtures an environment where innovative projects can flourish, encouraging teams to identify and develop creative solutions to environmental challenges. This can lead to </w:t>
      </w:r>
      <w:r w:rsidRPr="00844995">
        <w:rPr>
          <w:rFonts w:cs="Arial"/>
          <w:szCs w:val="24"/>
        </w:rPr>
        <w:t xml:space="preserve">operational efficiencies and uncover new opportunities for sustainable healthcare delivery. By championing sustainability, the </w:t>
      </w:r>
      <w:r w:rsidR="000F24CD" w:rsidRPr="00844995">
        <w:rPr>
          <w:rFonts w:cs="Arial"/>
          <w:szCs w:val="24"/>
        </w:rPr>
        <w:t>T</w:t>
      </w:r>
      <w:r w:rsidRPr="00844995">
        <w:rPr>
          <w:rFonts w:cs="Arial"/>
          <w:szCs w:val="24"/>
        </w:rPr>
        <w:t>rust’s leaders can lay the foundation for a progressive, resilient organisation that recognises environmental wellbeing as a crucial precursor to human wellbeing.</w:t>
      </w:r>
    </w:p>
    <w:p w14:paraId="5BC502B0" w14:textId="77777777" w:rsidR="00844995" w:rsidRPr="00844995" w:rsidRDefault="0019648F" w:rsidP="00844995">
      <w:pPr>
        <w:pStyle w:val="ListParagraph"/>
        <w:numPr>
          <w:ilvl w:val="1"/>
          <w:numId w:val="13"/>
        </w:numPr>
        <w:spacing w:line="276" w:lineRule="auto"/>
        <w:rPr>
          <w:rFonts w:cs="Arial"/>
          <w:szCs w:val="24"/>
        </w:rPr>
      </w:pPr>
      <w:r w:rsidRPr="00844995">
        <w:rPr>
          <w:rFonts w:cs="Arial"/>
          <w:szCs w:val="24"/>
        </w:rPr>
        <w:t>By December 202</w:t>
      </w:r>
      <w:r w:rsidR="00B25D4B" w:rsidRPr="00844995">
        <w:rPr>
          <w:rFonts w:cs="Arial"/>
          <w:szCs w:val="24"/>
        </w:rPr>
        <w:t>6</w:t>
      </w:r>
      <w:r w:rsidRPr="00844995">
        <w:rPr>
          <w:rFonts w:cs="Arial"/>
          <w:szCs w:val="24"/>
        </w:rPr>
        <w:t>, complete a comprehensive organisational emission estimate with decarbonisation modelling aligned to NHS Net Zero trajectories.</w:t>
      </w:r>
    </w:p>
    <w:p w14:paraId="4DC5F464" w14:textId="77777777" w:rsidR="00844995" w:rsidRPr="00844995" w:rsidRDefault="00844995" w:rsidP="00844995">
      <w:pPr>
        <w:pStyle w:val="ListParagraph"/>
        <w:spacing w:line="276" w:lineRule="auto"/>
        <w:ind w:left="380"/>
        <w:rPr>
          <w:rFonts w:cs="Arial"/>
          <w:szCs w:val="24"/>
        </w:rPr>
      </w:pPr>
    </w:p>
    <w:p w14:paraId="141881D8" w14:textId="05CC12C2" w:rsidR="0019648F" w:rsidRPr="00844995" w:rsidRDefault="0019648F" w:rsidP="00844995">
      <w:pPr>
        <w:pStyle w:val="ListParagraph"/>
        <w:numPr>
          <w:ilvl w:val="1"/>
          <w:numId w:val="13"/>
        </w:numPr>
        <w:spacing w:line="276" w:lineRule="auto"/>
        <w:rPr>
          <w:rFonts w:cs="Arial"/>
          <w:szCs w:val="24"/>
        </w:rPr>
      </w:pPr>
      <w:r w:rsidRPr="00844995">
        <w:rPr>
          <w:rFonts w:cs="Arial"/>
          <w:szCs w:val="24"/>
        </w:rPr>
        <w:t>By March 202</w:t>
      </w:r>
      <w:r w:rsidR="00B25D4B" w:rsidRPr="00844995">
        <w:rPr>
          <w:rFonts w:cs="Arial"/>
          <w:szCs w:val="24"/>
        </w:rPr>
        <w:t>7</w:t>
      </w:r>
      <w:r w:rsidRPr="00844995">
        <w:rPr>
          <w:rFonts w:cs="Arial"/>
          <w:szCs w:val="24"/>
        </w:rPr>
        <w:t xml:space="preserve">, introduce the “Building a Net Zero NHS” module as required training for new colleagues as </w:t>
      </w:r>
      <w:r w:rsidR="000F24CD" w:rsidRPr="00844995">
        <w:rPr>
          <w:rFonts w:cs="Arial"/>
          <w:szCs w:val="24"/>
        </w:rPr>
        <w:t xml:space="preserve">required </w:t>
      </w:r>
      <w:r w:rsidRPr="00844995">
        <w:rPr>
          <w:rFonts w:cs="Arial"/>
          <w:szCs w:val="24"/>
        </w:rPr>
        <w:t>and promote it as a voluntary module for current colleagues, with the objective of 100% of appropriate new starters and</w:t>
      </w:r>
      <w:r w:rsidR="00844995" w:rsidRPr="00844995">
        <w:rPr>
          <w:rFonts w:cs="Arial"/>
          <w:szCs w:val="24"/>
        </w:rPr>
        <w:t xml:space="preserve"> </w:t>
      </w:r>
      <w:r w:rsidRPr="00844995">
        <w:rPr>
          <w:rFonts w:cs="Arial"/>
          <w:szCs w:val="24"/>
        </w:rPr>
        <w:t xml:space="preserve">20% of current colleagues completing the training by April 2027. </w:t>
      </w:r>
    </w:p>
    <w:p w14:paraId="0B3A04AD" w14:textId="77777777" w:rsidR="0019648F" w:rsidRPr="00844995" w:rsidRDefault="0019648F" w:rsidP="007D5E86">
      <w:pPr>
        <w:pStyle w:val="ListParagraph"/>
        <w:spacing w:line="276" w:lineRule="auto"/>
        <w:ind w:left="851"/>
        <w:rPr>
          <w:rFonts w:cs="Arial"/>
          <w:szCs w:val="24"/>
        </w:rPr>
      </w:pPr>
    </w:p>
    <w:p w14:paraId="4BD22615" w14:textId="78B11442" w:rsidR="0019648F" w:rsidRPr="00844995" w:rsidRDefault="0019648F" w:rsidP="007D5E86">
      <w:pPr>
        <w:pStyle w:val="ListParagraph"/>
        <w:numPr>
          <w:ilvl w:val="1"/>
          <w:numId w:val="13"/>
        </w:numPr>
        <w:spacing w:line="276" w:lineRule="auto"/>
        <w:ind w:left="851" w:hanging="425"/>
        <w:rPr>
          <w:rFonts w:cs="Arial"/>
          <w:szCs w:val="24"/>
        </w:rPr>
      </w:pPr>
      <w:r w:rsidRPr="00844995">
        <w:rPr>
          <w:rFonts w:cs="Arial"/>
          <w:szCs w:val="24"/>
        </w:rPr>
        <w:t xml:space="preserve">By </w:t>
      </w:r>
      <w:r w:rsidR="00922A20" w:rsidRPr="00844995">
        <w:rPr>
          <w:rFonts w:cs="Arial"/>
          <w:szCs w:val="24"/>
        </w:rPr>
        <w:t>June</w:t>
      </w:r>
      <w:r w:rsidRPr="00844995">
        <w:rPr>
          <w:rFonts w:cs="Arial"/>
          <w:szCs w:val="24"/>
        </w:rPr>
        <w:t xml:space="preserve"> 202</w:t>
      </w:r>
      <w:r w:rsidR="00922A20" w:rsidRPr="00844995">
        <w:rPr>
          <w:rFonts w:cs="Arial"/>
          <w:szCs w:val="24"/>
        </w:rPr>
        <w:t>6</w:t>
      </w:r>
      <w:r w:rsidRPr="00844995">
        <w:rPr>
          <w:rFonts w:cs="Arial"/>
          <w:szCs w:val="24"/>
        </w:rPr>
        <w:t>, implement a formal governance framework, including a Net Zero Programme Board with director-level representation, and ensure quarterly reporting on sustainability progress is embedded within the Trust’s existing assurance structures.</w:t>
      </w:r>
    </w:p>
    <w:p w14:paraId="580BC72C" w14:textId="77777777" w:rsidR="0019648F" w:rsidRPr="00844995" w:rsidRDefault="0019648F" w:rsidP="007D5E86">
      <w:pPr>
        <w:pStyle w:val="ListParagraph"/>
        <w:spacing w:line="276" w:lineRule="auto"/>
        <w:rPr>
          <w:rFonts w:cs="Arial"/>
          <w:szCs w:val="24"/>
        </w:rPr>
      </w:pPr>
    </w:p>
    <w:p w14:paraId="56E4D121" w14:textId="20FD95FA" w:rsidR="0019648F" w:rsidRPr="00844995" w:rsidRDefault="0019648F" w:rsidP="007D5E86">
      <w:pPr>
        <w:pStyle w:val="ListParagraph"/>
        <w:numPr>
          <w:ilvl w:val="1"/>
          <w:numId w:val="13"/>
        </w:numPr>
        <w:spacing w:line="276" w:lineRule="auto"/>
        <w:ind w:left="851" w:hanging="425"/>
        <w:rPr>
          <w:rFonts w:cs="Arial"/>
          <w:szCs w:val="24"/>
        </w:rPr>
      </w:pPr>
      <w:r w:rsidRPr="00844995">
        <w:rPr>
          <w:rFonts w:cs="Arial"/>
          <w:szCs w:val="24"/>
        </w:rPr>
        <w:t xml:space="preserve">By </w:t>
      </w:r>
      <w:r w:rsidR="00922A20" w:rsidRPr="00844995">
        <w:rPr>
          <w:rFonts w:cs="Arial"/>
          <w:szCs w:val="24"/>
        </w:rPr>
        <w:t>October 2026</w:t>
      </w:r>
      <w:r w:rsidRPr="00844995">
        <w:rPr>
          <w:rFonts w:cs="Arial"/>
          <w:szCs w:val="24"/>
        </w:rPr>
        <w:t xml:space="preserve">, introduce a </w:t>
      </w:r>
      <w:r w:rsidRPr="00844995">
        <w:rPr>
          <w:rFonts w:cs="Arial"/>
          <w:i/>
          <w:iCs/>
          <w:szCs w:val="24"/>
        </w:rPr>
        <w:t>Sustainability in Action</w:t>
      </w:r>
      <w:r w:rsidRPr="00844995">
        <w:rPr>
          <w:rFonts w:cs="Arial"/>
          <w:szCs w:val="24"/>
        </w:rPr>
        <w:t xml:space="preserve"> award category within the Trust’s annual staff awards, with at least four nominations submitted each year and promoted through Trust-wide communications to raise visibility.</w:t>
      </w:r>
    </w:p>
    <w:p w14:paraId="2337B947" w14:textId="77777777" w:rsidR="0019648F" w:rsidRPr="00844995" w:rsidRDefault="0019648F" w:rsidP="007D5E86">
      <w:pPr>
        <w:pStyle w:val="ListParagraph"/>
        <w:spacing w:line="276" w:lineRule="auto"/>
        <w:rPr>
          <w:rFonts w:cs="Arial"/>
          <w:szCs w:val="24"/>
        </w:rPr>
      </w:pPr>
    </w:p>
    <w:p w14:paraId="129228CE" w14:textId="1244A6E9" w:rsidR="007D5E86" w:rsidRPr="00844995" w:rsidRDefault="0019648F" w:rsidP="007D5E86">
      <w:pPr>
        <w:pStyle w:val="ListParagraph"/>
        <w:numPr>
          <w:ilvl w:val="1"/>
          <w:numId w:val="13"/>
        </w:numPr>
        <w:spacing w:line="276" w:lineRule="auto"/>
        <w:ind w:left="851" w:hanging="425"/>
        <w:rPr>
          <w:rFonts w:cs="Arial"/>
          <w:szCs w:val="24"/>
        </w:rPr>
        <w:sectPr w:rsidR="007D5E86" w:rsidRPr="00844995" w:rsidSect="00A05C49">
          <w:type w:val="continuous"/>
          <w:pgSz w:w="11906" w:h="16838"/>
          <w:pgMar w:top="1440" w:right="1440" w:bottom="1134" w:left="1440" w:header="850" w:footer="510" w:gutter="0"/>
          <w:pgNumType w:start="0"/>
          <w:cols w:num="2" w:space="708"/>
          <w:titlePg/>
          <w:docGrid w:linePitch="360"/>
        </w:sectPr>
      </w:pPr>
      <w:r w:rsidRPr="00844995">
        <w:rPr>
          <w:rFonts w:cs="Arial"/>
          <w:szCs w:val="24"/>
        </w:rPr>
        <w:t>By March 202</w:t>
      </w:r>
      <w:r w:rsidR="00B25D4B" w:rsidRPr="00844995">
        <w:rPr>
          <w:rFonts w:cs="Arial"/>
          <w:szCs w:val="24"/>
        </w:rPr>
        <w:t>7</w:t>
      </w:r>
      <w:r w:rsidRPr="00844995">
        <w:rPr>
          <w:rFonts w:cs="Arial"/>
          <w:szCs w:val="24"/>
        </w:rPr>
        <w:t>, co-establish and launch the Sustainable Future Forum with at least 20 active cross-Group members (including 2gether Support Solutions and Spencer Private Hospitals) and quarterly forums held through 202</w:t>
      </w:r>
      <w:r w:rsidR="00B25D4B" w:rsidRPr="00844995">
        <w:rPr>
          <w:rFonts w:cs="Arial"/>
          <w:szCs w:val="24"/>
        </w:rPr>
        <w:t>7</w:t>
      </w:r>
      <w:r w:rsidRPr="00844995">
        <w:rPr>
          <w:rFonts w:cs="Arial"/>
          <w:szCs w:val="24"/>
        </w:rPr>
        <w:t>/2</w:t>
      </w:r>
      <w:r w:rsidR="00B25D4B" w:rsidRPr="00844995">
        <w:rPr>
          <w:rFonts w:cs="Arial"/>
          <w:szCs w:val="24"/>
        </w:rPr>
        <w:t>8,</w:t>
      </w:r>
      <w:r w:rsidRPr="00844995">
        <w:rPr>
          <w:rFonts w:cs="Arial"/>
          <w:szCs w:val="24"/>
        </w:rPr>
        <w:t xml:space="preserve"> with participant feedback used annually to evolve the platform and support grassroots change initiatives.</w:t>
      </w:r>
      <w:bookmarkEnd w:id="22"/>
      <w:bookmarkEnd w:id="23"/>
    </w:p>
    <w:p w14:paraId="2BCBADEA" w14:textId="744B94A3" w:rsidR="0019648F" w:rsidRPr="002D2A16" w:rsidRDefault="0019648F" w:rsidP="0019648F">
      <w:pPr>
        <w:pStyle w:val="ListParagraph"/>
        <w:numPr>
          <w:ilvl w:val="1"/>
          <w:numId w:val="13"/>
        </w:numPr>
        <w:spacing w:line="360" w:lineRule="auto"/>
        <w:ind w:left="851" w:hanging="425"/>
        <w:rPr>
          <w:rFonts w:cs="Arial"/>
        </w:rPr>
      </w:pPr>
      <w:r w:rsidRPr="002D2A16">
        <w:rPr>
          <w:rFonts w:cs="Arial"/>
        </w:rPr>
        <w:br w:type="page"/>
      </w:r>
    </w:p>
    <w:p w14:paraId="3FDBAAAC" w14:textId="77777777" w:rsidR="0019648F" w:rsidRPr="002D2A16" w:rsidRDefault="0019648F" w:rsidP="007F39B8">
      <w:pPr>
        <w:pStyle w:val="Heading3"/>
      </w:pPr>
      <w:bookmarkStart w:id="24" w:name="_Toc220447419"/>
      <w:bookmarkStart w:id="25" w:name="_Hlk198798226"/>
      <w:r w:rsidRPr="002D2A16">
        <w:lastRenderedPageBreak/>
        <w:t>Net zero clinical transformation</w:t>
      </w:r>
      <w:bookmarkEnd w:id="24"/>
    </w:p>
    <w:p w14:paraId="72250AAA" w14:textId="77777777" w:rsidR="007D5E86" w:rsidRDefault="007D5E86" w:rsidP="007F39B8">
      <w:pPr>
        <w:pStyle w:val="Heading3"/>
        <w:sectPr w:rsidR="007D5E86" w:rsidSect="00A05C49">
          <w:footerReference w:type="default" r:id="rId30"/>
          <w:type w:val="continuous"/>
          <w:pgSz w:w="11906" w:h="16838"/>
          <w:pgMar w:top="1440" w:right="1440" w:bottom="1134" w:left="1440" w:header="850" w:footer="510" w:gutter="0"/>
          <w:pgNumType w:start="0"/>
          <w:cols w:space="708"/>
          <w:titlePg/>
          <w:docGrid w:linePitch="360"/>
        </w:sectPr>
      </w:pPr>
    </w:p>
    <w:p w14:paraId="692F58F5" w14:textId="7D52306D" w:rsidR="0019648F" w:rsidRPr="002D2A16" w:rsidRDefault="0019648F" w:rsidP="007D5E86">
      <w:pPr>
        <w:spacing w:line="276" w:lineRule="auto"/>
        <w:rPr>
          <w:rFonts w:cs="Arial"/>
        </w:rPr>
      </w:pPr>
      <w:r w:rsidRPr="002D2A16">
        <w:rPr>
          <w:rFonts w:cs="Arial"/>
        </w:rPr>
        <w:t xml:space="preserve">Establishing </w:t>
      </w:r>
      <w:r w:rsidR="000F24CD">
        <w:rPr>
          <w:rFonts w:cs="Arial"/>
        </w:rPr>
        <w:t>sustainable models</w:t>
      </w:r>
      <w:r w:rsidR="000F24CD" w:rsidRPr="002D2A16">
        <w:rPr>
          <w:rFonts w:cs="Arial"/>
        </w:rPr>
        <w:t xml:space="preserve"> </w:t>
      </w:r>
      <w:r w:rsidRPr="002D2A16">
        <w:rPr>
          <w:rFonts w:cs="Arial"/>
        </w:rPr>
        <w:t xml:space="preserve">of care is a powerful </w:t>
      </w:r>
      <w:r w:rsidR="000F24CD">
        <w:rPr>
          <w:rFonts w:cs="Arial"/>
        </w:rPr>
        <w:t>way</w:t>
      </w:r>
      <w:r w:rsidR="000F24CD" w:rsidRPr="002D2A16">
        <w:rPr>
          <w:rFonts w:cs="Arial"/>
        </w:rPr>
        <w:t xml:space="preserve"> </w:t>
      </w:r>
      <w:r w:rsidRPr="002D2A16">
        <w:rPr>
          <w:rFonts w:cs="Arial"/>
        </w:rPr>
        <w:t xml:space="preserve">to transform healthcare pathways. By embracing innovation within these models, we can enable the development of new care methods that can improve patient outcomes, streamline processes, and enhance resource efficiency. For </w:t>
      </w:r>
      <w:r w:rsidR="000F24CD">
        <w:rPr>
          <w:rFonts w:cs="Arial"/>
        </w:rPr>
        <w:t>example</w:t>
      </w:r>
      <w:r w:rsidRPr="002D2A16">
        <w:rPr>
          <w:rFonts w:cs="Arial"/>
        </w:rPr>
        <w:t>, rethinking how care can be delivered closer to home can reveal opportunities for alternative treatments or technologies that deliver high-quality care with a lower environmental impact through collaborative partnerships. Additionally, sustainable models encourage the exploration of telemedicine, preventive care, and digital solutions, which reduce the need for in-person visits, thereby decreasing transport emissions and making healthcare more accessible.</w:t>
      </w:r>
    </w:p>
    <w:p w14:paraId="24BCAFBE" w14:textId="77777777" w:rsidR="0067112F" w:rsidRDefault="0067112F" w:rsidP="00BF2857">
      <w:pPr>
        <w:pStyle w:val="ListParagraph"/>
        <w:numPr>
          <w:ilvl w:val="1"/>
          <w:numId w:val="14"/>
        </w:numPr>
        <w:spacing w:line="276" w:lineRule="auto"/>
        <w:rPr>
          <w:rFonts w:cs="Arial"/>
          <w:szCs w:val="20"/>
        </w:rPr>
      </w:pPr>
      <w:r w:rsidRPr="0067112F">
        <w:rPr>
          <w:rFonts w:cs="Arial"/>
          <w:szCs w:val="20"/>
        </w:rPr>
        <w:br w:type="column"/>
      </w:r>
      <w:r w:rsidR="0019648F" w:rsidRPr="0067112F">
        <w:rPr>
          <w:rFonts w:cs="Arial"/>
          <w:szCs w:val="20"/>
        </w:rPr>
        <w:t>By September 202</w:t>
      </w:r>
      <w:r w:rsidR="00B25D4B" w:rsidRPr="0067112F">
        <w:rPr>
          <w:rFonts w:cs="Arial"/>
          <w:szCs w:val="20"/>
        </w:rPr>
        <w:t>6</w:t>
      </w:r>
      <w:r w:rsidR="0019648F" w:rsidRPr="0067112F">
        <w:rPr>
          <w:rFonts w:cs="Arial"/>
          <w:szCs w:val="20"/>
        </w:rPr>
        <w:t xml:space="preserve">, appoint a Clinical Lead for Net Zero Clinical Transformation with a defined remit and reporting lines. </w:t>
      </w:r>
    </w:p>
    <w:p w14:paraId="4EBB633A" w14:textId="77777777" w:rsidR="0067112F" w:rsidRDefault="0067112F" w:rsidP="0067112F">
      <w:pPr>
        <w:pStyle w:val="ListParagraph"/>
        <w:spacing w:line="276" w:lineRule="auto"/>
        <w:ind w:left="360"/>
        <w:rPr>
          <w:rFonts w:cs="Arial"/>
          <w:szCs w:val="20"/>
        </w:rPr>
      </w:pPr>
    </w:p>
    <w:p w14:paraId="0DF51122" w14:textId="75AED201" w:rsidR="00844995" w:rsidRPr="0067112F" w:rsidRDefault="0019648F" w:rsidP="00BF2857">
      <w:pPr>
        <w:pStyle w:val="ListParagraph"/>
        <w:numPr>
          <w:ilvl w:val="1"/>
          <w:numId w:val="14"/>
        </w:numPr>
        <w:spacing w:line="276" w:lineRule="auto"/>
        <w:rPr>
          <w:rFonts w:cs="Arial"/>
          <w:szCs w:val="20"/>
        </w:rPr>
      </w:pPr>
      <w:r w:rsidRPr="0067112F">
        <w:rPr>
          <w:rFonts w:cs="Arial"/>
          <w:szCs w:val="20"/>
        </w:rPr>
        <w:t>By December 202</w:t>
      </w:r>
      <w:r w:rsidR="00B25D4B" w:rsidRPr="0067112F">
        <w:rPr>
          <w:rFonts w:cs="Arial"/>
          <w:szCs w:val="20"/>
        </w:rPr>
        <w:t>6</w:t>
      </w:r>
      <w:r w:rsidRPr="0067112F">
        <w:rPr>
          <w:rFonts w:cs="Arial"/>
          <w:szCs w:val="20"/>
        </w:rPr>
        <w:t>, update the clinical quality improvement (QI) framework to specifically include environmental sustainability as a quality domain, and pilot its use in at least two active QI projects.</w:t>
      </w:r>
    </w:p>
    <w:p w14:paraId="586BC4ED" w14:textId="77777777" w:rsidR="00844995" w:rsidRPr="00844995" w:rsidRDefault="00844995" w:rsidP="00844995">
      <w:pPr>
        <w:pStyle w:val="ListParagraph"/>
        <w:rPr>
          <w:rFonts w:cs="Arial"/>
          <w:szCs w:val="20"/>
        </w:rPr>
      </w:pPr>
    </w:p>
    <w:p w14:paraId="1276CD08" w14:textId="77777777" w:rsidR="00844995" w:rsidRDefault="0019648F" w:rsidP="00844995">
      <w:pPr>
        <w:pStyle w:val="ListParagraph"/>
        <w:numPr>
          <w:ilvl w:val="1"/>
          <w:numId w:val="14"/>
        </w:numPr>
        <w:spacing w:line="276" w:lineRule="auto"/>
        <w:rPr>
          <w:rFonts w:cs="Arial"/>
          <w:szCs w:val="20"/>
        </w:rPr>
      </w:pPr>
      <w:r w:rsidRPr="00844995">
        <w:rPr>
          <w:rFonts w:cs="Arial"/>
          <w:szCs w:val="20"/>
        </w:rPr>
        <w:t>By March 202</w:t>
      </w:r>
      <w:r w:rsidR="00B25D4B" w:rsidRPr="00844995">
        <w:rPr>
          <w:rFonts w:cs="Arial"/>
          <w:szCs w:val="20"/>
        </w:rPr>
        <w:t>7</w:t>
      </w:r>
      <w:r w:rsidRPr="00844995">
        <w:rPr>
          <w:rFonts w:cs="Arial"/>
          <w:szCs w:val="20"/>
        </w:rPr>
        <w:t xml:space="preserve">, complete a </w:t>
      </w:r>
      <w:r w:rsidR="00342604" w:rsidRPr="00844995">
        <w:rPr>
          <w:rFonts w:cs="Arial"/>
          <w:szCs w:val="20"/>
        </w:rPr>
        <w:t>T</w:t>
      </w:r>
      <w:r w:rsidRPr="00844995">
        <w:rPr>
          <w:rFonts w:cs="Arial"/>
          <w:szCs w:val="20"/>
        </w:rPr>
        <w:t>rust-wide assessment of high-volume single-use items and identify at least five viable reusable alternatives, with a business case developed for trialling at least two by June 202</w:t>
      </w:r>
      <w:r w:rsidR="00B25D4B" w:rsidRPr="00844995">
        <w:rPr>
          <w:rFonts w:cs="Arial"/>
          <w:szCs w:val="20"/>
        </w:rPr>
        <w:t>7</w:t>
      </w:r>
      <w:r w:rsidRPr="00844995">
        <w:rPr>
          <w:rFonts w:cs="Arial"/>
          <w:szCs w:val="20"/>
        </w:rPr>
        <w:t>.</w:t>
      </w:r>
    </w:p>
    <w:p w14:paraId="72A472EF" w14:textId="77777777" w:rsidR="00844995" w:rsidRPr="00844995" w:rsidRDefault="00844995" w:rsidP="00844995">
      <w:pPr>
        <w:pStyle w:val="ListParagraph"/>
        <w:rPr>
          <w:rFonts w:cs="Arial"/>
          <w:szCs w:val="20"/>
        </w:rPr>
      </w:pPr>
    </w:p>
    <w:p w14:paraId="565341E8" w14:textId="77777777" w:rsidR="00844995" w:rsidRDefault="0019648F" w:rsidP="00844995">
      <w:pPr>
        <w:pStyle w:val="ListParagraph"/>
        <w:numPr>
          <w:ilvl w:val="1"/>
          <w:numId w:val="14"/>
        </w:numPr>
        <w:spacing w:line="276" w:lineRule="auto"/>
        <w:rPr>
          <w:rFonts w:cs="Arial"/>
          <w:szCs w:val="20"/>
        </w:rPr>
      </w:pPr>
      <w:r w:rsidRPr="00844995">
        <w:rPr>
          <w:rFonts w:cs="Arial"/>
          <w:szCs w:val="20"/>
        </w:rPr>
        <w:t>By August 202</w:t>
      </w:r>
      <w:r w:rsidR="00B25D4B" w:rsidRPr="00844995">
        <w:rPr>
          <w:rFonts w:cs="Arial"/>
          <w:szCs w:val="20"/>
        </w:rPr>
        <w:t>7</w:t>
      </w:r>
      <w:r w:rsidRPr="00844995">
        <w:rPr>
          <w:rFonts w:cs="Arial"/>
          <w:szCs w:val="20"/>
        </w:rPr>
        <w:t>, present outcomes from at least one net zero clinical transformation initiative at a relevant national or regional healthcare sustainability event or conference and publish a summary for internal learning.</w:t>
      </w:r>
    </w:p>
    <w:p w14:paraId="53144409" w14:textId="77777777" w:rsidR="00844995" w:rsidRPr="00844995" w:rsidRDefault="00844995" w:rsidP="00844995">
      <w:pPr>
        <w:pStyle w:val="ListParagraph"/>
        <w:rPr>
          <w:rFonts w:cs="Arial"/>
          <w:szCs w:val="20"/>
        </w:rPr>
      </w:pPr>
    </w:p>
    <w:p w14:paraId="1D20C7C7" w14:textId="4D83DA1C" w:rsidR="0019648F" w:rsidRPr="00844995" w:rsidRDefault="0019648F" w:rsidP="00844995">
      <w:pPr>
        <w:pStyle w:val="ListParagraph"/>
        <w:numPr>
          <w:ilvl w:val="1"/>
          <w:numId w:val="14"/>
        </w:numPr>
        <w:spacing w:line="276" w:lineRule="auto"/>
        <w:rPr>
          <w:rFonts w:cs="Arial"/>
          <w:szCs w:val="20"/>
        </w:rPr>
      </w:pPr>
      <w:r w:rsidRPr="00844995">
        <w:rPr>
          <w:rFonts w:cs="Arial"/>
          <w:szCs w:val="20"/>
        </w:rPr>
        <w:t>By March 202</w:t>
      </w:r>
      <w:r w:rsidR="00B25D4B" w:rsidRPr="00844995">
        <w:rPr>
          <w:rFonts w:cs="Arial"/>
          <w:szCs w:val="20"/>
        </w:rPr>
        <w:t>8</w:t>
      </w:r>
      <w:r w:rsidRPr="00844995">
        <w:rPr>
          <w:rFonts w:cs="Arial"/>
          <w:szCs w:val="20"/>
        </w:rPr>
        <w:t>, embed a requirement into care model and business plan development guidance to assess preventative measures, and ensure it is applied in all new models of care submitted for approval thereafter.</w:t>
      </w:r>
    </w:p>
    <w:p w14:paraId="17514F77" w14:textId="77777777" w:rsidR="007D5E86" w:rsidRPr="00844995" w:rsidRDefault="007D5E86" w:rsidP="0019648F">
      <w:pPr>
        <w:pStyle w:val="ListParagraph"/>
        <w:rPr>
          <w:rFonts w:cs="Arial"/>
          <w:sz w:val="32"/>
        </w:rPr>
        <w:sectPr w:rsidR="007D5E86" w:rsidRPr="00844995" w:rsidSect="00A05C49">
          <w:type w:val="continuous"/>
          <w:pgSz w:w="11906" w:h="16838"/>
          <w:pgMar w:top="1440" w:right="1440" w:bottom="1134" w:left="1440" w:header="850" w:footer="510" w:gutter="0"/>
          <w:pgNumType w:start="0"/>
          <w:cols w:num="2" w:space="708"/>
          <w:titlePg/>
          <w:docGrid w:linePitch="360"/>
        </w:sectPr>
      </w:pPr>
    </w:p>
    <w:p w14:paraId="0D9CF21D" w14:textId="1216FF6A" w:rsidR="0019648F" w:rsidRPr="002D2A16" w:rsidRDefault="0019648F" w:rsidP="0019648F">
      <w:pPr>
        <w:pStyle w:val="ListParagraph"/>
        <w:rPr>
          <w:rFonts w:cs="Arial"/>
        </w:rPr>
      </w:pPr>
    </w:p>
    <w:p w14:paraId="59010DB0" w14:textId="77777777" w:rsidR="0019648F" w:rsidRPr="002D2A16" w:rsidRDefault="0019648F" w:rsidP="0019648F">
      <w:pPr>
        <w:spacing w:line="360" w:lineRule="auto"/>
        <w:contextualSpacing/>
        <w:rPr>
          <w:rFonts w:cs="Arial"/>
        </w:rPr>
      </w:pPr>
    </w:p>
    <w:bookmarkEnd w:id="25"/>
    <w:p w14:paraId="248E4303" w14:textId="77777777" w:rsidR="007D5E86" w:rsidRDefault="007D5E86">
      <w:pPr>
        <w:spacing w:line="276" w:lineRule="auto"/>
        <w:rPr>
          <w:rFonts w:eastAsiaTheme="majorEastAsia" w:cs="Arial"/>
          <w:b/>
          <w:color w:val="365F91" w:themeColor="accent1" w:themeShade="BF"/>
          <w:szCs w:val="26"/>
        </w:rPr>
      </w:pPr>
      <w:r>
        <w:rPr>
          <w:rFonts w:cs="Arial"/>
        </w:rPr>
        <w:br w:type="page"/>
      </w:r>
    </w:p>
    <w:p w14:paraId="1876F9E6" w14:textId="184B8732" w:rsidR="0019648F" w:rsidRPr="002D2A16" w:rsidRDefault="0019648F" w:rsidP="007F39B8">
      <w:pPr>
        <w:pStyle w:val="Heading3"/>
      </w:pPr>
      <w:bookmarkStart w:id="26" w:name="_Toc220447420"/>
      <w:r w:rsidRPr="002D2A16">
        <w:lastRenderedPageBreak/>
        <w:t>Digital Transformation</w:t>
      </w:r>
      <w:bookmarkEnd w:id="26"/>
    </w:p>
    <w:p w14:paraId="2CC15A75" w14:textId="77777777" w:rsidR="007D5E86" w:rsidRDefault="007D5E86" w:rsidP="007F39B8">
      <w:pPr>
        <w:pStyle w:val="Heading3"/>
        <w:sectPr w:rsidR="007D5E86" w:rsidSect="00A05C49">
          <w:type w:val="continuous"/>
          <w:pgSz w:w="11906" w:h="16838"/>
          <w:pgMar w:top="1440" w:right="1440" w:bottom="1134" w:left="1440" w:header="850" w:footer="510" w:gutter="0"/>
          <w:pgNumType w:start="0"/>
          <w:cols w:space="708"/>
          <w:titlePg/>
          <w:docGrid w:linePitch="360"/>
        </w:sectPr>
      </w:pPr>
    </w:p>
    <w:p w14:paraId="479EE66B" w14:textId="77777777" w:rsidR="00844995" w:rsidRDefault="0019648F" w:rsidP="00844995">
      <w:pPr>
        <w:spacing w:line="276" w:lineRule="auto"/>
        <w:rPr>
          <w:rFonts w:cs="Arial"/>
        </w:rPr>
      </w:pPr>
      <w:r w:rsidRPr="002D2A16">
        <w:rPr>
          <w:rFonts w:cs="Arial"/>
        </w:rPr>
        <w:t xml:space="preserve">Digital transformation is pivotal in achieving emissions reduction goals by streamlining operations and enhancing efficiency. By shifting away from paper-based and manual processes, </w:t>
      </w:r>
      <w:r w:rsidR="00342604">
        <w:rPr>
          <w:rFonts w:cs="Arial"/>
        </w:rPr>
        <w:t>the Trust can</w:t>
      </w:r>
      <w:r w:rsidR="00342604" w:rsidRPr="002D2A16">
        <w:rPr>
          <w:rFonts w:cs="Arial"/>
        </w:rPr>
        <w:t xml:space="preserve"> </w:t>
      </w:r>
      <w:r w:rsidRPr="002D2A16">
        <w:rPr>
          <w:rFonts w:cs="Arial"/>
        </w:rPr>
        <w:t xml:space="preserve">significantly decrease </w:t>
      </w:r>
      <w:r w:rsidR="00342604">
        <w:rPr>
          <w:rFonts w:cs="Arial"/>
        </w:rPr>
        <w:t>the</w:t>
      </w:r>
      <w:r w:rsidR="00342604" w:rsidRPr="002D2A16">
        <w:rPr>
          <w:rFonts w:cs="Arial"/>
        </w:rPr>
        <w:t xml:space="preserve"> </w:t>
      </w:r>
      <w:r w:rsidRPr="002D2A16">
        <w:rPr>
          <w:rFonts w:cs="Arial"/>
        </w:rPr>
        <w:t>environmental impact</w:t>
      </w:r>
      <w:r w:rsidR="00342604">
        <w:rPr>
          <w:rFonts w:cs="Arial"/>
        </w:rPr>
        <w:t xml:space="preserve"> by</w:t>
      </w:r>
      <w:r w:rsidRPr="002D2A16">
        <w:rPr>
          <w:rFonts w:cs="Arial"/>
        </w:rPr>
        <w:t xml:space="preserve"> minimising waste and energy consumption associated with physical documentation and transportation. This transition maximises productivity, as automation allows employees to focus on higher-value tasks where humans excel rather than repetitive administrative duties. Furthermore, digital tools enable improved data analysis processes, providing deeper insights into operational performance and resource use. These insights support informed decision-making but </w:t>
      </w:r>
      <w:r w:rsidR="00342604">
        <w:rPr>
          <w:rFonts w:cs="Arial"/>
        </w:rPr>
        <w:t>help to build</w:t>
      </w:r>
      <w:r w:rsidRPr="002D2A16">
        <w:rPr>
          <w:rFonts w:cs="Arial"/>
        </w:rPr>
        <w:t xml:space="preserve"> a culture of innovation.</w:t>
      </w:r>
      <w:r w:rsidR="00B82C19">
        <w:rPr>
          <w:rFonts w:cs="Arial"/>
        </w:rPr>
        <w:t xml:space="preserve"> </w:t>
      </w:r>
      <w:r w:rsidR="00342604">
        <w:rPr>
          <w:rFonts w:cs="Arial"/>
        </w:rPr>
        <w:t>L</w:t>
      </w:r>
      <w:r w:rsidRPr="002D2A16">
        <w:rPr>
          <w:rFonts w:cs="Arial"/>
        </w:rPr>
        <w:t xml:space="preserve">everaging digital transformation </w:t>
      </w:r>
      <w:r w:rsidR="00342604">
        <w:rPr>
          <w:rFonts w:cs="Arial"/>
        </w:rPr>
        <w:t xml:space="preserve">will </w:t>
      </w:r>
      <w:r w:rsidRPr="002D2A16">
        <w:rPr>
          <w:rFonts w:cs="Arial"/>
        </w:rPr>
        <w:t xml:space="preserve">empower </w:t>
      </w:r>
      <w:r w:rsidR="00342604">
        <w:rPr>
          <w:rFonts w:cs="Arial"/>
        </w:rPr>
        <w:t xml:space="preserve">the Trust </w:t>
      </w:r>
      <w:r w:rsidRPr="002D2A16">
        <w:rPr>
          <w:rFonts w:cs="Arial"/>
        </w:rPr>
        <w:t>to reduce emissions effectively while enhancing overall resilience and adaptability in an evolving environmental landscape</w:t>
      </w:r>
    </w:p>
    <w:p w14:paraId="54951E20" w14:textId="7B208073" w:rsidR="00844995" w:rsidRDefault="0067112F" w:rsidP="00844995">
      <w:pPr>
        <w:pStyle w:val="ListParagraph"/>
        <w:numPr>
          <w:ilvl w:val="1"/>
          <w:numId w:val="30"/>
        </w:numPr>
        <w:spacing w:line="276" w:lineRule="auto"/>
        <w:rPr>
          <w:rFonts w:cs="Arial"/>
          <w:szCs w:val="20"/>
        </w:rPr>
      </w:pPr>
      <w:r>
        <w:rPr>
          <w:rFonts w:cs="Arial"/>
        </w:rPr>
        <w:br w:type="column"/>
      </w:r>
      <w:r w:rsidR="00844995" w:rsidRPr="00844995">
        <w:rPr>
          <w:rFonts w:cs="Arial"/>
        </w:rPr>
        <w:t xml:space="preserve">By December 2026, use existing </w:t>
      </w:r>
      <w:r w:rsidR="00844995" w:rsidRPr="00844995">
        <w:rPr>
          <w:rFonts w:cs="Arial"/>
          <w:szCs w:val="20"/>
        </w:rPr>
        <w:t>digital systems to better understand colleague work patterns with a focus on identifying opportunities to optimise digital collaboration and develop a set of recommendations to inform future planning.</w:t>
      </w:r>
    </w:p>
    <w:p w14:paraId="738D8264" w14:textId="77777777" w:rsidR="00844995" w:rsidRDefault="00844995" w:rsidP="00844995">
      <w:pPr>
        <w:pStyle w:val="ListParagraph"/>
        <w:spacing w:line="276" w:lineRule="auto"/>
        <w:ind w:left="360"/>
        <w:rPr>
          <w:rFonts w:cs="Arial"/>
          <w:szCs w:val="20"/>
        </w:rPr>
      </w:pPr>
    </w:p>
    <w:p w14:paraId="56117392" w14:textId="77777777" w:rsidR="00844995" w:rsidRDefault="00844995" w:rsidP="00844995">
      <w:pPr>
        <w:pStyle w:val="ListParagraph"/>
        <w:numPr>
          <w:ilvl w:val="1"/>
          <w:numId w:val="30"/>
        </w:numPr>
        <w:spacing w:line="276" w:lineRule="auto"/>
        <w:rPr>
          <w:rFonts w:cs="Arial"/>
          <w:szCs w:val="20"/>
        </w:rPr>
      </w:pPr>
      <w:r w:rsidRPr="00844995">
        <w:rPr>
          <w:rFonts w:cs="Arial"/>
          <w:szCs w:val="20"/>
        </w:rPr>
        <w:t>By March 2028, deliver at least 60% of appropriate bookings and patient letters by digital means only.</w:t>
      </w:r>
    </w:p>
    <w:p w14:paraId="768B8D1D" w14:textId="77777777" w:rsidR="00844995" w:rsidRPr="00844995" w:rsidRDefault="00844995" w:rsidP="00844995">
      <w:pPr>
        <w:pStyle w:val="ListParagraph"/>
        <w:rPr>
          <w:rFonts w:cs="Arial"/>
          <w:szCs w:val="20"/>
        </w:rPr>
      </w:pPr>
    </w:p>
    <w:p w14:paraId="30DCDD0D" w14:textId="77777777" w:rsidR="00844995" w:rsidRDefault="0019648F" w:rsidP="00844995">
      <w:pPr>
        <w:pStyle w:val="ListParagraph"/>
        <w:numPr>
          <w:ilvl w:val="1"/>
          <w:numId w:val="30"/>
        </w:numPr>
        <w:spacing w:line="276" w:lineRule="auto"/>
        <w:rPr>
          <w:rFonts w:cs="Arial"/>
          <w:szCs w:val="20"/>
        </w:rPr>
      </w:pPr>
      <w:r w:rsidRPr="00844995">
        <w:rPr>
          <w:rFonts w:cs="Arial"/>
          <w:szCs w:val="20"/>
        </w:rPr>
        <w:t>By June 202</w:t>
      </w:r>
      <w:r w:rsidR="00B25D4B" w:rsidRPr="00844995">
        <w:rPr>
          <w:rFonts w:cs="Arial"/>
          <w:szCs w:val="20"/>
        </w:rPr>
        <w:t>7</w:t>
      </w:r>
      <w:r w:rsidRPr="00844995">
        <w:rPr>
          <w:rFonts w:cs="Arial"/>
          <w:szCs w:val="20"/>
        </w:rPr>
        <w:t xml:space="preserve">, design and implement an emissions tracking system for Digital Transformation initiatives across the </w:t>
      </w:r>
      <w:r w:rsidR="00342604" w:rsidRPr="00844995">
        <w:rPr>
          <w:rFonts w:cs="Arial"/>
          <w:szCs w:val="20"/>
        </w:rPr>
        <w:t>T</w:t>
      </w:r>
      <w:r w:rsidRPr="00844995">
        <w:rPr>
          <w:rFonts w:cs="Arial"/>
          <w:szCs w:val="20"/>
        </w:rPr>
        <w:t>rust to monitor impacts and successes.</w:t>
      </w:r>
    </w:p>
    <w:p w14:paraId="24190335" w14:textId="77777777" w:rsidR="00844995" w:rsidRPr="00844995" w:rsidRDefault="00844995" w:rsidP="00844995">
      <w:pPr>
        <w:pStyle w:val="ListParagraph"/>
        <w:rPr>
          <w:rFonts w:cs="Arial"/>
          <w:szCs w:val="20"/>
        </w:rPr>
      </w:pPr>
    </w:p>
    <w:p w14:paraId="5072B772" w14:textId="77777777" w:rsidR="00844995" w:rsidRDefault="0019648F" w:rsidP="00844995">
      <w:pPr>
        <w:pStyle w:val="ListParagraph"/>
        <w:numPr>
          <w:ilvl w:val="1"/>
          <w:numId w:val="30"/>
        </w:numPr>
        <w:spacing w:line="276" w:lineRule="auto"/>
        <w:rPr>
          <w:rFonts w:cs="Arial"/>
          <w:szCs w:val="20"/>
        </w:rPr>
      </w:pPr>
      <w:r w:rsidRPr="00844995">
        <w:rPr>
          <w:rFonts w:cs="Arial"/>
          <w:szCs w:val="20"/>
        </w:rPr>
        <w:t>By March 202</w:t>
      </w:r>
      <w:r w:rsidR="00B25D4B" w:rsidRPr="00844995">
        <w:rPr>
          <w:rFonts w:cs="Arial"/>
          <w:szCs w:val="20"/>
        </w:rPr>
        <w:t>8</w:t>
      </w:r>
      <w:r w:rsidRPr="00844995">
        <w:rPr>
          <w:rFonts w:cs="Arial"/>
          <w:szCs w:val="20"/>
        </w:rPr>
        <w:t xml:space="preserve">, complete a </w:t>
      </w:r>
      <w:r w:rsidR="00342604" w:rsidRPr="00844995">
        <w:rPr>
          <w:rFonts w:cs="Arial"/>
          <w:szCs w:val="20"/>
        </w:rPr>
        <w:t>T</w:t>
      </w:r>
      <w:r w:rsidRPr="00844995">
        <w:rPr>
          <w:rFonts w:cs="Arial"/>
          <w:szCs w:val="20"/>
        </w:rPr>
        <w:t xml:space="preserve">rust-wide review of appointment delivery modes and identify services where appointments could be clinically and operationally suitable for remote delivery. </w:t>
      </w:r>
    </w:p>
    <w:p w14:paraId="5BF463E2" w14:textId="77777777" w:rsidR="00844995" w:rsidRPr="00844995" w:rsidRDefault="00844995" w:rsidP="00844995">
      <w:pPr>
        <w:pStyle w:val="ListParagraph"/>
        <w:rPr>
          <w:rFonts w:cs="Arial"/>
          <w:szCs w:val="20"/>
        </w:rPr>
      </w:pPr>
    </w:p>
    <w:p w14:paraId="4115CB0B" w14:textId="5CF57ABE" w:rsidR="0019648F" w:rsidRPr="00844995" w:rsidRDefault="0019648F" w:rsidP="00844995">
      <w:pPr>
        <w:pStyle w:val="ListParagraph"/>
        <w:numPr>
          <w:ilvl w:val="1"/>
          <w:numId w:val="30"/>
        </w:numPr>
        <w:spacing w:line="276" w:lineRule="auto"/>
        <w:rPr>
          <w:rFonts w:cs="Arial"/>
          <w:szCs w:val="20"/>
        </w:rPr>
      </w:pPr>
      <w:r w:rsidRPr="00844995">
        <w:rPr>
          <w:rFonts w:cs="Arial"/>
          <w:szCs w:val="20"/>
        </w:rPr>
        <w:t>By March 202</w:t>
      </w:r>
      <w:r w:rsidR="00B25D4B" w:rsidRPr="00844995">
        <w:rPr>
          <w:rFonts w:cs="Arial"/>
          <w:szCs w:val="20"/>
        </w:rPr>
        <w:t>7</w:t>
      </w:r>
      <w:r w:rsidRPr="00844995">
        <w:rPr>
          <w:rFonts w:cs="Arial"/>
          <w:szCs w:val="20"/>
        </w:rPr>
        <w:t>, complete a review of existing paper record management processes and identify opportunities for digitisation, with a roadmap in place to prioritise areas offering the greatest efficiency benefits.</w:t>
      </w:r>
    </w:p>
    <w:p w14:paraId="7D4DEF8A" w14:textId="77777777" w:rsidR="007D5E86" w:rsidRDefault="007D5E86" w:rsidP="0019648F">
      <w:pPr>
        <w:pStyle w:val="Heading2"/>
        <w:spacing w:line="360" w:lineRule="auto"/>
        <w:rPr>
          <w:rFonts w:cs="Arial"/>
        </w:rPr>
        <w:sectPr w:rsidR="007D5E86" w:rsidSect="00A05C49">
          <w:type w:val="continuous"/>
          <w:pgSz w:w="11906" w:h="16838"/>
          <w:pgMar w:top="1440" w:right="1440" w:bottom="1134" w:left="1440" w:header="850" w:footer="510" w:gutter="0"/>
          <w:pgNumType w:start="0"/>
          <w:cols w:num="2" w:space="708"/>
          <w:titlePg/>
          <w:docGrid w:linePitch="360"/>
        </w:sectPr>
      </w:pPr>
      <w:bookmarkStart w:id="27" w:name="_Hlk198721280"/>
    </w:p>
    <w:p w14:paraId="706AFBEB" w14:textId="77777777" w:rsidR="007D5E86" w:rsidRDefault="007D5E86">
      <w:pPr>
        <w:spacing w:line="276" w:lineRule="auto"/>
        <w:rPr>
          <w:rFonts w:eastAsiaTheme="majorEastAsia" w:cs="Arial"/>
          <w:b/>
          <w:color w:val="365F91" w:themeColor="accent1" w:themeShade="BF"/>
          <w:szCs w:val="26"/>
        </w:rPr>
      </w:pPr>
      <w:r>
        <w:rPr>
          <w:rFonts w:cs="Arial"/>
        </w:rPr>
        <w:br w:type="page"/>
      </w:r>
    </w:p>
    <w:p w14:paraId="397D897D" w14:textId="521AFD0F" w:rsidR="0019648F" w:rsidRPr="002D2A16" w:rsidRDefault="0019648F" w:rsidP="007F39B8">
      <w:pPr>
        <w:pStyle w:val="Heading3"/>
      </w:pPr>
      <w:bookmarkStart w:id="28" w:name="_Toc220447421"/>
      <w:r w:rsidRPr="002D2A16">
        <w:lastRenderedPageBreak/>
        <w:t>Medicines</w:t>
      </w:r>
      <w:bookmarkEnd w:id="28"/>
    </w:p>
    <w:p w14:paraId="245ED259" w14:textId="77777777" w:rsidR="007D5E86" w:rsidRDefault="007D5E86" w:rsidP="007F39B8">
      <w:pPr>
        <w:pStyle w:val="Heading3"/>
        <w:sectPr w:rsidR="007D5E86" w:rsidSect="00A05C49">
          <w:footerReference w:type="default" r:id="rId31"/>
          <w:type w:val="continuous"/>
          <w:pgSz w:w="11906" w:h="16838"/>
          <w:pgMar w:top="1440" w:right="1440" w:bottom="1134" w:left="1440" w:header="850" w:footer="510" w:gutter="0"/>
          <w:pgNumType w:start="0"/>
          <w:cols w:space="708"/>
          <w:titlePg/>
          <w:docGrid w:linePitch="360"/>
        </w:sectPr>
      </w:pPr>
    </w:p>
    <w:p w14:paraId="20104C2A" w14:textId="534F4D8C" w:rsidR="0019648F" w:rsidRPr="002D2A16" w:rsidRDefault="0019648F" w:rsidP="007D5E86">
      <w:pPr>
        <w:spacing w:line="276" w:lineRule="auto"/>
        <w:rPr>
          <w:rFonts w:cs="Arial"/>
        </w:rPr>
      </w:pPr>
      <w:r w:rsidRPr="002D2A16">
        <w:rPr>
          <w:rFonts w:cs="Arial"/>
        </w:rPr>
        <w:t>Reducing emissions from medicines is a crucial component of the Trust's sustainability ambitions. There is a particular focus on minimising the environmental impacts associated with medical gases and medicinal aerosol devices</w:t>
      </w:r>
      <w:r w:rsidR="00342604">
        <w:rPr>
          <w:rFonts w:cs="Arial"/>
        </w:rPr>
        <w:t>,</w:t>
      </w:r>
      <w:r w:rsidRPr="002D2A16">
        <w:rPr>
          <w:rFonts w:cs="Arial"/>
        </w:rPr>
        <w:t xml:space="preserve"> </w:t>
      </w:r>
      <w:r w:rsidR="00342604">
        <w:rPr>
          <w:rFonts w:cs="Arial"/>
        </w:rPr>
        <w:t xml:space="preserve">such as </w:t>
      </w:r>
      <w:r w:rsidRPr="002D2A16">
        <w:rPr>
          <w:rFonts w:cs="Arial"/>
        </w:rPr>
        <w:t>metered dose inhalers</w:t>
      </w:r>
      <w:r w:rsidR="00342604">
        <w:rPr>
          <w:rFonts w:cs="Arial"/>
        </w:rPr>
        <w:t>,</w:t>
      </w:r>
      <w:r w:rsidRPr="002D2A16">
        <w:rPr>
          <w:rFonts w:cs="Arial"/>
        </w:rPr>
        <w:t xml:space="preserve"> alongside addressing the risks associated with polypharmacy. Medical gases, such as nitrous oxide, contribute significantly to greenhouse gas emissions, making it essential to reduce waste in the first instance and then look at alternatives. Similarly, inhalers with high global warming potential propellants are key target</w:t>
      </w:r>
      <w:r w:rsidR="00342604">
        <w:rPr>
          <w:rFonts w:cs="Arial"/>
        </w:rPr>
        <w:t>s</w:t>
      </w:r>
      <w:r w:rsidRPr="002D2A16">
        <w:rPr>
          <w:rFonts w:cs="Arial"/>
        </w:rPr>
        <w:t xml:space="preserve"> for reduction, with a shift towards lower-emission inhaler options or non-propellant devices where clinically appropriate. </w:t>
      </w:r>
      <w:r w:rsidR="00342604">
        <w:rPr>
          <w:rFonts w:cs="Arial"/>
        </w:rPr>
        <w:t>A</w:t>
      </w:r>
      <w:r w:rsidRPr="002D2A16">
        <w:rPr>
          <w:rFonts w:cs="Arial"/>
        </w:rPr>
        <w:t xml:space="preserve">ddressing polypharmacy by optimising medication regimens not only improves patient outcomes but also reduces the environmental impact associated with pharmaceutical production, distribution, and waste. </w:t>
      </w:r>
    </w:p>
    <w:p w14:paraId="07D6324B" w14:textId="28ECAC65" w:rsidR="00844995" w:rsidRDefault="0067112F" w:rsidP="00844995">
      <w:pPr>
        <w:pStyle w:val="ListParagraph"/>
        <w:numPr>
          <w:ilvl w:val="1"/>
          <w:numId w:val="16"/>
        </w:numPr>
        <w:spacing w:line="276" w:lineRule="auto"/>
        <w:rPr>
          <w:rFonts w:cs="Arial"/>
          <w:szCs w:val="20"/>
        </w:rPr>
      </w:pPr>
      <w:r>
        <w:rPr>
          <w:rFonts w:cs="Arial"/>
          <w:szCs w:val="20"/>
        </w:rPr>
        <w:br w:type="column"/>
      </w:r>
      <w:r w:rsidR="0019648F" w:rsidRPr="00844995">
        <w:rPr>
          <w:rFonts w:cs="Arial"/>
          <w:szCs w:val="20"/>
        </w:rPr>
        <w:t>By December 202</w:t>
      </w:r>
      <w:r w:rsidR="00B25D4B" w:rsidRPr="00844995">
        <w:rPr>
          <w:rFonts w:cs="Arial"/>
          <w:szCs w:val="20"/>
        </w:rPr>
        <w:t>6</w:t>
      </w:r>
      <w:r w:rsidR="0019648F" w:rsidRPr="00844995">
        <w:rPr>
          <w:rFonts w:cs="Arial"/>
          <w:szCs w:val="20"/>
        </w:rPr>
        <w:t>, complete a review of medical gas usage data across all departments and identify at least three feasible interventions to reduce emissions, with implementation plans initiated for at least one.</w:t>
      </w:r>
    </w:p>
    <w:p w14:paraId="17362C88" w14:textId="77777777" w:rsidR="00844995" w:rsidRDefault="00844995" w:rsidP="00844995">
      <w:pPr>
        <w:pStyle w:val="ListParagraph"/>
        <w:spacing w:line="276" w:lineRule="auto"/>
        <w:ind w:left="360"/>
        <w:rPr>
          <w:rFonts w:cs="Arial"/>
          <w:szCs w:val="20"/>
        </w:rPr>
      </w:pPr>
    </w:p>
    <w:p w14:paraId="7B18CE8A" w14:textId="77777777" w:rsidR="00844995" w:rsidRDefault="0019648F" w:rsidP="00844995">
      <w:pPr>
        <w:pStyle w:val="ListParagraph"/>
        <w:numPr>
          <w:ilvl w:val="1"/>
          <w:numId w:val="16"/>
        </w:numPr>
        <w:spacing w:line="276" w:lineRule="auto"/>
        <w:rPr>
          <w:rFonts w:cs="Arial"/>
          <w:szCs w:val="20"/>
        </w:rPr>
      </w:pPr>
      <w:r w:rsidRPr="00844995">
        <w:rPr>
          <w:rFonts w:cs="Arial"/>
          <w:szCs w:val="20"/>
        </w:rPr>
        <w:t>By March 202</w:t>
      </w:r>
      <w:r w:rsidR="00B25D4B" w:rsidRPr="00844995">
        <w:rPr>
          <w:rFonts w:cs="Arial"/>
          <w:szCs w:val="20"/>
        </w:rPr>
        <w:t>7</w:t>
      </w:r>
      <w:r w:rsidRPr="00844995">
        <w:rPr>
          <w:rFonts w:cs="Arial"/>
          <w:szCs w:val="20"/>
        </w:rPr>
        <w:t xml:space="preserve">, establish a </w:t>
      </w:r>
      <w:r w:rsidR="00342604" w:rsidRPr="00844995">
        <w:rPr>
          <w:rFonts w:cs="Arial"/>
          <w:szCs w:val="20"/>
        </w:rPr>
        <w:t>T</w:t>
      </w:r>
      <w:r w:rsidRPr="00844995">
        <w:rPr>
          <w:rFonts w:cs="Arial"/>
          <w:szCs w:val="20"/>
        </w:rPr>
        <w:t>rust-wide target to reduce MDI prescriptions by 20% relative to total inhaler prescriptions, with quarterly progress monitoring and clinician engagement through prescribing guidance updates.</w:t>
      </w:r>
    </w:p>
    <w:p w14:paraId="01B87CD9" w14:textId="77777777" w:rsidR="00844995" w:rsidRPr="00844995" w:rsidRDefault="00844995" w:rsidP="00844995">
      <w:pPr>
        <w:pStyle w:val="ListParagraph"/>
        <w:rPr>
          <w:rFonts w:cs="Arial"/>
          <w:szCs w:val="20"/>
        </w:rPr>
      </w:pPr>
    </w:p>
    <w:p w14:paraId="25592964" w14:textId="77777777" w:rsidR="00844995" w:rsidRDefault="0019648F" w:rsidP="00844995">
      <w:pPr>
        <w:pStyle w:val="ListParagraph"/>
        <w:numPr>
          <w:ilvl w:val="1"/>
          <w:numId w:val="16"/>
        </w:numPr>
        <w:spacing w:line="276" w:lineRule="auto"/>
        <w:rPr>
          <w:rFonts w:cs="Arial"/>
          <w:szCs w:val="20"/>
        </w:rPr>
      </w:pPr>
      <w:r w:rsidRPr="00844995">
        <w:rPr>
          <w:rFonts w:cs="Arial"/>
          <w:szCs w:val="20"/>
        </w:rPr>
        <w:t>By March 202</w:t>
      </w:r>
      <w:r w:rsidR="00B25D4B" w:rsidRPr="00844995">
        <w:rPr>
          <w:rFonts w:cs="Arial"/>
          <w:szCs w:val="20"/>
        </w:rPr>
        <w:t>7</w:t>
      </w:r>
      <w:r w:rsidRPr="00844995">
        <w:rPr>
          <w:rFonts w:cs="Arial"/>
          <w:szCs w:val="20"/>
        </w:rPr>
        <w:t>, conduct a baseline assessment of medicines and prescribing-related emissions and publish a report outlining five specific opportunities for emissions reduction, prioritised by feasibility and impact.</w:t>
      </w:r>
    </w:p>
    <w:p w14:paraId="68959BB2" w14:textId="77777777" w:rsidR="00844995" w:rsidRPr="00844995" w:rsidRDefault="00844995" w:rsidP="00844995">
      <w:pPr>
        <w:pStyle w:val="ListParagraph"/>
        <w:rPr>
          <w:rFonts w:cs="Arial"/>
          <w:szCs w:val="20"/>
        </w:rPr>
      </w:pPr>
    </w:p>
    <w:p w14:paraId="0EBBDAA4" w14:textId="699AA9B7" w:rsidR="007D5E86" w:rsidRPr="00844995" w:rsidRDefault="0019648F" w:rsidP="00844995">
      <w:pPr>
        <w:pStyle w:val="ListParagraph"/>
        <w:numPr>
          <w:ilvl w:val="1"/>
          <w:numId w:val="16"/>
        </w:numPr>
        <w:spacing w:line="276" w:lineRule="auto"/>
        <w:rPr>
          <w:rFonts w:cs="Arial"/>
          <w:szCs w:val="20"/>
        </w:rPr>
        <w:sectPr w:rsidR="007D5E86" w:rsidRPr="00844995" w:rsidSect="00A05C49">
          <w:type w:val="continuous"/>
          <w:pgSz w:w="11906" w:h="16838"/>
          <w:pgMar w:top="1440" w:right="1440" w:bottom="1134" w:left="1440" w:header="850" w:footer="510" w:gutter="0"/>
          <w:pgNumType w:start="0"/>
          <w:cols w:num="2" w:space="708"/>
          <w:titlePg/>
          <w:docGrid w:linePitch="360"/>
        </w:sectPr>
      </w:pPr>
      <w:r w:rsidRPr="00844995">
        <w:rPr>
          <w:rFonts w:cs="Arial"/>
          <w:szCs w:val="20"/>
        </w:rPr>
        <w:t>By March 202</w:t>
      </w:r>
      <w:r w:rsidR="00B25D4B" w:rsidRPr="00844995">
        <w:rPr>
          <w:rFonts w:cs="Arial"/>
          <w:szCs w:val="20"/>
        </w:rPr>
        <w:t>8</w:t>
      </w:r>
      <w:r w:rsidRPr="00844995">
        <w:rPr>
          <w:rFonts w:cs="Arial"/>
          <w:szCs w:val="20"/>
        </w:rPr>
        <w:t>, deliver three educational sessions on the environmental and clinical impacts of polypharmacy to at least 50% of prescribing clinicians, measured by attendance and post-session feedback.</w:t>
      </w:r>
      <w:bookmarkEnd w:id="27"/>
    </w:p>
    <w:p w14:paraId="47A416EE" w14:textId="64B855AE" w:rsidR="0019648F" w:rsidRPr="002D2A16" w:rsidRDefault="0019648F" w:rsidP="0019648F">
      <w:pPr>
        <w:pStyle w:val="ListParagraph"/>
        <w:numPr>
          <w:ilvl w:val="1"/>
          <w:numId w:val="16"/>
        </w:numPr>
        <w:spacing w:line="360" w:lineRule="auto"/>
        <w:ind w:left="851" w:hanging="425"/>
        <w:rPr>
          <w:rFonts w:cs="Arial"/>
        </w:rPr>
      </w:pPr>
      <w:r w:rsidRPr="002D2A16">
        <w:rPr>
          <w:rFonts w:cs="Arial"/>
        </w:rPr>
        <w:br w:type="page"/>
      </w:r>
    </w:p>
    <w:p w14:paraId="7D107855" w14:textId="77777777" w:rsidR="0019648F" w:rsidRPr="002D2A16" w:rsidRDefault="0019648F" w:rsidP="007F39B8">
      <w:pPr>
        <w:pStyle w:val="Heading3"/>
      </w:pPr>
      <w:bookmarkStart w:id="29" w:name="_Toc220447422"/>
      <w:r w:rsidRPr="002D2A16">
        <w:lastRenderedPageBreak/>
        <w:t>Travel and Transport</w:t>
      </w:r>
      <w:bookmarkEnd w:id="29"/>
    </w:p>
    <w:p w14:paraId="646537A4" w14:textId="77777777" w:rsidR="007D5E86" w:rsidRDefault="007D5E86" w:rsidP="007F39B8">
      <w:pPr>
        <w:pStyle w:val="Heading3"/>
        <w:sectPr w:rsidR="007D5E86" w:rsidSect="00A05C49">
          <w:footerReference w:type="default" r:id="rId32"/>
          <w:type w:val="continuous"/>
          <w:pgSz w:w="11906" w:h="16838"/>
          <w:pgMar w:top="1440" w:right="1440" w:bottom="1134" w:left="1440" w:header="850" w:footer="510" w:gutter="0"/>
          <w:pgNumType w:start="0"/>
          <w:cols w:space="708"/>
          <w:titlePg/>
          <w:docGrid w:linePitch="360"/>
        </w:sectPr>
      </w:pPr>
    </w:p>
    <w:p w14:paraId="7BE546D7" w14:textId="705E1554" w:rsidR="0019648F" w:rsidRPr="002D2A16" w:rsidRDefault="0019648F" w:rsidP="007D5E86">
      <w:pPr>
        <w:spacing w:line="276" w:lineRule="auto"/>
        <w:rPr>
          <w:rFonts w:cs="Arial"/>
        </w:rPr>
      </w:pPr>
      <w:r w:rsidRPr="002D2A16">
        <w:rPr>
          <w:rFonts w:cs="Arial"/>
        </w:rPr>
        <w:t xml:space="preserve">Travel and transport are a key element of the </w:t>
      </w:r>
      <w:r w:rsidR="00342604">
        <w:rPr>
          <w:rFonts w:cs="Arial"/>
        </w:rPr>
        <w:t>T</w:t>
      </w:r>
      <w:r w:rsidRPr="002D2A16">
        <w:rPr>
          <w:rFonts w:cs="Arial"/>
        </w:rPr>
        <w:t xml:space="preserve">rust's carbon emissions footprint reduction goals. By actively reducing car travel to the </w:t>
      </w:r>
      <w:r w:rsidR="00342604">
        <w:rPr>
          <w:rFonts w:cs="Arial"/>
        </w:rPr>
        <w:t>T</w:t>
      </w:r>
      <w:r w:rsidRPr="002D2A16">
        <w:rPr>
          <w:rFonts w:cs="Arial"/>
        </w:rPr>
        <w:t xml:space="preserve">rust's sites, the organisation can alleviate pressure on parking infrastructure while minimising emissions associated with commuting. Supporting colleagues in transitioning to active modes of travel, such as cycling and walking, not only promotes healthier lifestyles but also aligns with sustainability objectives. Initiatives such as providing secure bike storage, incentives for public transport use, and carpooling programs can further facilitate this shift, ultimately contributing to the </w:t>
      </w:r>
      <w:r w:rsidR="00342604">
        <w:rPr>
          <w:rFonts w:cs="Arial"/>
        </w:rPr>
        <w:t>T</w:t>
      </w:r>
      <w:r w:rsidRPr="002D2A16">
        <w:rPr>
          <w:rFonts w:cs="Arial"/>
        </w:rPr>
        <w:t xml:space="preserve">rust's commitment to a </w:t>
      </w:r>
      <w:r w:rsidR="00B93EF8">
        <w:rPr>
          <w:rFonts w:cs="Arial"/>
        </w:rPr>
        <w:t>healthier and more productive sites alongside a more sustainable</w:t>
      </w:r>
      <w:r w:rsidR="00B93EF8" w:rsidRPr="002D2A16">
        <w:rPr>
          <w:rFonts w:cs="Arial"/>
        </w:rPr>
        <w:t xml:space="preserve"> </w:t>
      </w:r>
      <w:r w:rsidRPr="002D2A16">
        <w:rPr>
          <w:rFonts w:cs="Arial"/>
        </w:rPr>
        <w:t>future.</w:t>
      </w:r>
    </w:p>
    <w:p w14:paraId="1269EA74" w14:textId="77777777" w:rsidR="0067112F" w:rsidRDefault="0019648F" w:rsidP="0067112F">
      <w:pPr>
        <w:pStyle w:val="ListParagraph"/>
        <w:numPr>
          <w:ilvl w:val="1"/>
          <w:numId w:val="17"/>
        </w:numPr>
        <w:spacing w:line="276" w:lineRule="auto"/>
        <w:rPr>
          <w:rFonts w:cs="Arial"/>
        </w:rPr>
      </w:pPr>
      <w:r w:rsidRPr="00844995">
        <w:rPr>
          <w:rFonts w:cs="Arial"/>
        </w:rPr>
        <w:t>By September 202</w:t>
      </w:r>
      <w:r w:rsidR="00B25D4B" w:rsidRPr="00844995">
        <w:rPr>
          <w:rFonts w:cs="Arial"/>
        </w:rPr>
        <w:t>6</w:t>
      </w:r>
      <w:r w:rsidRPr="00844995">
        <w:rPr>
          <w:rFonts w:cs="Arial"/>
        </w:rPr>
        <w:t xml:space="preserve">, integrate a comprehensive travel support module (covering active travel, public transport discounts, </w:t>
      </w:r>
      <w:r w:rsidR="00E8281F" w:rsidRPr="00844995">
        <w:rPr>
          <w:rFonts w:cs="Arial"/>
        </w:rPr>
        <w:t>electric vehicle</w:t>
      </w:r>
      <w:r w:rsidRPr="00844995">
        <w:rPr>
          <w:rFonts w:cs="Arial"/>
        </w:rPr>
        <w:t xml:space="preserve"> charging, and lift sharing) into all new staff inductions, with annual evaluation via staff surveys.</w:t>
      </w:r>
    </w:p>
    <w:p w14:paraId="29711631" w14:textId="77777777" w:rsidR="0067112F" w:rsidRDefault="0067112F" w:rsidP="0067112F">
      <w:pPr>
        <w:pStyle w:val="ListParagraph"/>
        <w:spacing w:line="276" w:lineRule="auto"/>
        <w:ind w:left="360"/>
        <w:rPr>
          <w:rFonts w:cs="Arial"/>
        </w:rPr>
      </w:pPr>
    </w:p>
    <w:p w14:paraId="2726AAFF" w14:textId="09B22746" w:rsidR="0067112F" w:rsidRDefault="00007721" w:rsidP="0067112F">
      <w:pPr>
        <w:pStyle w:val="ListParagraph"/>
        <w:numPr>
          <w:ilvl w:val="1"/>
          <w:numId w:val="17"/>
        </w:numPr>
        <w:spacing w:line="276" w:lineRule="auto"/>
        <w:rPr>
          <w:rFonts w:cs="Arial"/>
        </w:rPr>
      </w:pPr>
      <w:r>
        <w:rPr>
          <w:rFonts w:cs="Arial"/>
        </w:rPr>
        <w:br w:type="column"/>
      </w:r>
      <w:r w:rsidR="0019648F" w:rsidRPr="0067112F">
        <w:rPr>
          <w:rFonts w:cs="Arial"/>
        </w:rPr>
        <w:t>By March 202</w:t>
      </w:r>
      <w:r w:rsidR="00B25D4B" w:rsidRPr="0067112F">
        <w:rPr>
          <w:rFonts w:cs="Arial"/>
        </w:rPr>
        <w:t>7</w:t>
      </w:r>
      <w:r w:rsidR="0019648F" w:rsidRPr="0067112F">
        <w:rPr>
          <w:rFonts w:cs="Arial"/>
        </w:rPr>
        <w:t>, roll out personalised commuting plans as appropriate for 100% of new starters, supported by an automated tool or HR-administered process, and track uptake and impact through new joiner surveys by FY 202</w:t>
      </w:r>
      <w:r w:rsidR="00B25D4B" w:rsidRPr="0067112F">
        <w:rPr>
          <w:rFonts w:cs="Arial"/>
        </w:rPr>
        <w:t>7</w:t>
      </w:r>
      <w:r w:rsidR="0019648F" w:rsidRPr="0067112F">
        <w:rPr>
          <w:rFonts w:cs="Arial"/>
        </w:rPr>
        <w:t>/2</w:t>
      </w:r>
      <w:r w:rsidR="00B25D4B" w:rsidRPr="0067112F">
        <w:rPr>
          <w:rFonts w:cs="Arial"/>
        </w:rPr>
        <w:t>8</w:t>
      </w:r>
      <w:r w:rsidR="0019648F" w:rsidRPr="0067112F">
        <w:rPr>
          <w:rFonts w:cs="Arial"/>
        </w:rPr>
        <w:t>.</w:t>
      </w:r>
    </w:p>
    <w:p w14:paraId="117AC73D" w14:textId="77777777" w:rsidR="0067112F" w:rsidRPr="0067112F" w:rsidRDefault="0067112F" w:rsidP="0067112F">
      <w:pPr>
        <w:pStyle w:val="ListParagraph"/>
        <w:rPr>
          <w:rFonts w:cs="Arial"/>
        </w:rPr>
      </w:pPr>
    </w:p>
    <w:p w14:paraId="12EF6673" w14:textId="77777777" w:rsidR="0067112F" w:rsidRDefault="0019648F" w:rsidP="0067112F">
      <w:pPr>
        <w:pStyle w:val="ListParagraph"/>
        <w:numPr>
          <w:ilvl w:val="1"/>
          <w:numId w:val="17"/>
        </w:numPr>
        <w:spacing w:line="276" w:lineRule="auto"/>
        <w:rPr>
          <w:rFonts w:cs="Arial"/>
        </w:rPr>
      </w:pPr>
      <w:r w:rsidRPr="0067112F">
        <w:rPr>
          <w:rFonts w:cs="Arial"/>
        </w:rPr>
        <w:t>By November 202</w:t>
      </w:r>
      <w:r w:rsidR="00B25D4B" w:rsidRPr="0067112F">
        <w:rPr>
          <w:rFonts w:cs="Arial"/>
        </w:rPr>
        <w:t>6</w:t>
      </w:r>
      <w:r w:rsidRPr="0067112F">
        <w:rPr>
          <w:rFonts w:cs="Arial"/>
        </w:rPr>
        <w:t>, implement quarterly business travel emissions reporting by department, with results shared through divisional sustainability leads and a 10% reduction target in high-emitting modes agreed and monitored annually through FY 2027/28.</w:t>
      </w:r>
    </w:p>
    <w:p w14:paraId="053A183B" w14:textId="77777777" w:rsidR="0067112F" w:rsidRPr="0067112F" w:rsidRDefault="0067112F" w:rsidP="0067112F">
      <w:pPr>
        <w:pStyle w:val="ListParagraph"/>
        <w:rPr>
          <w:rFonts w:cs="Arial"/>
        </w:rPr>
      </w:pPr>
    </w:p>
    <w:p w14:paraId="24DC1220" w14:textId="77777777" w:rsidR="0067112F" w:rsidRDefault="0019648F" w:rsidP="0067112F">
      <w:pPr>
        <w:pStyle w:val="ListParagraph"/>
        <w:numPr>
          <w:ilvl w:val="1"/>
          <w:numId w:val="17"/>
        </w:numPr>
        <w:spacing w:line="276" w:lineRule="auto"/>
        <w:rPr>
          <w:rFonts w:cs="Arial"/>
        </w:rPr>
      </w:pPr>
      <w:r w:rsidRPr="0067112F">
        <w:rPr>
          <w:rFonts w:cs="Arial"/>
        </w:rPr>
        <w:t>By December 202</w:t>
      </w:r>
      <w:r w:rsidR="00B25D4B" w:rsidRPr="0067112F">
        <w:rPr>
          <w:rFonts w:cs="Arial"/>
        </w:rPr>
        <w:t>7</w:t>
      </w:r>
      <w:r w:rsidRPr="0067112F">
        <w:rPr>
          <w:rFonts w:cs="Arial"/>
        </w:rPr>
        <w:t>, complete a travel behaviour study across all Trust sites to understand patient and visitor travel patterns and identify at least five interventions to reduce emissions including telehealth, video appointments, transport coordination, or site access improvements.</w:t>
      </w:r>
    </w:p>
    <w:p w14:paraId="29B022CE" w14:textId="77777777" w:rsidR="0067112F" w:rsidRPr="0067112F" w:rsidRDefault="0067112F" w:rsidP="0067112F">
      <w:pPr>
        <w:pStyle w:val="ListParagraph"/>
        <w:rPr>
          <w:rFonts w:cs="Arial"/>
        </w:rPr>
      </w:pPr>
    </w:p>
    <w:p w14:paraId="30D87216" w14:textId="2C3C6ADB" w:rsidR="0019648F" w:rsidRPr="0067112F" w:rsidRDefault="0019648F" w:rsidP="0067112F">
      <w:pPr>
        <w:pStyle w:val="ListParagraph"/>
        <w:numPr>
          <w:ilvl w:val="1"/>
          <w:numId w:val="17"/>
        </w:numPr>
        <w:spacing w:line="276" w:lineRule="auto"/>
        <w:rPr>
          <w:rFonts w:cs="Arial"/>
        </w:rPr>
      </w:pPr>
      <w:r w:rsidRPr="0067112F">
        <w:rPr>
          <w:rFonts w:cs="Arial"/>
        </w:rPr>
        <w:t>By December 202</w:t>
      </w:r>
      <w:r w:rsidR="00B25D4B" w:rsidRPr="0067112F">
        <w:rPr>
          <w:rFonts w:cs="Arial"/>
        </w:rPr>
        <w:t>7</w:t>
      </w:r>
      <w:r w:rsidRPr="0067112F">
        <w:rPr>
          <w:rFonts w:cs="Arial"/>
        </w:rPr>
        <w:t>, publish and begin implementation of a Trust-wide Green Travel Strategy with defined actions to reduce emissions across staff, patient, visitor, and supplier travel, and set a measurable 2030 mode-shift target aligned to NHS Net Zero Travel Framework.</w:t>
      </w:r>
    </w:p>
    <w:p w14:paraId="1F777A32" w14:textId="77777777" w:rsidR="007D5E86" w:rsidRDefault="007D5E86">
      <w:pPr>
        <w:spacing w:line="276" w:lineRule="auto"/>
        <w:rPr>
          <w:rFonts w:cs="Arial"/>
        </w:rPr>
        <w:sectPr w:rsidR="007D5E86" w:rsidSect="00A05C49">
          <w:type w:val="continuous"/>
          <w:pgSz w:w="11906" w:h="16838"/>
          <w:pgMar w:top="1440" w:right="1440" w:bottom="1134" w:left="1440" w:header="850" w:footer="510" w:gutter="0"/>
          <w:pgNumType w:start="0"/>
          <w:cols w:num="2" w:space="708"/>
          <w:titlePg/>
          <w:docGrid w:linePitch="360"/>
        </w:sectPr>
      </w:pPr>
    </w:p>
    <w:p w14:paraId="5D1544D1" w14:textId="1A147FCC" w:rsidR="0019648F" w:rsidRDefault="0019648F">
      <w:pPr>
        <w:spacing w:line="276" w:lineRule="auto"/>
        <w:rPr>
          <w:rFonts w:eastAsiaTheme="majorEastAsia" w:cs="Arial"/>
          <w:b/>
          <w:color w:val="365F91" w:themeColor="accent1" w:themeShade="BF"/>
          <w:szCs w:val="26"/>
        </w:rPr>
      </w:pPr>
      <w:r>
        <w:rPr>
          <w:rFonts w:cs="Arial"/>
        </w:rPr>
        <w:br w:type="page"/>
      </w:r>
    </w:p>
    <w:p w14:paraId="7A9D7CA5" w14:textId="544102CD" w:rsidR="0019648F" w:rsidRPr="002D2A16" w:rsidRDefault="0019648F" w:rsidP="007F39B8">
      <w:pPr>
        <w:pStyle w:val="Heading3"/>
      </w:pPr>
      <w:bookmarkStart w:id="30" w:name="_Toc220447423"/>
      <w:r w:rsidRPr="002D2A16">
        <w:lastRenderedPageBreak/>
        <w:t>Estates and Facilities</w:t>
      </w:r>
      <w:bookmarkEnd w:id="30"/>
    </w:p>
    <w:p w14:paraId="3FA32D10" w14:textId="77777777" w:rsidR="00663E7D" w:rsidRPr="0067112F" w:rsidRDefault="00663E7D" w:rsidP="007F39B8">
      <w:pPr>
        <w:pStyle w:val="Heading3"/>
        <w:sectPr w:rsidR="00663E7D" w:rsidRPr="0067112F" w:rsidSect="00A05C49">
          <w:footerReference w:type="default" r:id="rId33"/>
          <w:type w:val="continuous"/>
          <w:pgSz w:w="11906" w:h="16838"/>
          <w:pgMar w:top="1440" w:right="1440" w:bottom="1134" w:left="1440" w:header="850" w:footer="510" w:gutter="0"/>
          <w:pgNumType w:start="0"/>
          <w:cols w:space="708"/>
          <w:titlePg/>
          <w:docGrid w:linePitch="360"/>
        </w:sectPr>
      </w:pPr>
    </w:p>
    <w:p w14:paraId="06C3D129" w14:textId="38A22646" w:rsidR="0019648F" w:rsidRPr="0067112F" w:rsidRDefault="0019648F" w:rsidP="00663E7D">
      <w:pPr>
        <w:spacing w:line="276" w:lineRule="auto"/>
        <w:rPr>
          <w:rFonts w:cs="Arial"/>
          <w:szCs w:val="24"/>
        </w:rPr>
      </w:pPr>
      <w:r w:rsidRPr="0067112F">
        <w:rPr>
          <w:rFonts w:cs="Arial"/>
          <w:szCs w:val="24"/>
        </w:rPr>
        <w:t xml:space="preserve">Estates and facilities are critical to the </w:t>
      </w:r>
      <w:r w:rsidR="00342604" w:rsidRPr="0067112F">
        <w:rPr>
          <w:rFonts w:cs="Arial"/>
          <w:szCs w:val="24"/>
        </w:rPr>
        <w:t>T</w:t>
      </w:r>
      <w:r w:rsidRPr="0067112F">
        <w:rPr>
          <w:rFonts w:cs="Arial"/>
          <w:szCs w:val="24"/>
        </w:rPr>
        <w:t xml:space="preserve">rust's emissions reduction strategy, particularly as gas use represents a significant source of emissions. Reducing the amount of natural gas we use for </w:t>
      </w:r>
      <w:r w:rsidR="00B93EF8" w:rsidRPr="0067112F">
        <w:rPr>
          <w:rFonts w:cs="Arial"/>
          <w:szCs w:val="24"/>
        </w:rPr>
        <w:t xml:space="preserve">space and hot water </w:t>
      </w:r>
      <w:r w:rsidRPr="0067112F">
        <w:rPr>
          <w:rFonts w:cs="Arial"/>
          <w:szCs w:val="24"/>
        </w:rPr>
        <w:t>heating is a vital step towards decarbonisation, aligning with national initiatives to transition to cleaner</w:t>
      </w:r>
      <w:r w:rsidR="00B93EF8" w:rsidRPr="0067112F">
        <w:rPr>
          <w:rFonts w:cs="Arial"/>
          <w:szCs w:val="24"/>
        </w:rPr>
        <w:t xml:space="preserve"> and more resilient</w:t>
      </w:r>
      <w:r w:rsidRPr="0067112F">
        <w:rPr>
          <w:rFonts w:cs="Arial"/>
          <w:szCs w:val="24"/>
        </w:rPr>
        <w:t xml:space="preserve"> energy sources. Capital investment in modern, energy-efficient infrastructure is essential for this transition</w:t>
      </w:r>
      <w:r w:rsidR="00B93EF8" w:rsidRPr="0067112F">
        <w:rPr>
          <w:rFonts w:cs="Arial"/>
          <w:szCs w:val="24"/>
        </w:rPr>
        <w:t xml:space="preserve"> to</w:t>
      </w:r>
      <w:r w:rsidRPr="0067112F">
        <w:rPr>
          <w:rFonts w:cs="Arial"/>
          <w:szCs w:val="24"/>
        </w:rPr>
        <w:t xml:space="preserve"> reduce emissions </w:t>
      </w:r>
      <w:r w:rsidR="00B93EF8" w:rsidRPr="0067112F">
        <w:rPr>
          <w:rFonts w:cs="Arial"/>
          <w:szCs w:val="24"/>
        </w:rPr>
        <w:t>and</w:t>
      </w:r>
      <w:r w:rsidRPr="0067112F">
        <w:rPr>
          <w:rFonts w:cs="Arial"/>
          <w:szCs w:val="24"/>
        </w:rPr>
        <w:t xml:space="preserve"> enhance the overall operational efficiency of the </w:t>
      </w:r>
      <w:r w:rsidR="00342604" w:rsidRPr="0067112F">
        <w:rPr>
          <w:rFonts w:cs="Arial"/>
          <w:szCs w:val="24"/>
        </w:rPr>
        <w:t>T</w:t>
      </w:r>
      <w:r w:rsidRPr="0067112F">
        <w:rPr>
          <w:rFonts w:cs="Arial"/>
          <w:szCs w:val="24"/>
        </w:rPr>
        <w:t xml:space="preserve">rust. </w:t>
      </w:r>
      <w:r w:rsidR="00913C08" w:rsidRPr="0067112F">
        <w:rPr>
          <w:rFonts w:cs="Arial"/>
          <w:szCs w:val="24"/>
        </w:rPr>
        <w:t xml:space="preserve">A strategic approach to the estate portfolio, including the identification and consolidation of underutilised or inefficient sites, can further drive operational efficiency and reduce the environmental footprint. </w:t>
      </w:r>
      <w:r w:rsidR="00B93EF8" w:rsidRPr="0067112F">
        <w:rPr>
          <w:rFonts w:cs="Arial"/>
          <w:szCs w:val="24"/>
        </w:rPr>
        <w:t>I</w:t>
      </w:r>
      <w:r w:rsidRPr="0067112F">
        <w:rPr>
          <w:rFonts w:cs="Arial"/>
          <w:szCs w:val="24"/>
        </w:rPr>
        <w:t>nvesting in healthier buildings contributes significantly to the well-being of both patients and colleagues. Improved indoor air quality, natural lighting, and ergonomic designs can lead to better health outcomes</w:t>
      </w:r>
      <w:r w:rsidR="00913C08" w:rsidRPr="0067112F">
        <w:rPr>
          <w:rFonts w:cs="Arial"/>
          <w:szCs w:val="24"/>
        </w:rPr>
        <w:t xml:space="preserve"> for patients</w:t>
      </w:r>
      <w:r w:rsidRPr="0067112F">
        <w:rPr>
          <w:rFonts w:cs="Arial"/>
          <w:szCs w:val="24"/>
        </w:rPr>
        <w:t xml:space="preserve"> and enhance</w:t>
      </w:r>
      <w:r w:rsidR="00913C08" w:rsidRPr="0067112F">
        <w:rPr>
          <w:rFonts w:cs="Arial"/>
          <w:szCs w:val="24"/>
        </w:rPr>
        <w:t>d</w:t>
      </w:r>
      <w:r w:rsidRPr="0067112F">
        <w:rPr>
          <w:rFonts w:cs="Arial"/>
          <w:szCs w:val="24"/>
        </w:rPr>
        <w:t xml:space="preserve"> </w:t>
      </w:r>
      <w:r w:rsidR="00913C08" w:rsidRPr="0067112F">
        <w:rPr>
          <w:rFonts w:cs="Arial"/>
          <w:szCs w:val="24"/>
        </w:rPr>
        <w:t xml:space="preserve">wellbeing and </w:t>
      </w:r>
      <w:r w:rsidRPr="0067112F">
        <w:rPr>
          <w:rFonts w:cs="Arial"/>
          <w:szCs w:val="24"/>
        </w:rPr>
        <w:t>productivity</w:t>
      </w:r>
      <w:r w:rsidR="00913C08" w:rsidRPr="0067112F">
        <w:rPr>
          <w:rFonts w:cs="Arial"/>
          <w:szCs w:val="24"/>
        </w:rPr>
        <w:t xml:space="preserve"> for colleagues</w:t>
      </w:r>
      <w:r w:rsidRPr="0067112F">
        <w:rPr>
          <w:rFonts w:cs="Arial"/>
          <w:szCs w:val="24"/>
        </w:rPr>
        <w:t xml:space="preserve">. By prioritising these initiatives, the </w:t>
      </w:r>
      <w:r w:rsidR="00342604" w:rsidRPr="0067112F">
        <w:rPr>
          <w:rFonts w:cs="Arial"/>
          <w:szCs w:val="24"/>
        </w:rPr>
        <w:t>T</w:t>
      </w:r>
      <w:r w:rsidRPr="0067112F">
        <w:rPr>
          <w:rFonts w:cs="Arial"/>
          <w:szCs w:val="24"/>
        </w:rPr>
        <w:t xml:space="preserve">rust can create a more sustainable environment that supports its goals while </w:t>
      </w:r>
      <w:r w:rsidR="00B93EF8" w:rsidRPr="0067112F">
        <w:rPr>
          <w:rFonts w:cs="Arial"/>
          <w:szCs w:val="24"/>
        </w:rPr>
        <w:t xml:space="preserve">supporting </w:t>
      </w:r>
      <w:r w:rsidRPr="0067112F">
        <w:rPr>
          <w:rFonts w:cs="Arial"/>
          <w:szCs w:val="24"/>
        </w:rPr>
        <w:t>a healthier community.</w:t>
      </w:r>
    </w:p>
    <w:p w14:paraId="5848828E" w14:textId="77777777" w:rsidR="0067112F" w:rsidRPr="0067112F" w:rsidRDefault="0019648F" w:rsidP="0067112F">
      <w:pPr>
        <w:pStyle w:val="ListParagraph"/>
        <w:numPr>
          <w:ilvl w:val="1"/>
          <w:numId w:val="18"/>
        </w:numPr>
        <w:spacing w:line="276" w:lineRule="auto"/>
        <w:rPr>
          <w:rStyle w:val="Emphasis"/>
          <w:rFonts w:cs="Arial"/>
          <w:i w:val="0"/>
          <w:iCs w:val="0"/>
          <w:szCs w:val="24"/>
        </w:rPr>
      </w:pPr>
      <w:r w:rsidRPr="0067112F">
        <w:rPr>
          <w:rStyle w:val="Emphasis"/>
          <w:rFonts w:cs="Arial"/>
          <w:i w:val="0"/>
          <w:szCs w:val="24"/>
        </w:rPr>
        <w:t>From April 202</w:t>
      </w:r>
      <w:r w:rsidR="00B25D4B" w:rsidRPr="0067112F">
        <w:rPr>
          <w:rStyle w:val="Emphasis"/>
          <w:rFonts w:cs="Arial"/>
          <w:i w:val="0"/>
          <w:szCs w:val="24"/>
        </w:rPr>
        <w:t>6</w:t>
      </w:r>
      <w:r w:rsidRPr="0067112F">
        <w:rPr>
          <w:rStyle w:val="Emphasis"/>
          <w:rFonts w:cs="Arial"/>
          <w:i w:val="0"/>
          <w:szCs w:val="24"/>
        </w:rPr>
        <w:t>, require that no new construction utilises fossil fuels for space heating or water heating.</w:t>
      </w:r>
    </w:p>
    <w:p w14:paraId="611CF611" w14:textId="77777777" w:rsidR="0067112F" w:rsidRDefault="0067112F" w:rsidP="0067112F">
      <w:pPr>
        <w:pStyle w:val="ListParagraph"/>
        <w:spacing w:line="276" w:lineRule="auto"/>
        <w:ind w:left="360"/>
        <w:rPr>
          <w:rFonts w:cs="Arial"/>
          <w:szCs w:val="24"/>
        </w:rPr>
      </w:pPr>
    </w:p>
    <w:p w14:paraId="74154409" w14:textId="77777777" w:rsidR="0067112F" w:rsidRDefault="0019648F" w:rsidP="0067112F">
      <w:pPr>
        <w:pStyle w:val="ListParagraph"/>
        <w:numPr>
          <w:ilvl w:val="1"/>
          <w:numId w:val="18"/>
        </w:numPr>
        <w:spacing w:line="276" w:lineRule="auto"/>
        <w:rPr>
          <w:rFonts w:cs="Arial"/>
          <w:szCs w:val="24"/>
        </w:rPr>
      </w:pPr>
      <w:r w:rsidRPr="0067112F">
        <w:rPr>
          <w:rFonts w:cs="Arial"/>
          <w:szCs w:val="24"/>
        </w:rPr>
        <w:t>From April 202</w:t>
      </w:r>
      <w:r w:rsidR="00B25D4B" w:rsidRPr="0067112F">
        <w:rPr>
          <w:rFonts w:cs="Arial"/>
          <w:szCs w:val="24"/>
        </w:rPr>
        <w:t>6</w:t>
      </w:r>
      <w:r w:rsidRPr="0067112F">
        <w:rPr>
          <w:rFonts w:cs="Arial"/>
          <w:szCs w:val="24"/>
        </w:rPr>
        <w:t xml:space="preserve"> onward, mandate that all new capital developments meet a minimum BREEAM Excellent or equivalent sustainability certification, with board-approved design briefs referencing NHS Net Zero Building Standards.</w:t>
      </w:r>
    </w:p>
    <w:p w14:paraId="6EDFF1E5" w14:textId="77777777" w:rsidR="0067112F" w:rsidRPr="0067112F" w:rsidRDefault="0067112F" w:rsidP="0067112F">
      <w:pPr>
        <w:pStyle w:val="ListParagraph"/>
        <w:rPr>
          <w:rStyle w:val="Emphasis"/>
          <w:rFonts w:cs="Arial"/>
          <w:i w:val="0"/>
          <w:szCs w:val="24"/>
        </w:rPr>
      </w:pPr>
    </w:p>
    <w:p w14:paraId="0B98C401" w14:textId="77777777" w:rsidR="0067112F" w:rsidRPr="0067112F" w:rsidRDefault="0019648F" w:rsidP="0067112F">
      <w:pPr>
        <w:pStyle w:val="ListParagraph"/>
        <w:numPr>
          <w:ilvl w:val="1"/>
          <w:numId w:val="18"/>
        </w:numPr>
        <w:spacing w:line="276" w:lineRule="auto"/>
        <w:rPr>
          <w:rStyle w:val="Emphasis"/>
          <w:rFonts w:cs="Arial"/>
          <w:i w:val="0"/>
          <w:iCs w:val="0"/>
          <w:szCs w:val="24"/>
        </w:rPr>
      </w:pPr>
      <w:r w:rsidRPr="0067112F">
        <w:rPr>
          <w:rStyle w:val="Emphasis"/>
          <w:rFonts w:cs="Arial"/>
          <w:i w:val="0"/>
          <w:szCs w:val="24"/>
        </w:rPr>
        <w:t>By March 202</w:t>
      </w:r>
      <w:r w:rsidR="00B25D4B" w:rsidRPr="0067112F">
        <w:rPr>
          <w:rStyle w:val="Emphasis"/>
          <w:rFonts w:cs="Arial"/>
          <w:i w:val="0"/>
          <w:szCs w:val="24"/>
        </w:rPr>
        <w:t>7</w:t>
      </w:r>
      <w:r w:rsidRPr="0067112F">
        <w:rPr>
          <w:rStyle w:val="Emphasis"/>
          <w:rFonts w:cs="Arial"/>
          <w:i w:val="0"/>
          <w:szCs w:val="24"/>
        </w:rPr>
        <w:t xml:space="preserve">, review opportunities for reducing waste generation through changes to supply chain and procurement contracts. </w:t>
      </w:r>
    </w:p>
    <w:p w14:paraId="7EA4103C" w14:textId="77777777" w:rsidR="0067112F" w:rsidRPr="0067112F" w:rsidRDefault="0067112F" w:rsidP="0067112F">
      <w:pPr>
        <w:pStyle w:val="ListParagraph"/>
        <w:rPr>
          <w:rStyle w:val="Emphasis"/>
          <w:rFonts w:cs="Arial"/>
          <w:i w:val="0"/>
          <w:szCs w:val="24"/>
        </w:rPr>
      </w:pPr>
    </w:p>
    <w:p w14:paraId="68DEA3A1" w14:textId="77777777" w:rsidR="0067112F" w:rsidRPr="0067112F" w:rsidRDefault="0019648F" w:rsidP="0067112F">
      <w:pPr>
        <w:pStyle w:val="ListParagraph"/>
        <w:numPr>
          <w:ilvl w:val="1"/>
          <w:numId w:val="18"/>
        </w:numPr>
        <w:spacing w:line="276" w:lineRule="auto"/>
        <w:rPr>
          <w:rStyle w:val="Emphasis"/>
          <w:rFonts w:cs="Arial"/>
          <w:i w:val="0"/>
          <w:iCs w:val="0"/>
          <w:szCs w:val="24"/>
        </w:rPr>
      </w:pPr>
      <w:r w:rsidRPr="0067112F">
        <w:rPr>
          <w:rStyle w:val="Emphasis"/>
          <w:rFonts w:cs="Arial"/>
          <w:i w:val="0"/>
          <w:szCs w:val="24"/>
        </w:rPr>
        <w:t>By December 202</w:t>
      </w:r>
      <w:r w:rsidR="00B25D4B" w:rsidRPr="0067112F">
        <w:rPr>
          <w:rStyle w:val="Emphasis"/>
          <w:rFonts w:cs="Arial"/>
          <w:i w:val="0"/>
          <w:szCs w:val="24"/>
        </w:rPr>
        <w:t>7</w:t>
      </w:r>
      <w:r w:rsidRPr="0067112F">
        <w:rPr>
          <w:rStyle w:val="Emphasis"/>
          <w:rFonts w:cs="Arial"/>
          <w:i w:val="0"/>
          <w:szCs w:val="24"/>
        </w:rPr>
        <w:t>, complete a full energy efficiency audit across all Trust-owned buildings, identifying at least 10 priority interventions with a combined potential savings target of 10% in energy demand by 2028.</w:t>
      </w:r>
    </w:p>
    <w:p w14:paraId="40384E66" w14:textId="77777777" w:rsidR="0067112F" w:rsidRPr="0067112F" w:rsidRDefault="0067112F" w:rsidP="0067112F">
      <w:pPr>
        <w:pStyle w:val="ListParagraph"/>
        <w:rPr>
          <w:rFonts w:cs="Arial"/>
          <w:szCs w:val="24"/>
        </w:rPr>
      </w:pPr>
    </w:p>
    <w:p w14:paraId="2822BA31" w14:textId="77777777" w:rsidR="0067112F" w:rsidRDefault="0019648F" w:rsidP="0067112F">
      <w:pPr>
        <w:pStyle w:val="ListParagraph"/>
        <w:numPr>
          <w:ilvl w:val="1"/>
          <w:numId w:val="18"/>
        </w:numPr>
        <w:spacing w:line="276" w:lineRule="auto"/>
        <w:rPr>
          <w:rFonts w:cs="Arial"/>
          <w:szCs w:val="24"/>
        </w:rPr>
      </w:pPr>
      <w:r w:rsidRPr="0067112F">
        <w:rPr>
          <w:rFonts w:cs="Arial"/>
          <w:szCs w:val="24"/>
        </w:rPr>
        <w:t>By March 202</w:t>
      </w:r>
      <w:r w:rsidR="00B25D4B" w:rsidRPr="0067112F">
        <w:rPr>
          <w:rFonts w:cs="Arial"/>
          <w:szCs w:val="24"/>
        </w:rPr>
        <w:t>8</w:t>
      </w:r>
      <w:r w:rsidRPr="0067112F">
        <w:rPr>
          <w:rFonts w:cs="Arial"/>
          <w:szCs w:val="24"/>
        </w:rPr>
        <w:t>, submit at least four funding applications to relevant public or private sector schemes to secure a minimum of £10 million in funding towards heat decarbonisation and decentralised electricity generation across the hospital estate.</w:t>
      </w:r>
    </w:p>
    <w:p w14:paraId="574DAD3C" w14:textId="77777777" w:rsidR="0067112F" w:rsidRPr="0067112F" w:rsidRDefault="0067112F" w:rsidP="0067112F">
      <w:pPr>
        <w:pStyle w:val="ListParagraph"/>
        <w:rPr>
          <w:rFonts w:cs="Arial"/>
          <w:szCs w:val="24"/>
        </w:rPr>
      </w:pPr>
    </w:p>
    <w:p w14:paraId="3386C5AE" w14:textId="2C9696C4" w:rsidR="00663E7D" w:rsidRPr="0067112F" w:rsidRDefault="0019648F" w:rsidP="0067112F">
      <w:pPr>
        <w:pStyle w:val="ListParagraph"/>
        <w:numPr>
          <w:ilvl w:val="1"/>
          <w:numId w:val="18"/>
        </w:numPr>
        <w:spacing w:line="276" w:lineRule="auto"/>
        <w:rPr>
          <w:rFonts w:cs="Arial"/>
          <w:szCs w:val="24"/>
        </w:rPr>
        <w:sectPr w:rsidR="00663E7D" w:rsidRPr="0067112F" w:rsidSect="00A05C49">
          <w:type w:val="continuous"/>
          <w:pgSz w:w="11906" w:h="16838"/>
          <w:pgMar w:top="1440" w:right="1440" w:bottom="1134" w:left="1440" w:header="850" w:footer="510" w:gutter="0"/>
          <w:pgNumType w:start="0"/>
          <w:cols w:num="2" w:space="708"/>
          <w:titlePg/>
          <w:docGrid w:linePitch="360"/>
        </w:sectPr>
      </w:pPr>
      <w:r w:rsidRPr="0067112F">
        <w:rPr>
          <w:rFonts w:cs="Arial"/>
          <w:szCs w:val="24"/>
        </w:rPr>
        <w:t>By March 202</w:t>
      </w:r>
      <w:r w:rsidR="00B25D4B" w:rsidRPr="0067112F">
        <w:rPr>
          <w:rFonts w:cs="Arial"/>
          <w:szCs w:val="24"/>
        </w:rPr>
        <w:t>8</w:t>
      </w:r>
      <w:r w:rsidRPr="0067112F">
        <w:rPr>
          <w:rFonts w:cs="Arial"/>
          <w:szCs w:val="24"/>
        </w:rPr>
        <w:t>, install smart energy metering and monitoring systems in 100% of high-consumption buildings, and implement a dashboard for estates teams to track usage and identify reduction opportunities</w:t>
      </w:r>
      <w:r w:rsidR="00663E7D" w:rsidRPr="0067112F">
        <w:rPr>
          <w:rFonts w:cs="Arial"/>
          <w:szCs w:val="24"/>
        </w:rPr>
        <w:t>.</w:t>
      </w:r>
    </w:p>
    <w:p w14:paraId="6A740959" w14:textId="72048C49" w:rsidR="0019648F" w:rsidRPr="00663E7D" w:rsidRDefault="0019648F" w:rsidP="00663E7D">
      <w:pPr>
        <w:spacing w:line="360" w:lineRule="auto"/>
        <w:rPr>
          <w:rFonts w:cs="Arial"/>
        </w:rPr>
      </w:pPr>
    </w:p>
    <w:p w14:paraId="44F709D5" w14:textId="77777777" w:rsidR="0019648F" w:rsidRDefault="0019648F">
      <w:pPr>
        <w:spacing w:line="276" w:lineRule="auto"/>
        <w:rPr>
          <w:rFonts w:eastAsiaTheme="majorEastAsia" w:cs="Arial"/>
          <w:b/>
          <w:color w:val="365F91" w:themeColor="accent1" w:themeShade="BF"/>
          <w:szCs w:val="26"/>
        </w:rPr>
      </w:pPr>
      <w:r>
        <w:rPr>
          <w:rFonts w:cs="Arial"/>
        </w:rPr>
        <w:br w:type="page"/>
      </w:r>
    </w:p>
    <w:p w14:paraId="00978309" w14:textId="306F9D6C" w:rsidR="0019648F" w:rsidRPr="002D2A16" w:rsidRDefault="0019648F" w:rsidP="00162049">
      <w:pPr>
        <w:pStyle w:val="Heading3"/>
      </w:pPr>
      <w:bookmarkStart w:id="31" w:name="_Toc220447424"/>
      <w:r w:rsidRPr="002D2A16">
        <w:lastRenderedPageBreak/>
        <w:t>Supply Chain and Procurement</w:t>
      </w:r>
      <w:bookmarkEnd w:id="31"/>
    </w:p>
    <w:p w14:paraId="091307D1" w14:textId="77777777" w:rsidR="00E8281F" w:rsidRDefault="00E8281F" w:rsidP="00162049">
      <w:pPr>
        <w:pStyle w:val="Heading3"/>
        <w:sectPr w:rsidR="00E8281F" w:rsidSect="00A05C49">
          <w:footerReference w:type="default" r:id="rId34"/>
          <w:type w:val="continuous"/>
          <w:pgSz w:w="11906" w:h="16838"/>
          <w:pgMar w:top="1440" w:right="1440" w:bottom="1134" w:left="1440" w:header="850" w:footer="510" w:gutter="0"/>
          <w:pgNumType w:start="0"/>
          <w:cols w:space="708"/>
          <w:titlePg/>
          <w:docGrid w:linePitch="360"/>
        </w:sectPr>
      </w:pPr>
    </w:p>
    <w:p w14:paraId="4F8AB2BB" w14:textId="44443E33" w:rsidR="0019648F" w:rsidRPr="0067112F" w:rsidRDefault="0019648F" w:rsidP="00E8281F">
      <w:pPr>
        <w:spacing w:line="276" w:lineRule="auto"/>
        <w:rPr>
          <w:rFonts w:cs="Arial"/>
          <w:szCs w:val="24"/>
        </w:rPr>
      </w:pPr>
      <w:r w:rsidRPr="00E8281F">
        <w:rPr>
          <w:rFonts w:cs="Arial"/>
        </w:rPr>
        <w:t xml:space="preserve">Supply </w:t>
      </w:r>
      <w:r w:rsidRPr="0067112F">
        <w:rPr>
          <w:rFonts w:cs="Arial"/>
          <w:szCs w:val="24"/>
        </w:rPr>
        <w:t xml:space="preserve">chain and procurement processes are </w:t>
      </w:r>
      <w:r w:rsidR="00B93EF8" w:rsidRPr="0067112F">
        <w:rPr>
          <w:rFonts w:cs="Arial"/>
          <w:szCs w:val="24"/>
        </w:rPr>
        <w:t xml:space="preserve">crucial </w:t>
      </w:r>
      <w:r w:rsidRPr="0067112F">
        <w:rPr>
          <w:rFonts w:cs="Arial"/>
          <w:szCs w:val="24"/>
        </w:rPr>
        <w:t xml:space="preserve">to reducing emissions and ensuring </w:t>
      </w:r>
      <w:r w:rsidR="00B93EF8" w:rsidRPr="0067112F">
        <w:rPr>
          <w:rFonts w:cs="Arial"/>
          <w:szCs w:val="24"/>
        </w:rPr>
        <w:t xml:space="preserve">that </w:t>
      </w:r>
      <w:r w:rsidRPr="0067112F">
        <w:rPr>
          <w:rFonts w:cs="Arial"/>
          <w:szCs w:val="24"/>
        </w:rPr>
        <w:t>suppliers contribute meaningfully to social value. Effective stock management practices help prevent over-purchasing</w:t>
      </w:r>
      <w:r w:rsidR="00B93EF8" w:rsidRPr="0067112F">
        <w:rPr>
          <w:rFonts w:cs="Arial"/>
          <w:szCs w:val="24"/>
        </w:rPr>
        <w:t xml:space="preserve"> and </w:t>
      </w:r>
      <w:r w:rsidRPr="0067112F">
        <w:rPr>
          <w:rFonts w:cs="Arial"/>
          <w:szCs w:val="24"/>
        </w:rPr>
        <w:t xml:space="preserve">reduce waste. Contract management also plays a vital role, providing the framework to hold suppliers accountable to their sustainability commitments. By establishing clear expectations and monitoring supplier performance, the </w:t>
      </w:r>
      <w:r w:rsidR="00342604" w:rsidRPr="0067112F">
        <w:rPr>
          <w:rFonts w:cs="Arial"/>
          <w:szCs w:val="24"/>
        </w:rPr>
        <w:t>T</w:t>
      </w:r>
      <w:r w:rsidRPr="0067112F">
        <w:rPr>
          <w:rFonts w:cs="Arial"/>
          <w:szCs w:val="24"/>
        </w:rPr>
        <w:t xml:space="preserve">rust can ensure that partners adhere to </w:t>
      </w:r>
      <w:r w:rsidR="00B93EF8" w:rsidRPr="0067112F">
        <w:rPr>
          <w:rFonts w:cs="Arial"/>
          <w:szCs w:val="24"/>
        </w:rPr>
        <w:t xml:space="preserve">shared </w:t>
      </w:r>
      <w:r w:rsidRPr="0067112F">
        <w:rPr>
          <w:rFonts w:cs="Arial"/>
          <w:szCs w:val="24"/>
        </w:rPr>
        <w:t xml:space="preserve">environmental and social standards, such as minimising packaging waste, sourcing responsibly, and reducing carbon footprints. These actions not only support the </w:t>
      </w:r>
      <w:r w:rsidR="00342604" w:rsidRPr="0067112F">
        <w:rPr>
          <w:rFonts w:cs="Arial"/>
          <w:szCs w:val="24"/>
        </w:rPr>
        <w:t>T</w:t>
      </w:r>
      <w:r w:rsidRPr="0067112F">
        <w:rPr>
          <w:rFonts w:cs="Arial"/>
          <w:szCs w:val="24"/>
        </w:rPr>
        <w:t>rust’s sustainability goals but also build stronger partnerships with suppliers who share a commitment to social value, helping build a resilient and environmentally conscious supply chain.</w:t>
      </w:r>
    </w:p>
    <w:p w14:paraId="1CBC83D9" w14:textId="77777777" w:rsidR="0067112F" w:rsidRDefault="0019648F" w:rsidP="0067112F">
      <w:pPr>
        <w:pStyle w:val="ListParagraph"/>
        <w:numPr>
          <w:ilvl w:val="1"/>
          <w:numId w:val="23"/>
        </w:numPr>
        <w:spacing w:line="276" w:lineRule="auto"/>
        <w:rPr>
          <w:rFonts w:eastAsia="Times New Roman" w:cs="Arial"/>
          <w:szCs w:val="24"/>
        </w:rPr>
      </w:pPr>
      <w:r w:rsidRPr="0067112F">
        <w:rPr>
          <w:rFonts w:eastAsia="Times New Roman" w:cs="Arial"/>
          <w:szCs w:val="24"/>
        </w:rPr>
        <w:t>By April 202</w:t>
      </w:r>
      <w:r w:rsidR="00B25D4B" w:rsidRPr="0067112F">
        <w:rPr>
          <w:rFonts w:eastAsia="Times New Roman" w:cs="Arial"/>
          <w:szCs w:val="24"/>
        </w:rPr>
        <w:t>7</w:t>
      </w:r>
      <w:r w:rsidRPr="0067112F">
        <w:rPr>
          <w:rFonts w:eastAsia="Times New Roman" w:cs="Arial"/>
          <w:szCs w:val="24"/>
        </w:rPr>
        <w:t>, ensure 100% of all office and clinical paper products procured meet closed-loop or FSC-certified recyclable standards, with compliance tracked through supplier frameworks and internal audits.</w:t>
      </w:r>
    </w:p>
    <w:p w14:paraId="2AA9BA35" w14:textId="77777777" w:rsidR="0067112F" w:rsidRDefault="0067112F" w:rsidP="0067112F">
      <w:pPr>
        <w:pStyle w:val="ListParagraph"/>
        <w:spacing w:line="276" w:lineRule="auto"/>
        <w:ind w:left="360"/>
        <w:rPr>
          <w:rFonts w:eastAsia="Times New Roman" w:cs="Arial"/>
          <w:szCs w:val="24"/>
        </w:rPr>
      </w:pPr>
    </w:p>
    <w:p w14:paraId="04608543" w14:textId="77777777" w:rsidR="0067112F" w:rsidRDefault="0067112F" w:rsidP="0067112F">
      <w:pPr>
        <w:pStyle w:val="ListParagraph"/>
        <w:numPr>
          <w:ilvl w:val="1"/>
          <w:numId w:val="23"/>
        </w:numPr>
        <w:spacing w:line="276" w:lineRule="auto"/>
        <w:rPr>
          <w:rFonts w:eastAsia="Times New Roman" w:cs="Arial"/>
          <w:szCs w:val="24"/>
        </w:rPr>
      </w:pPr>
      <w:r>
        <w:rPr>
          <w:rFonts w:eastAsia="Times New Roman" w:cs="Arial"/>
          <w:szCs w:val="24"/>
        </w:rPr>
        <w:br w:type="column"/>
      </w:r>
      <w:r w:rsidR="0019648F" w:rsidRPr="0067112F">
        <w:rPr>
          <w:rFonts w:eastAsia="Times New Roman" w:cs="Arial"/>
          <w:szCs w:val="24"/>
        </w:rPr>
        <w:t>By September 202</w:t>
      </w:r>
      <w:r w:rsidR="00B25D4B" w:rsidRPr="0067112F">
        <w:rPr>
          <w:rFonts w:eastAsia="Times New Roman" w:cs="Arial"/>
          <w:szCs w:val="24"/>
        </w:rPr>
        <w:t>7</w:t>
      </w:r>
      <w:r w:rsidR="0019648F" w:rsidRPr="0067112F">
        <w:rPr>
          <w:rFonts w:eastAsia="Times New Roman" w:cs="Arial"/>
          <w:szCs w:val="24"/>
        </w:rPr>
        <w:t>, embed a standardised process across all new contracts to monitor supplier delivery against sustainability and social value KPIs, with biannual reporting to procurement leads and sustainability board.</w:t>
      </w:r>
    </w:p>
    <w:p w14:paraId="05E50168" w14:textId="77777777" w:rsidR="0067112F" w:rsidRPr="0067112F" w:rsidRDefault="0067112F" w:rsidP="0067112F">
      <w:pPr>
        <w:pStyle w:val="ListParagraph"/>
        <w:rPr>
          <w:rFonts w:eastAsia="Times New Roman" w:cs="Arial"/>
          <w:szCs w:val="24"/>
        </w:rPr>
      </w:pPr>
    </w:p>
    <w:p w14:paraId="5E0805A2" w14:textId="77777777" w:rsidR="0067112F" w:rsidRDefault="0019648F" w:rsidP="0067112F">
      <w:pPr>
        <w:pStyle w:val="ListParagraph"/>
        <w:numPr>
          <w:ilvl w:val="1"/>
          <w:numId w:val="23"/>
        </w:numPr>
        <w:spacing w:line="276" w:lineRule="auto"/>
        <w:rPr>
          <w:rFonts w:eastAsia="Times New Roman" w:cs="Arial"/>
          <w:szCs w:val="24"/>
        </w:rPr>
      </w:pPr>
      <w:r w:rsidRPr="0067112F">
        <w:rPr>
          <w:rFonts w:eastAsia="Times New Roman" w:cs="Arial"/>
          <w:szCs w:val="24"/>
        </w:rPr>
        <w:t>By December 202</w:t>
      </w:r>
      <w:r w:rsidR="00B25D4B" w:rsidRPr="0067112F">
        <w:rPr>
          <w:rFonts w:eastAsia="Times New Roman" w:cs="Arial"/>
          <w:szCs w:val="24"/>
        </w:rPr>
        <w:t>7</w:t>
      </w:r>
      <w:r w:rsidRPr="0067112F">
        <w:rPr>
          <w:rFonts w:eastAsia="Times New Roman" w:cs="Arial"/>
          <w:szCs w:val="24"/>
        </w:rPr>
        <w:t>, complete a gap analysis against ISO 20400 sustainable procurement guidelines, and scope opportunities to address key identified gaps or complete arising required training.</w:t>
      </w:r>
    </w:p>
    <w:p w14:paraId="74CD05B2" w14:textId="77777777" w:rsidR="0067112F" w:rsidRPr="0067112F" w:rsidRDefault="0067112F" w:rsidP="0067112F">
      <w:pPr>
        <w:pStyle w:val="ListParagraph"/>
        <w:rPr>
          <w:rFonts w:eastAsia="Times New Roman" w:cs="Arial"/>
          <w:szCs w:val="24"/>
        </w:rPr>
      </w:pPr>
    </w:p>
    <w:p w14:paraId="2653AE3E" w14:textId="77777777" w:rsidR="0067112F" w:rsidRDefault="0019648F" w:rsidP="0067112F">
      <w:pPr>
        <w:pStyle w:val="ListParagraph"/>
        <w:numPr>
          <w:ilvl w:val="1"/>
          <w:numId w:val="23"/>
        </w:numPr>
        <w:spacing w:line="276" w:lineRule="auto"/>
        <w:rPr>
          <w:rFonts w:eastAsia="Times New Roman" w:cs="Arial"/>
          <w:szCs w:val="24"/>
        </w:rPr>
      </w:pPr>
      <w:r w:rsidRPr="0067112F">
        <w:rPr>
          <w:rFonts w:eastAsia="Times New Roman" w:cs="Arial"/>
          <w:szCs w:val="24"/>
        </w:rPr>
        <w:t>By March 202</w:t>
      </w:r>
      <w:r w:rsidR="00B25D4B" w:rsidRPr="0067112F">
        <w:rPr>
          <w:rFonts w:eastAsia="Times New Roman" w:cs="Arial"/>
          <w:szCs w:val="24"/>
        </w:rPr>
        <w:t>8</w:t>
      </w:r>
      <w:r w:rsidRPr="0067112F">
        <w:rPr>
          <w:rFonts w:eastAsia="Times New Roman" w:cs="Arial"/>
          <w:szCs w:val="24"/>
        </w:rPr>
        <w:t>, implement a robust digital system to monitor key performance indicators (KPIs) associated with NHS Net Zero Supplier Roadmap requirements, with training provided to procurement and contract management teams to ensure effective contract management and continuous improvement.</w:t>
      </w:r>
    </w:p>
    <w:p w14:paraId="73503D96" w14:textId="77777777" w:rsidR="0067112F" w:rsidRPr="0067112F" w:rsidRDefault="0067112F" w:rsidP="0067112F">
      <w:pPr>
        <w:pStyle w:val="ListParagraph"/>
        <w:rPr>
          <w:rFonts w:eastAsia="Times New Roman" w:cs="Arial"/>
          <w:szCs w:val="24"/>
        </w:rPr>
      </w:pPr>
    </w:p>
    <w:p w14:paraId="1597A921" w14:textId="3D9F60DC" w:rsidR="0019648F" w:rsidRPr="0067112F" w:rsidRDefault="0019648F" w:rsidP="0067112F">
      <w:pPr>
        <w:pStyle w:val="ListParagraph"/>
        <w:numPr>
          <w:ilvl w:val="1"/>
          <w:numId w:val="23"/>
        </w:numPr>
        <w:spacing w:line="276" w:lineRule="auto"/>
        <w:rPr>
          <w:rFonts w:eastAsia="Times New Roman" w:cs="Arial"/>
          <w:szCs w:val="24"/>
        </w:rPr>
      </w:pPr>
      <w:r w:rsidRPr="0067112F">
        <w:rPr>
          <w:rFonts w:eastAsia="Times New Roman" w:cs="Arial"/>
          <w:szCs w:val="24"/>
        </w:rPr>
        <w:t>From 202</w:t>
      </w:r>
      <w:r w:rsidR="00B25D4B" w:rsidRPr="0067112F">
        <w:rPr>
          <w:rFonts w:eastAsia="Times New Roman" w:cs="Arial"/>
          <w:szCs w:val="24"/>
        </w:rPr>
        <w:t>7</w:t>
      </w:r>
      <w:r w:rsidRPr="0067112F">
        <w:rPr>
          <w:rFonts w:eastAsia="Times New Roman" w:cs="Arial"/>
          <w:szCs w:val="24"/>
        </w:rPr>
        <w:t>/2</w:t>
      </w:r>
      <w:r w:rsidR="00B25D4B" w:rsidRPr="0067112F">
        <w:rPr>
          <w:rFonts w:eastAsia="Times New Roman" w:cs="Arial"/>
          <w:szCs w:val="24"/>
        </w:rPr>
        <w:t>8</w:t>
      </w:r>
      <w:r w:rsidRPr="0067112F">
        <w:rPr>
          <w:rFonts w:eastAsia="Times New Roman" w:cs="Arial"/>
          <w:szCs w:val="24"/>
        </w:rPr>
        <w:t xml:space="preserve"> onward, publish an annual </w:t>
      </w:r>
      <w:r w:rsidR="00342604" w:rsidRPr="0067112F">
        <w:rPr>
          <w:rFonts w:eastAsia="Times New Roman" w:cs="Arial"/>
          <w:szCs w:val="24"/>
        </w:rPr>
        <w:t>T</w:t>
      </w:r>
      <w:r w:rsidRPr="0067112F">
        <w:rPr>
          <w:rFonts w:eastAsia="Times New Roman" w:cs="Arial"/>
          <w:szCs w:val="24"/>
        </w:rPr>
        <w:t xml:space="preserve">rust </w:t>
      </w:r>
      <w:r w:rsidRPr="0067112F">
        <w:rPr>
          <w:rFonts w:eastAsia="Times New Roman" w:cs="Arial"/>
          <w:i/>
          <w:iCs/>
          <w:szCs w:val="24"/>
        </w:rPr>
        <w:t>Sustainable Procurement and Social Value Impact Report</w:t>
      </w:r>
      <w:r w:rsidRPr="0067112F">
        <w:rPr>
          <w:rFonts w:eastAsia="Times New Roman" w:cs="Arial"/>
          <w:szCs w:val="24"/>
        </w:rPr>
        <w:t xml:space="preserve"> summarising key outcomes from contracts over £100k, including carbon reduction, local economic benefit, and community engagement metrics.</w:t>
      </w:r>
    </w:p>
    <w:p w14:paraId="68C567A6" w14:textId="77777777" w:rsidR="00E8281F" w:rsidRDefault="00E8281F" w:rsidP="0019648F">
      <w:pPr>
        <w:pStyle w:val="Heading2"/>
        <w:spacing w:line="360" w:lineRule="auto"/>
        <w:rPr>
          <w:rFonts w:cs="Arial"/>
        </w:rPr>
        <w:sectPr w:rsidR="00E8281F" w:rsidSect="00A05C49">
          <w:type w:val="continuous"/>
          <w:pgSz w:w="11906" w:h="16838"/>
          <w:pgMar w:top="1440" w:right="1440" w:bottom="1134" w:left="1440" w:header="850" w:footer="510" w:gutter="0"/>
          <w:pgNumType w:start="0"/>
          <w:cols w:num="2" w:space="708"/>
          <w:titlePg/>
          <w:docGrid w:linePitch="360"/>
        </w:sectPr>
      </w:pPr>
    </w:p>
    <w:p w14:paraId="78EEAE97" w14:textId="77777777" w:rsidR="00E8281F" w:rsidRDefault="00E8281F">
      <w:pPr>
        <w:spacing w:line="276" w:lineRule="auto"/>
        <w:rPr>
          <w:rFonts w:eastAsiaTheme="majorEastAsia" w:cs="Arial"/>
          <w:b/>
          <w:color w:val="365F91" w:themeColor="accent1" w:themeShade="BF"/>
          <w:szCs w:val="26"/>
        </w:rPr>
      </w:pPr>
      <w:r>
        <w:rPr>
          <w:rFonts w:cs="Arial"/>
        </w:rPr>
        <w:br w:type="page"/>
      </w:r>
    </w:p>
    <w:p w14:paraId="1200C75B" w14:textId="46A667F3" w:rsidR="0019648F" w:rsidRPr="002D2A16" w:rsidRDefault="0019648F" w:rsidP="007F39B8">
      <w:pPr>
        <w:pStyle w:val="Heading3"/>
      </w:pPr>
      <w:bookmarkStart w:id="32" w:name="_Toc220447425"/>
      <w:r w:rsidRPr="002D2A16">
        <w:lastRenderedPageBreak/>
        <w:t>Food and nutrition</w:t>
      </w:r>
      <w:bookmarkEnd w:id="32"/>
    </w:p>
    <w:p w14:paraId="39FA4C45" w14:textId="77777777" w:rsidR="00E8281F" w:rsidRDefault="00E8281F" w:rsidP="007F39B8">
      <w:pPr>
        <w:pStyle w:val="Heading3"/>
        <w:sectPr w:rsidR="00E8281F" w:rsidSect="00A05C49">
          <w:type w:val="continuous"/>
          <w:pgSz w:w="11906" w:h="16838"/>
          <w:pgMar w:top="1440" w:right="1440" w:bottom="1134" w:left="1440" w:header="850" w:footer="510" w:gutter="0"/>
          <w:pgNumType w:start="0"/>
          <w:cols w:space="708"/>
          <w:titlePg/>
          <w:docGrid w:linePitch="360"/>
        </w:sectPr>
      </w:pPr>
    </w:p>
    <w:p w14:paraId="42EC9625" w14:textId="77ACC479" w:rsidR="0019648F" w:rsidRPr="002D2A16" w:rsidRDefault="0019648F" w:rsidP="00E8281F">
      <w:pPr>
        <w:spacing w:line="276" w:lineRule="auto"/>
        <w:rPr>
          <w:rFonts w:cs="Arial"/>
        </w:rPr>
      </w:pPr>
      <w:r w:rsidRPr="002D2A16">
        <w:rPr>
          <w:rFonts w:cs="Arial"/>
        </w:rPr>
        <w:t xml:space="preserve">Food and nutrition are essential to the Trust’s sustainability and health objectives. By minimising food waste through better forecasting, portion control, and effective stock rotation, the Trust can reduce both environmental impact and operational costs. Strengthening connections with dietetics teams ensures that meal options meet patients' specific health needs while maintaining nutritional balance. At the same time, improving the healthiness of menu options (without sacrificing nutritional benefits) supports patients' and colleagues' well-being. Introducing electronic food ordering further enables efficient, demand-driven meal provision, reducing waste while ensuring patients receive timely, tailored nutrition. Through these measures, the </w:t>
      </w:r>
      <w:r w:rsidR="00342604">
        <w:rPr>
          <w:rFonts w:cs="Arial"/>
        </w:rPr>
        <w:t>T</w:t>
      </w:r>
      <w:r w:rsidRPr="002D2A16">
        <w:rPr>
          <w:rFonts w:cs="Arial"/>
        </w:rPr>
        <w:t>rust can build a food service that supports health, sustainability, and operational efficiency.</w:t>
      </w:r>
    </w:p>
    <w:p w14:paraId="5BD74F9C" w14:textId="77777777" w:rsidR="0067112F" w:rsidRDefault="0019648F" w:rsidP="0067112F">
      <w:pPr>
        <w:pStyle w:val="ListParagraph"/>
        <w:numPr>
          <w:ilvl w:val="1"/>
          <w:numId w:val="21"/>
        </w:numPr>
        <w:spacing w:line="276" w:lineRule="auto"/>
        <w:rPr>
          <w:rFonts w:eastAsia="Times New Roman" w:cs="Arial"/>
        </w:rPr>
      </w:pPr>
      <w:r w:rsidRPr="0067112F">
        <w:rPr>
          <w:rFonts w:eastAsia="Times New Roman" w:cs="Arial"/>
        </w:rPr>
        <w:t>By March 202</w:t>
      </w:r>
      <w:r w:rsidR="00B25D4B" w:rsidRPr="0067112F">
        <w:rPr>
          <w:rFonts w:eastAsia="Times New Roman" w:cs="Arial"/>
        </w:rPr>
        <w:t>7</w:t>
      </w:r>
      <w:r w:rsidRPr="0067112F">
        <w:rPr>
          <w:rFonts w:eastAsia="Times New Roman" w:cs="Arial"/>
        </w:rPr>
        <w:t>, implement routine food waste measurement in all inpatient catering services, establish a food waste reduction target to be met by 2027/28, and report progress annually through estates and facilities governance.</w:t>
      </w:r>
    </w:p>
    <w:p w14:paraId="5E6A3C8A" w14:textId="77777777" w:rsidR="0067112F" w:rsidRDefault="0067112F" w:rsidP="0067112F">
      <w:pPr>
        <w:pStyle w:val="ListParagraph"/>
        <w:spacing w:line="276" w:lineRule="auto"/>
        <w:ind w:left="360"/>
        <w:rPr>
          <w:rFonts w:eastAsia="Times New Roman" w:cs="Arial"/>
        </w:rPr>
      </w:pPr>
    </w:p>
    <w:p w14:paraId="4BBF8583" w14:textId="77777777" w:rsidR="0067112F" w:rsidRDefault="0019648F" w:rsidP="0067112F">
      <w:pPr>
        <w:pStyle w:val="ListParagraph"/>
        <w:numPr>
          <w:ilvl w:val="1"/>
          <w:numId w:val="21"/>
        </w:numPr>
        <w:spacing w:line="276" w:lineRule="auto"/>
        <w:rPr>
          <w:rFonts w:eastAsia="Times New Roman" w:cs="Arial"/>
        </w:rPr>
      </w:pPr>
      <w:r w:rsidRPr="0067112F">
        <w:rPr>
          <w:rFonts w:eastAsia="Times New Roman" w:cs="Arial"/>
        </w:rPr>
        <w:t>By March 202</w:t>
      </w:r>
      <w:r w:rsidR="00B25D4B" w:rsidRPr="0067112F">
        <w:rPr>
          <w:rFonts w:eastAsia="Times New Roman" w:cs="Arial"/>
        </w:rPr>
        <w:t>7</w:t>
      </w:r>
      <w:r w:rsidRPr="0067112F">
        <w:rPr>
          <w:rFonts w:eastAsia="Times New Roman" w:cs="Arial"/>
        </w:rPr>
        <w:t>, ensure compliance with NHS England’s sugary drink sales limits across all Trust catering and retail sites, with bi-annual spot-check audits demonstrating adherence while only healthier drinks are included in promotions.</w:t>
      </w:r>
    </w:p>
    <w:p w14:paraId="0D71D1FA" w14:textId="77777777" w:rsidR="0067112F" w:rsidRPr="0067112F" w:rsidRDefault="0067112F" w:rsidP="0067112F">
      <w:pPr>
        <w:pStyle w:val="ListParagraph"/>
        <w:rPr>
          <w:rFonts w:eastAsia="Times New Roman" w:cs="Arial"/>
        </w:rPr>
      </w:pPr>
    </w:p>
    <w:p w14:paraId="60AE9BE9" w14:textId="77777777" w:rsidR="0067112F" w:rsidRDefault="0019648F" w:rsidP="0067112F">
      <w:pPr>
        <w:pStyle w:val="ListParagraph"/>
        <w:numPr>
          <w:ilvl w:val="1"/>
          <w:numId w:val="21"/>
        </w:numPr>
        <w:spacing w:line="276" w:lineRule="auto"/>
        <w:rPr>
          <w:rFonts w:eastAsia="Times New Roman" w:cs="Arial"/>
        </w:rPr>
      </w:pPr>
      <w:r w:rsidRPr="0067112F">
        <w:rPr>
          <w:rFonts w:eastAsia="Times New Roman" w:cs="Arial"/>
        </w:rPr>
        <w:t>By March 202</w:t>
      </w:r>
      <w:r w:rsidR="00B25D4B" w:rsidRPr="0067112F">
        <w:rPr>
          <w:rFonts w:eastAsia="Times New Roman" w:cs="Arial"/>
        </w:rPr>
        <w:t>8</w:t>
      </w:r>
      <w:r w:rsidRPr="0067112F">
        <w:rPr>
          <w:rFonts w:eastAsia="Times New Roman" w:cs="Arial"/>
        </w:rPr>
        <w:t>, review all menus, and increase low-impact and healthy meal options by at least 25%, with evidence-based guidance from dietitians and patient satisfaction monitored quarterly.</w:t>
      </w:r>
    </w:p>
    <w:p w14:paraId="25A0234C" w14:textId="77777777" w:rsidR="0067112F" w:rsidRPr="0067112F" w:rsidRDefault="0067112F" w:rsidP="0067112F">
      <w:pPr>
        <w:pStyle w:val="ListParagraph"/>
        <w:rPr>
          <w:rFonts w:eastAsia="Times New Roman" w:cs="Arial"/>
        </w:rPr>
      </w:pPr>
    </w:p>
    <w:p w14:paraId="5DFC7669" w14:textId="77777777" w:rsidR="0067112F" w:rsidRDefault="0019648F" w:rsidP="0067112F">
      <w:pPr>
        <w:pStyle w:val="ListParagraph"/>
        <w:numPr>
          <w:ilvl w:val="1"/>
          <w:numId w:val="21"/>
        </w:numPr>
        <w:spacing w:line="276" w:lineRule="auto"/>
        <w:rPr>
          <w:rFonts w:eastAsia="Times New Roman" w:cs="Arial"/>
        </w:rPr>
      </w:pPr>
      <w:r w:rsidRPr="0067112F">
        <w:rPr>
          <w:rFonts w:eastAsia="Times New Roman" w:cs="Arial"/>
        </w:rPr>
        <w:t xml:space="preserve">By </w:t>
      </w:r>
      <w:r w:rsidR="00B93EF8" w:rsidRPr="0067112F">
        <w:rPr>
          <w:rFonts w:eastAsia="Times New Roman" w:cs="Arial"/>
        </w:rPr>
        <w:t xml:space="preserve">March </w:t>
      </w:r>
      <w:r w:rsidRPr="0067112F">
        <w:rPr>
          <w:rFonts w:eastAsia="Times New Roman" w:cs="Arial"/>
        </w:rPr>
        <w:t>202</w:t>
      </w:r>
      <w:r w:rsidR="00B25D4B" w:rsidRPr="0067112F">
        <w:rPr>
          <w:rFonts w:eastAsia="Times New Roman" w:cs="Arial"/>
        </w:rPr>
        <w:t>8</w:t>
      </w:r>
      <w:r w:rsidRPr="0067112F">
        <w:rPr>
          <w:rFonts w:eastAsia="Times New Roman" w:cs="Arial"/>
        </w:rPr>
        <w:t>, implement electronic meal ordering systems across 100% of inpatient wards, with baseline and follow-up audits showing measurable improvements in order accuracy, patient satisfaction, and food waste reduction.</w:t>
      </w:r>
    </w:p>
    <w:p w14:paraId="39577A5B" w14:textId="77777777" w:rsidR="0067112F" w:rsidRPr="0067112F" w:rsidRDefault="0067112F" w:rsidP="0067112F">
      <w:pPr>
        <w:pStyle w:val="ListParagraph"/>
        <w:rPr>
          <w:rFonts w:eastAsia="Times New Roman" w:cs="Arial"/>
        </w:rPr>
      </w:pPr>
    </w:p>
    <w:p w14:paraId="6649BE5E" w14:textId="019576D5" w:rsidR="00E8281F" w:rsidRPr="0067112F" w:rsidRDefault="0019648F" w:rsidP="0067112F">
      <w:pPr>
        <w:pStyle w:val="ListParagraph"/>
        <w:numPr>
          <w:ilvl w:val="1"/>
          <w:numId w:val="21"/>
        </w:numPr>
        <w:spacing w:line="276" w:lineRule="auto"/>
        <w:rPr>
          <w:rFonts w:eastAsia="Times New Roman" w:cs="Arial"/>
        </w:rPr>
        <w:sectPr w:rsidR="00E8281F" w:rsidRPr="0067112F" w:rsidSect="00A05C49">
          <w:type w:val="continuous"/>
          <w:pgSz w:w="11906" w:h="16838"/>
          <w:pgMar w:top="1440" w:right="1440" w:bottom="1134" w:left="1440" w:header="850" w:footer="510" w:gutter="0"/>
          <w:pgNumType w:start="0"/>
          <w:cols w:num="2" w:space="708"/>
          <w:titlePg/>
          <w:docGrid w:linePitch="360"/>
        </w:sectPr>
      </w:pPr>
      <w:r w:rsidRPr="0067112F">
        <w:rPr>
          <w:rFonts w:eastAsia="Times New Roman" w:cs="Arial"/>
        </w:rPr>
        <w:t xml:space="preserve">By </w:t>
      </w:r>
      <w:r w:rsidR="00B93EF8" w:rsidRPr="0067112F">
        <w:rPr>
          <w:rFonts w:eastAsia="Times New Roman" w:cs="Arial"/>
        </w:rPr>
        <w:t xml:space="preserve">March </w:t>
      </w:r>
      <w:r w:rsidRPr="0067112F">
        <w:rPr>
          <w:rFonts w:eastAsia="Times New Roman" w:cs="Arial"/>
        </w:rPr>
        <w:t>202</w:t>
      </w:r>
      <w:r w:rsidR="00B25D4B" w:rsidRPr="0067112F">
        <w:rPr>
          <w:rFonts w:eastAsia="Times New Roman" w:cs="Arial"/>
        </w:rPr>
        <w:t>8</w:t>
      </w:r>
      <w:r w:rsidRPr="0067112F">
        <w:rPr>
          <w:rFonts w:eastAsia="Times New Roman" w:cs="Arial"/>
        </w:rPr>
        <w:t>, pilot and implement an optimised food and catering procurement approach to support the reduction of food waste by at least 10% in the first year of operation</w:t>
      </w:r>
      <w:r w:rsidR="00E8281F" w:rsidRPr="0067112F">
        <w:rPr>
          <w:rFonts w:eastAsia="Times New Roman" w:cs="Arial"/>
        </w:rPr>
        <w:t>.</w:t>
      </w:r>
    </w:p>
    <w:p w14:paraId="29B42450" w14:textId="31DE25DC" w:rsidR="0019648F" w:rsidRPr="00E8281F" w:rsidRDefault="0019648F" w:rsidP="00E8281F">
      <w:pPr>
        <w:spacing w:line="360" w:lineRule="auto"/>
        <w:rPr>
          <w:rFonts w:eastAsia="Times New Roman" w:cs="Arial"/>
        </w:rPr>
      </w:pPr>
    </w:p>
    <w:p w14:paraId="7EE1C9A1" w14:textId="77777777" w:rsidR="0019648F" w:rsidRPr="002D2A16" w:rsidRDefault="0019648F" w:rsidP="0019648F">
      <w:pPr>
        <w:spacing w:line="276" w:lineRule="auto"/>
        <w:rPr>
          <w:rFonts w:cs="Arial"/>
        </w:rPr>
      </w:pPr>
      <w:r w:rsidRPr="002D2A16">
        <w:rPr>
          <w:rFonts w:cs="Arial"/>
        </w:rPr>
        <w:br w:type="page"/>
      </w:r>
    </w:p>
    <w:p w14:paraId="37012B03" w14:textId="77777777" w:rsidR="0019648F" w:rsidRPr="002D2A16" w:rsidRDefault="0019648F" w:rsidP="007F39B8">
      <w:pPr>
        <w:pStyle w:val="Heading3"/>
      </w:pPr>
      <w:bookmarkStart w:id="33" w:name="_Toc220447426"/>
      <w:r w:rsidRPr="002D2A16">
        <w:lastRenderedPageBreak/>
        <w:t>Adaptation</w:t>
      </w:r>
      <w:bookmarkEnd w:id="33"/>
    </w:p>
    <w:p w14:paraId="73B514CC" w14:textId="77777777" w:rsidR="00E8281F" w:rsidRDefault="00E8281F" w:rsidP="007F39B8">
      <w:pPr>
        <w:pStyle w:val="Heading3"/>
        <w:sectPr w:rsidR="00E8281F" w:rsidSect="00A05C49">
          <w:type w:val="continuous"/>
          <w:pgSz w:w="11906" w:h="16838"/>
          <w:pgMar w:top="1440" w:right="1440" w:bottom="1134" w:left="1440" w:header="850" w:footer="510" w:gutter="0"/>
          <w:pgNumType w:start="0"/>
          <w:cols w:space="708"/>
          <w:titlePg/>
          <w:docGrid w:linePitch="360"/>
        </w:sectPr>
      </w:pPr>
    </w:p>
    <w:p w14:paraId="42DBDFF1" w14:textId="2862DC95" w:rsidR="0019648F" w:rsidRPr="002D2A16" w:rsidRDefault="0019648F" w:rsidP="00E8281F">
      <w:pPr>
        <w:spacing w:line="276" w:lineRule="auto"/>
        <w:rPr>
          <w:rFonts w:cs="Arial"/>
        </w:rPr>
      </w:pPr>
      <w:r w:rsidRPr="002D2A16">
        <w:rPr>
          <w:rFonts w:cs="Arial"/>
        </w:rPr>
        <w:t xml:space="preserve">Adaptation is a crucial aspect of the </w:t>
      </w:r>
      <w:r w:rsidR="00342604">
        <w:rPr>
          <w:rFonts w:cs="Arial"/>
        </w:rPr>
        <w:t>T</w:t>
      </w:r>
      <w:r w:rsidRPr="002D2A16">
        <w:rPr>
          <w:rFonts w:cs="Arial"/>
        </w:rPr>
        <w:t xml:space="preserve">rust’s approach to resilience, especially in partnership with regional stakeholders to address risks related to flooding and overheating. By collaborating with local authorities and environmental organisations, the </w:t>
      </w:r>
      <w:r w:rsidR="00342604">
        <w:rPr>
          <w:rFonts w:cs="Arial"/>
        </w:rPr>
        <w:t>T</w:t>
      </w:r>
      <w:r w:rsidRPr="002D2A16">
        <w:rPr>
          <w:rFonts w:cs="Arial"/>
        </w:rPr>
        <w:t xml:space="preserve">rust can better understand regional climate vulnerabilities and tailor responses to protect its facilities and services. A significant part of this effort involves improving data logging within buildings to track temperature fluctuations. Enhanced data allows for a proactive approach in adapting spaces to seasonal extremes, enabling early interventions to maintain comfortable, safe environments during cold snaps or heatwaves. Through precise, real-time monitoring, the </w:t>
      </w:r>
      <w:r w:rsidR="00342604">
        <w:rPr>
          <w:rFonts w:cs="Arial"/>
        </w:rPr>
        <w:t>T</w:t>
      </w:r>
      <w:r w:rsidRPr="002D2A16">
        <w:rPr>
          <w:rFonts w:cs="Arial"/>
        </w:rPr>
        <w:t>rust can anticipate temperature-related issues, optimising building performance and safeguarding patient and colleague health amid changing climate conditions.</w:t>
      </w:r>
    </w:p>
    <w:p w14:paraId="753BD2E2" w14:textId="77777777" w:rsidR="0067112F" w:rsidRDefault="0019648F" w:rsidP="0067112F">
      <w:pPr>
        <w:pStyle w:val="ListParagraph"/>
        <w:numPr>
          <w:ilvl w:val="1"/>
          <w:numId w:val="25"/>
        </w:numPr>
        <w:spacing w:line="276" w:lineRule="auto"/>
        <w:rPr>
          <w:rFonts w:cs="Arial"/>
        </w:rPr>
      </w:pPr>
      <w:r w:rsidRPr="0067112F">
        <w:rPr>
          <w:rFonts w:cs="Arial"/>
        </w:rPr>
        <w:t xml:space="preserve">By </w:t>
      </w:r>
      <w:r w:rsidR="00922A20" w:rsidRPr="0067112F">
        <w:rPr>
          <w:rFonts w:cs="Arial"/>
        </w:rPr>
        <w:t>June</w:t>
      </w:r>
      <w:r w:rsidRPr="0067112F">
        <w:rPr>
          <w:rFonts w:cs="Arial"/>
        </w:rPr>
        <w:t xml:space="preserve"> 202</w:t>
      </w:r>
      <w:r w:rsidR="00B25D4B" w:rsidRPr="0067112F">
        <w:rPr>
          <w:rFonts w:cs="Arial"/>
        </w:rPr>
        <w:t>6</w:t>
      </w:r>
      <w:r w:rsidRPr="0067112F">
        <w:rPr>
          <w:rFonts w:cs="Arial"/>
        </w:rPr>
        <w:t>, formally appoint a named executive-level lead for climate adaptation with responsibility for overseeing heat, flood, and clinical climate risks, and reporting quarterly to through the appropriate governance pathway.</w:t>
      </w:r>
    </w:p>
    <w:p w14:paraId="52014215" w14:textId="77777777" w:rsidR="0067112F" w:rsidRDefault="0067112F" w:rsidP="0067112F">
      <w:pPr>
        <w:pStyle w:val="ListParagraph"/>
        <w:spacing w:line="276" w:lineRule="auto"/>
        <w:ind w:left="360"/>
        <w:rPr>
          <w:rFonts w:cs="Arial"/>
        </w:rPr>
      </w:pPr>
    </w:p>
    <w:p w14:paraId="0242A6CF" w14:textId="13161A72" w:rsidR="0019648F" w:rsidRPr="0067112F" w:rsidRDefault="0019648F" w:rsidP="0067112F">
      <w:pPr>
        <w:pStyle w:val="ListParagraph"/>
        <w:numPr>
          <w:ilvl w:val="1"/>
          <w:numId w:val="25"/>
        </w:numPr>
        <w:spacing w:line="276" w:lineRule="auto"/>
        <w:rPr>
          <w:rFonts w:cs="Arial"/>
        </w:rPr>
      </w:pPr>
      <w:r w:rsidRPr="0067112F">
        <w:rPr>
          <w:rFonts w:cs="Arial"/>
        </w:rPr>
        <w:t>By March 202</w:t>
      </w:r>
      <w:r w:rsidR="00B25D4B" w:rsidRPr="0067112F">
        <w:rPr>
          <w:rFonts w:cs="Arial"/>
        </w:rPr>
        <w:t>7</w:t>
      </w:r>
      <w:r w:rsidRPr="0067112F">
        <w:rPr>
          <w:rFonts w:cs="Arial"/>
        </w:rPr>
        <w:t>, complete a climate risk assessment for all estate sites using local projection data, including overheating, flooding, and infrastructure risk scoring, and prioritise three high-risk areas for adaptation planning by 202</w:t>
      </w:r>
      <w:r w:rsidR="00B25D4B" w:rsidRPr="0067112F">
        <w:rPr>
          <w:rFonts w:cs="Arial"/>
        </w:rPr>
        <w:t>8</w:t>
      </w:r>
      <w:r w:rsidRPr="0067112F">
        <w:rPr>
          <w:rFonts w:cs="Arial"/>
        </w:rPr>
        <w:t>.</w:t>
      </w:r>
    </w:p>
    <w:p w14:paraId="111736BB" w14:textId="77777777" w:rsidR="0067112F" w:rsidRDefault="0067112F" w:rsidP="0067112F">
      <w:pPr>
        <w:spacing w:line="276" w:lineRule="auto"/>
        <w:rPr>
          <w:rFonts w:cs="Arial"/>
        </w:rPr>
      </w:pPr>
    </w:p>
    <w:p w14:paraId="324E4E40" w14:textId="77777777" w:rsidR="0067112F" w:rsidRDefault="0019648F" w:rsidP="0067112F">
      <w:pPr>
        <w:pStyle w:val="ListParagraph"/>
        <w:numPr>
          <w:ilvl w:val="1"/>
          <w:numId w:val="25"/>
        </w:numPr>
        <w:spacing w:line="276" w:lineRule="auto"/>
        <w:rPr>
          <w:rFonts w:cs="Arial"/>
        </w:rPr>
      </w:pPr>
      <w:r w:rsidRPr="0067112F">
        <w:rPr>
          <w:rFonts w:cs="Arial"/>
        </w:rPr>
        <w:t>By June 202</w:t>
      </w:r>
      <w:r w:rsidR="00B25D4B" w:rsidRPr="0067112F">
        <w:rPr>
          <w:rFonts w:cs="Arial"/>
        </w:rPr>
        <w:t>7</w:t>
      </w:r>
      <w:r w:rsidRPr="0067112F">
        <w:rPr>
          <w:rFonts w:cs="Arial"/>
        </w:rPr>
        <w:t>, formally include climate change impacts in the Trust’s risk register under operational and clinical categories, and develop a mitigation and response action plan to address at least five priority risks by</w:t>
      </w:r>
      <w:r w:rsidR="00B25D4B" w:rsidRPr="0067112F">
        <w:rPr>
          <w:rFonts w:cs="Arial"/>
        </w:rPr>
        <w:t xml:space="preserve"> end of</w:t>
      </w:r>
      <w:r w:rsidRPr="0067112F">
        <w:rPr>
          <w:rFonts w:cs="Arial"/>
        </w:rPr>
        <w:t xml:space="preserve"> FY 2027/28.</w:t>
      </w:r>
    </w:p>
    <w:p w14:paraId="011CC359" w14:textId="77777777" w:rsidR="0067112F" w:rsidRPr="0067112F" w:rsidRDefault="0067112F" w:rsidP="0067112F">
      <w:pPr>
        <w:pStyle w:val="ListParagraph"/>
        <w:rPr>
          <w:rFonts w:cs="Arial"/>
        </w:rPr>
      </w:pPr>
    </w:p>
    <w:p w14:paraId="3F21420A" w14:textId="77777777" w:rsidR="0067112F" w:rsidRDefault="0019648F" w:rsidP="0067112F">
      <w:pPr>
        <w:pStyle w:val="ListParagraph"/>
        <w:numPr>
          <w:ilvl w:val="1"/>
          <w:numId w:val="25"/>
        </w:numPr>
        <w:spacing w:line="276" w:lineRule="auto"/>
        <w:rPr>
          <w:rFonts w:cs="Arial"/>
        </w:rPr>
      </w:pPr>
      <w:r w:rsidRPr="0067112F">
        <w:rPr>
          <w:rFonts w:cs="Arial"/>
        </w:rPr>
        <w:t>By December 202</w:t>
      </w:r>
      <w:r w:rsidR="00B25D4B" w:rsidRPr="0067112F">
        <w:rPr>
          <w:rFonts w:cs="Arial"/>
        </w:rPr>
        <w:t>7</w:t>
      </w:r>
      <w:r w:rsidRPr="0067112F">
        <w:rPr>
          <w:rFonts w:cs="Arial"/>
        </w:rPr>
        <w:t xml:space="preserve">, assess climate resilience across the top 25 suppliers (by contract value or risk), and include climate adaptation questions within all new high-value procurement frameworks from </w:t>
      </w:r>
      <w:r w:rsidR="00B25D4B" w:rsidRPr="0067112F">
        <w:rPr>
          <w:rFonts w:cs="Arial"/>
        </w:rPr>
        <w:t xml:space="preserve">the end of </w:t>
      </w:r>
      <w:r w:rsidRPr="0067112F">
        <w:rPr>
          <w:rFonts w:cs="Arial"/>
        </w:rPr>
        <w:t>FY 2027/28.</w:t>
      </w:r>
    </w:p>
    <w:p w14:paraId="79EF45AF" w14:textId="77777777" w:rsidR="0067112F" w:rsidRPr="0067112F" w:rsidRDefault="0067112F" w:rsidP="0067112F">
      <w:pPr>
        <w:pStyle w:val="ListParagraph"/>
        <w:rPr>
          <w:rFonts w:cs="Arial"/>
        </w:rPr>
      </w:pPr>
    </w:p>
    <w:p w14:paraId="693BB5C5" w14:textId="760529CB" w:rsidR="00E8281F" w:rsidRPr="0067112F" w:rsidRDefault="0019648F" w:rsidP="0067112F">
      <w:pPr>
        <w:pStyle w:val="ListParagraph"/>
        <w:numPr>
          <w:ilvl w:val="1"/>
          <w:numId w:val="25"/>
        </w:numPr>
        <w:spacing w:line="276" w:lineRule="auto"/>
        <w:rPr>
          <w:rFonts w:cs="Arial"/>
        </w:rPr>
      </w:pPr>
      <w:r w:rsidRPr="0067112F">
        <w:rPr>
          <w:rFonts w:cs="Arial"/>
        </w:rPr>
        <w:t>By March 202</w:t>
      </w:r>
      <w:r w:rsidR="00B25D4B" w:rsidRPr="0067112F">
        <w:rPr>
          <w:rFonts w:cs="Arial"/>
        </w:rPr>
        <w:t>8</w:t>
      </w:r>
      <w:r w:rsidRPr="0067112F">
        <w:rPr>
          <w:rFonts w:cs="Arial"/>
        </w:rPr>
        <w:t>, embed the Government’s Adverse Weather and Health Plan alert system into Trust communications protocols, with 100% of relevant staff trained on extreme weather messaging and response plans.</w:t>
      </w:r>
    </w:p>
    <w:p w14:paraId="2570D2F7" w14:textId="77777777" w:rsidR="00E8281F" w:rsidRDefault="00E8281F">
      <w:pPr>
        <w:spacing w:line="276" w:lineRule="auto"/>
        <w:rPr>
          <w:rFonts w:cs="Arial"/>
          <w:sz w:val="20"/>
        </w:rPr>
      </w:pPr>
      <w:r>
        <w:rPr>
          <w:rFonts w:cs="Arial"/>
          <w:sz w:val="20"/>
        </w:rPr>
        <w:br w:type="page"/>
      </w:r>
    </w:p>
    <w:p w14:paraId="7BFB7DF5" w14:textId="2E8823C5" w:rsidR="26E5844C" w:rsidRPr="00E8281F" w:rsidRDefault="00E8281F" w:rsidP="007F39B8">
      <w:pPr>
        <w:pStyle w:val="Heading2"/>
      </w:pPr>
      <w:bookmarkStart w:id="34" w:name="_Toc220447427"/>
      <w:r>
        <w:lastRenderedPageBreak/>
        <w:t>Endnotes</w:t>
      </w:r>
      <w:bookmarkEnd w:id="34"/>
    </w:p>
    <w:sectPr w:rsidR="26E5844C" w:rsidRPr="00E8281F" w:rsidSect="00A05C49">
      <w:type w:val="continuous"/>
      <w:pgSz w:w="11906" w:h="16838"/>
      <w:pgMar w:top="1440" w:right="1440" w:bottom="1134" w:left="1440" w:header="850" w:footer="510" w:gutter="0"/>
      <w:pgNumType w:start="0"/>
      <w:cols w:num="2"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41E0BD" w16cex:dateUtc="2025-05-27T16:25:31.848Z"/>
  <w16cex:commentExtensible w16cex:durableId="6B9045B7" w16cex:dateUtc="2025-05-27T16:26:54.375Z"/>
  <w16cex:commentExtensible w16cex:durableId="348502CA" w16cex:dateUtc="2025-05-27T16:28:02.216Z">
    <w16cex:extLst>
      <w16:ext w16:uri="{CE6994B0-6A32-4C9F-8C6B-6E91EDA988CE}">
        <cr:reactions xmlns:cr="http://schemas.microsoft.com/office/comments/2020/reactions">
          <cr:reaction reactionType="1">
            <cr:reactionInfo dateUtc="2025-05-29T12:12:12.907Z">
              <cr:user userId="S::dan.wright2@nhs.net::053ca2ea-ddf4-435e-98b2-0c5b2b175d58" userProvider="AD" userName="WRIGHT, Dan (2GETHER SUPPORT SOLUTIONS LIMITED)"/>
            </cr:reactionInfo>
          </cr:reaction>
        </cr:reactions>
      </w16:ext>
    </w16cex:extLst>
  </w16cex:commentExtensible>
  <w16cex:commentExtensible w16cex:durableId="155DA6B0" w16cex:dateUtc="2025-05-27T16:29:28.828Z"/>
  <w16cex:commentExtensible w16cex:durableId="446874ED" w16cex:dateUtc="2025-05-27T16:31:17.196Z"/>
  <w16cex:commentExtensible w16cex:durableId="589779E5" w16cex:dateUtc="2025-05-29T12:05:51.649Z"/>
  <w16cex:commentExtensible w16cex:durableId="7AF5B897" w16cex:dateUtc="2025-05-29T12:09:26.024Z"/>
  <w16cex:commentExtensible w16cex:durableId="33CDCC2C" w16cex:dateUtc="2025-05-29T12:14:44.474Z"/>
  <w16cex:commentExtensible w16cex:durableId="0B7A65D8" w16cex:dateUtc="2025-05-29T12:15:45.841Z"/>
  <w16cex:commentExtensible w16cex:durableId="5413B32C" w16cex:dateUtc="2025-06-10T12:34:43.89Z"/>
  <w16cex:commentExtensible w16cex:durableId="5D51A5A8" w16cex:dateUtc="2025-06-10T13:31:52.013Z"/>
  <w16cex:commentExtensible w16cex:durableId="47539902" w16cex:dateUtc="2025-06-10T13:40:39.884Z"/>
  <w16cex:commentExtensible w16cex:durableId="2D36F624" w16cex:dateUtc="2025-06-10T14:11:54.404Z"/>
  <w16cex:commentExtensible w16cex:durableId="5B9F7F9F" w16cex:dateUtc="2025-06-10T16:14:43.074Z"/>
  <w16cex:commentExtensible w16cex:durableId="79C75C08" w16cex:dateUtc="2025-06-10T16:20:05.482Z"/>
  <w16cex:commentExtensible w16cex:durableId="4F4BE023" w16cex:dateUtc="2025-06-11T13:52:47.576Z"/>
  <w16cex:commentExtensible w16cex:durableId="4C82A2EC" w16cex:dateUtc="2025-06-20T07:01:00.003Z"/>
  <w16cex:commentExtensible w16cex:durableId="6E9FA47B" w16cex:dateUtc="2025-06-25T10:55:02.357Z"/>
  <w16cex:commentExtensible w16cex:durableId="0E2C0950" w16cex:dateUtc="2025-06-29T19:53:53.346Z"/>
  <w16cex:commentExtensible w16cex:durableId="410034E4" w16cex:dateUtc="2025-06-29T19:57:43.06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10EB" w14:textId="77777777" w:rsidR="00BF2857" w:rsidRDefault="00BF2857" w:rsidP="0042385F">
      <w:r>
        <w:separator/>
      </w:r>
    </w:p>
  </w:endnote>
  <w:endnote w:type="continuationSeparator" w:id="0">
    <w:p w14:paraId="637805D2" w14:textId="77777777" w:rsidR="00BF2857" w:rsidRDefault="00BF2857" w:rsidP="0042385F">
      <w:r>
        <w:continuationSeparator/>
      </w:r>
    </w:p>
  </w:endnote>
  <w:endnote w:id="1">
    <w:p w14:paraId="5D261425" w14:textId="003F1246" w:rsidR="00BF2857" w:rsidRPr="008E40D2" w:rsidRDefault="00BF2857">
      <w:pPr>
        <w:pStyle w:val="EndnoteText"/>
        <w:rPr>
          <w:sz w:val="24"/>
        </w:rPr>
      </w:pPr>
      <w:r w:rsidRPr="008E40D2">
        <w:rPr>
          <w:rStyle w:val="EndnoteReference"/>
          <w:sz w:val="24"/>
        </w:rPr>
        <w:endnoteRef/>
      </w:r>
      <w:r w:rsidRPr="008E40D2">
        <w:rPr>
          <w:sz w:val="24"/>
        </w:rPr>
        <w:t xml:space="preserve"> </w:t>
      </w:r>
      <w:hyperlink r:id="rId1" w:history="1">
        <w:r w:rsidRPr="008E40D2">
          <w:rPr>
            <w:rStyle w:val="Hyperlink"/>
            <w:sz w:val="24"/>
          </w:rPr>
          <w:t>Independent investigation of the NHS in England (Darzi et al., 2024)</w:t>
        </w:r>
      </w:hyperlink>
    </w:p>
  </w:endnote>
  <w:endnote w:id="2">
    <w:p w14:paraId="2FEFDE59" w14:textId="428B6701" w:rsidR="00BF2857" w:rsidRPr="008E40D2" w:rsidRDefault="00BF2857">
      <w:pPr>
        <w:pStyle w:val="EndnoteText"/>
        <w:rPr>
          <w:sz w:val="24"/>
        </w:rPr>
      </w:pPr>
      <w:r w:rsidRPr="008E40D2">
        <w:rPr>
          <w:rStyle w:val="EndnoteReference"/>
          <w:sz w:val="24"/>
        </w:rPr>
        <w:endnoteRef/>
      </w:r>
      <w:r w:rsidRPr="008E40D2">
        <w:rPr>
          <w:sz w:val="24"/>
        </w:rPr>
        <w:t xml:space="preserve"> </w:t>
      </w:r>
      <w:hyperlink r:id="rId2">
        <w:r w:rsidRPr="008E40D2">
          <w:rPr>
            <w:rStyle w:val="Hyperlink"/>
            <w:sz w:val="24"/>
          </w:rPr>
          <w:t>The Lancet Countdown on Health and Climate Change (Accessed 10 June 2025)</w:t>
        </w:r>
      </w:hyperlink>
    </w:p>
  </w:endnote>
  <w:endnote w:id="3">
    <w:p w14:paraId="41C5D99B" w14:textId="475737A0" w:rsidR="00BF2857" w:rsidRPr="008E40D2" w:rsidRDefault="00BF2857">
      <w:pPr>
        <w:pStyle w:val="EndnoteText"/>
        <w:rPr>
          <w:sz w:val="24"/>
        </w:rPr>
      </w:pPr>
      <w:r w:rsidRPr="008E40D2">
        <w:rPr>
          <w:rStyle w:val="EndnoteReference"/>
          <w:sz w:val="24"/>
        </w:rPr>
        <w:endnoteRef/>
      </w:r>
      <w:r w:rsidRPr="008E40D2">
        <w:rPr>
          <w:sz w:val="24"/>
        </w:rPr>
        <w:t xml:space="preserve"> </w:t>
      </w:r>
      <w:hyperlink r:id="rId3">
        <w:r w:rsidRPr="008E40D2">
          <w:rPr>
            <w:rStyle w:val="Hyperlink"/>
            <w:sz w:val="24"/>
          </w:rPr>
          <w:t>Climate change drives increase in storm rainfall (Met Office, 2024)</w:t>
        </w:r>
      </w:hyperlink>
    </w:p>
  </w:endnote>
  <w:endnote w:id="4">
    <w:p w14:paraId="3DB0ABDF" w14:textId="64A8583D" w:rsidR="00BF2857" w:rsidRPr="008E40D2" w:rsidRDefault="00BF2857">
      <w:pPr>
        <w:pStyle w:val="EndnoteText"/>
        <w:rPr>
          <w:sz w:val="24"/>
        </w:rPr>
      </w:pPr>
      <w:r w:rsidRPr="008E40D2">
        <w:rPr>
          <w:rStyle w:val="EndnoteReference"/>
          <w:sz w:val="24"/>
        </w:rPr>
        <w:endnoteRef/>
      </w:r>
      <w:r w:rsidRPr="008E40D2">
        <w:rPr>
          <w:sz w:val="24"/>
        </w:rPr>
        <w:t xml:space="preserve"> </w:t>
      </w:r>
      <w:hyperlink r:id="rId4">
        <w:r w:rsidRPr="008E40D2">
          <w:rPr>
            <w:rStyle w:val="Hyperlink"/>
            <w:sz w:val="24"/>
          </w:rPr>
          <w:t>Health Effects of Climate Change in the UK (Macintyre, 2023)</w:t>
        </w:r>
      </w:hyperlink>
    </w:p>
  </w:endnote>
  <w:endnote w:id="5">
    <w:p w14:paraId="48B23649" w14:textId="5F55FAA9" w:rsidR="00BF2857" w:rsidRPr="008E40D2" w:rsidRDefault="00BF2857">
      <w:pPr>
        <w:pStyle w:val="EndnoteText"/>
        <w:rPr>
          <w:sz w:val="24"/>
        </w:rPr>
      </w:pPr>
      <w:r w:rsidRPr="008E40D2">
        <w:rPr>
          <w:rStyle w:val="EndnoteReference"/>
          <w:sz w:val="24"/>
        </w:rPr>
        <w:endnoteRef/>
      </w:r>
      <w:r w:rsidRPr="008E40D2">
        <w:rPr>
          <w:sz w:val="24"/>
        </w:rPr>
        <w:t xml:space="preserve"> </w:t>
      </w:r>
      <w:hyperlink r:id="rId5">
        <w:r w:rsidRPr="008E40D2">
          <w:rPr>
            <w:rStyle w:val="Hyperlink"/>
            <w:sz w:val="24"/>
          </w:rPr>
          <w:t>A summary of England’s revised draft regional and water resources management plans (Environment Agency, 2024)</w:t>
        </w:r>
      </w:hyperlink>
    </w:p>
  </w:endnote>
  <w:endnote w:id="6">
    <w:p w14:paraId="17EAD34C" w14:textId="6369D11A" w:rsidR="00BF2857" w:rsidRPr="008E40D2" w:rsidRDefault="00BF2857">
      <w:pPr>
        <w:pStyle w:val="EndnoteText"/>
        <w:rPr>
          <w:sz w:val="24"/>
        </w:rPr>
      </w:pPr>
      <w:r w:rsidRPr="008E40D2">
        <w:rPr>
          <w:rStyle w:val="EndnoteReference"/>
          <w:sz w:val="24"/>
        </w:rPr>
        <w:endnoteRef/>
      </w:r>
      <w:r w:rsidRPr="008E40D2">
        <w:rPr>
          <w:sz w:val="24"/>
        </w:rPr>
        <w:t xml:space="preserve"> </w:t>
      </w:r>
      <w:hyperlink r:id="rId6">
        <w:r w:rsidRPr="008E40D2">
          <w:rPr>
            <w:rStyle w:val="Hyperlink"/>
            <w:sz w:val="24"/>
          </w:rPr>
          <w:t>Food systems, food security and supply chains (The Parliamentary Office of Science and Technology, 2024)</w:t>
        </w:r>
      </w:hyperlink>
    </w:p>
  </w:endnote>
  <w:endnote w:id="7">
    <w:p w14:paraId="01D30FA7" w14:textId="02679C9C" w:rsidR="00BF2857" w:rsidRPr="008E40D2" w:rsidRDefault="00BF2857">
      <w:pPr>
        <w:pStyle w:val="EndnoteText"/>
        <w:rPr>
          <w:sz w:val="24"/>
        </w:rPr>
      </w:pPr>
      <w:r w:rsidRPr="008E40D2">
        <w:rPr>
          <w:rStyle w:val="EndnoteReference"/>
          <w:sz w:val="24"/>
        </w:rPr>
        <w:endnoteRef/>
      </w:r>
      <w:r w:rsidRPr="008E40D2">
        <w:rPr>
          <w:sz w:val="24"/>
        </w:rPr>
        <w:t xml:space="preserve"> </w:t>
      </w:r>
      <w:hyperlink r:id="rId7">
        <w:r w:rsidRPr="008E40D2">
          <w:rPr>
            <w:rStyle w:val="Hyperlink"/>
            <w:sz w:val="24"/>
          </w:rPr>
          <w:t>Unprecedented extreme heatwave, July 2022 (Met Office, 2022)</w:t>
        </w:r>
      </w:hyperlink>
    </w:p>
  </w:endnote>
  <w:endnote w:id="8">
    <w:p w14:paraId="3C07F2B0" w14:textId="2C8FAB1D" w:rsidR="00BF2857" w:rsidRPr="008E40D2" w:rsidRDefault="00BF2857">
      <w:pPr>
        <w:pStyle w:val="EndnoteText"/>
        <w:rPr>
          <w:sz w:val="24"/>
        </w:rPr>
      </w:pPr>
      <w:r w:rsidRPr="008E40D2">
        <w:rPr>
          <w:rStyle w:val="EndnoteReference"/>
          <w:sz w:val="24"/>
        </w:rPr>
        <w:endnoteRef/>
      </w:r>
      <w:r w:rsidRPr="008E40D2">
        <w:rPr>
          <w:sz w:val="24"/>
        </w:rPr>
        <w:t xml:space="preserve"> </w:t>
      </w:r>
      <w:hyperlink r:id="rId8">
        <w:r w:rsidRPr="008E40D2">
          <w:rPr>
            <w:rStyle w:val="Hyperlink"/>
            <w:sz w:val="24"/>
          </w:rPr>
          <w:t>UKHSA and ONS release estimates of excess deaths during summer 2022 (UK Health Security Agency, 2022)</w:t>
        </w:r>
      </w:hyperlink>
    </w:p>
  </w:endnote>
  <w:endnote w:id="9">
    <w:p w14:paraId="5A506055" w14:textId="138C6CC9" w:rsidR="00BF2857" w:rsidRPr="008E40D2" w:rsidRDefault="00BF2857">
      <w:pPr>
        <w:pStyle w:val="EndnoteText"/>
        <w:rPr>
          <w:sz w:val="24"/>
        </w:rPr>
      </w:pPr>
      <w:r w:rsidRPr="008E40D2">
        <w:rPr>
          <w:rStyle w:val="EndnoteReference"/>
          <w:sz w:val="24"/>
        </w:rPr>
        <w:endnoteRef/>
      </w:r>
      <w:r w:rsidRPr="008E40D2">
        <w:rPr>
          <w:sz w:val="24"/>
        </w:rPr>
        <w:t xml:space="preserve"> </w:t>
      </w:r>
      <w:hyperlink r:id="rId9">
        <w:r w:rsidRPr="008E40D2">
          <w:rPr>
            <w:rStyle w:val="Hyperlink"/>
            <w:sz w:val="24"/>
          </w:rPr>
          <w:t>Kent’s changing climate (Kent County Council, n.d.) Accessed 10 June 2025</w:t>
        </w:r>
      </w:hyperlink>
    </w:p>
  </w:endnote>
  <w:endnote w:id="10">
    <w:p w14:paraId="187529A2" w14:textId="1A0FCD27" w:rsidR="00BF2857" w:rsidRPr="008E40D2" w:rsidRDefault="00BF2857" w:rsidP="00322F99">
      <w:pPr>
        <w:pStyle w:val="FootnoteText"/>
        <w:rPr>
          <w:sz w:val="24"/>
        </w:rPr>
      </w:pPr>
      <w:r w:rsidRPr="008E40D2">
        <w:rPr>
          <w:rStyle w:val="EndnoteReference"/>
          <w:sz w:val="24"/>
        </w:rPr>
        <w:endnoteRef/>
      </w:r>
      <w:r w:rsidRPr="008E40D2">
        <w:rPr>
          <w:sz w:val="24"/>
        </w:rPr>
        <w:t xml:space="preserve"> </w:t>
      </w:r>
      <w:hyperlink r:id="rId10">
        <w:r w:rsidRPr="008E40D2">
          <w:rPr>
            <w:rStyle w:val="Hyperlink"/>
            <w:sz w:val="24"/>
          </w:rPr>
          <w:t>Mental health costs of flooding (Environment Agency, 2025)</w:t>
        </w:r>
      </w:hyperlink>
    </w:p>
  </w:endnote>
  <w:endnote w:id="11">
    <w:p w14:paraId="02FD834F" w14:textId="701CC072" w:rsidR="00BF2857" w:rsidRPr="008E40D2" w:rsidRDefault="00BF2857">
      <w:pPr>
        <w:pStyle w:val="EndnoteText"/>
        <w:rPr>
          <w:sz w:val="24"/>
        </w:rPr>
      </w:pPr>
      <w:r w:rsidRPr="008E40D2">
        <w:rPr>
          <w:rStyle w:val="EndnoteReference"/>
          <w:sz w:val="24"/>
        </w:rPr>
        <w:endnoteRef/>
      </w:r>
      <w:r w:rsidRPr="008E40D2">
        <w:rPr>
          <w:sz w:val="24"/>
        </w:rPr>
        <w:t xml:space="preserve"> </w:t>
      </w:r>
      <w:hyperlink r:id="rId11">
        <w:r w:rsidRPr="008E40D2">
          <w:rPr>
            <w:rStyle w:val="Hyperlink"/>
            <w:sz w:val="24"/>
          </w:rPr>
          <w:t>Healthy environment, healthy lives: How the environment influences health and well-being in Europe (European Environment Agency, 2019)</w:t>
        </w:r>
      </w:hyperlink>
    </w:p>
  </w:endnote>
  <w:endnote w:id="12">
    <w:p w14:paraId="33D77D02" w14:textId="3A63A75F" w:rsidR="00BF2857" w:rsidRPr="008E40D2" w:rsidRDefault="00BF2857" w:rsidP="00773293">
      <w:pPr>
        <w:pStyle w:val="FootnoteText"/>
        <w:rPr>
          <w:sz w:val="24"/>
        </w:rPr>
      </w:pPr>
      <w:r w:rsidRPr="008E40D2">
        <w:rPr>
          <w:rStyle w:val="EndnoteReference"/>
          <w:sz w:val="24"/>
        </w:rPr>
        <w:endnoteRef/>
      </w:r>
      <w:r w:rsidRPr="008E40D2">
        <w:rPr>
          <w:sz w:val="24"/>
        </w:rPr>
        <w:t xml:space="preserve"> </w:t>
      </w:r>
      <w:hyperlink r:id="rId12">
        <w:r w:rsidRPr="008E40D2">
          <w:rPr>
            <w:rStyle w:val="Hyperlink"/>
            <w:sz w:val="24"/>
          </w:rPr>
          <w:t>Implications of climate change for public health (Watkins and Ghosh, 2024)</w:t>
        </w:r>
      </w:hyperlink>
    </w:p>
  </w:endnote>
  <w:endnote w:id="13">
    <w:p w14:paraId="60F9C483" w14:textId="0F601AEE" w:rsidR="00BF2857" w:rsidRPr="008E40D2" w:rsidRDefault="00BF2857">
      <w:pPr>
        <w:pStyle w:val="EndnoteText"/>
        <w:rPr>
          <w:sz w:val="24"/>
        </w:rPr>
      </w:pPr>
      <w:r w:rsidRPr="008E40D2">
        <w:rPr>
          <w:rStyle w:val="EndnoteReference"/>
          <w:sz w:val="24"/>
        </w:rPr>
        <w:endnoteRef/>
      </w:r>
      <w:r w:rsidRPr="008E40D2">
        <w:rPr>
          <w:sz w:val="24"/>
        </w:rPr>
        <w:t xml:space="preserve"> </w:t>
      </w:r>
      <w:hyperlink r:id="rId13">
        <w:r w:rsidRPr="008E40D2">
          <w:rPr>
            <w:rStyle w:val="Hyperlink"/>
            <w:sz w:val="24"/>
          </w:rPr>
          <w:t>Delivering a net zero health service (NHS England, 2020)</w:t>
        </w:r>
      </w:hyperlink>
    </w:p>
  </w:endnote>
  <w:endnote w:id="14">
    <w:p w14:paraId="45BCA4BE" w14:textId="3C31FBBC" w:rsidR="00BF2857" w:rsidRDefault="00BF2857">
      <w:pPr>
        <w:pStyle w:val="EndnoteText"/>
      </w:pPr>
      <w:r w:rsidRPr="008E40D2">
        <w:rPr>
          <w:rStyle w:val="EndnoteReference"/>
          <w:sz w:val="24"/>
        </w:rPr>
        <w:endnoteRef/>
      </w:r>
      <w:r w:rsidRPr="008E40D2">
        <w:rPr>
          <w:sz w:val="24"/>
        </w:rPr>
        <w:t xml:space="preserve"> Methodologies employed include the </w:t>
      </w:r>
      <w:hyperlink r:id="rId14" w:history="1">
        <w:r w:rsidRPr="008E40D2">
          <w:rPr>
            <w:rStyle w:val="Hyperlink"/>
            <w:sz w:val="24"/>
          </w:rPr>
          <w:t>NHS Emissions Quantification Recipe Book</w:t>
        </w:r>
      </w:hyperlink>
      <w:r w:rsidRPr="008E40D2">
        <w:rPr>
          <w:sz w:val="24"/>
        </w:rPr>
        <w:t xml:space="preserve"> and the </w:t>
      </w:r>
      <w:hyperlink r:id="rId15" w:history="1">
        <w:r w:rsidRPr="008E40D2">
          <w:rPr>
            <w:rStyle w:val="Hyperlink"/>
            <w:sz w:val="24"/>
          </w:rPr>
          <w:t>Greener NHS methodology publications</w:t>
        </w:r>
      </w:hyperlink>
      <w:r w:rsidRPr="008E40D2">
        <w:rPr>
          <w:sz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167592"/>
      <w:docPartObj>
        <w:docPartGallery w:val="Page Numbers (Bottom of Page)"/>
        <w:docPartUnique/>
      </w:docPartObj>
    </w:sdtPr>
    <w:sdtContent>
      <w:sdt>
        <w:sdtPr>
          <w:id w:val="-362280752"/>
          <w:docPartObj>
            <w:docPartGallery w:val="Page Numbers (Top of Page)"/>
            <w:docPartUnique/>
          </w:docPartObj>
        </w:sdtPr>
        <w:sdtContent>
          <w:p w14:paraId="2F583523" w14:textId="76B5CD9C"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9DC8888" w14:textId="77777777" w:rsidR="00BF2857" w:rsidRDefault="00BF2857" w:rsidP="0042385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839743"/>
      <w:docPartObj>
        <w:docPartGallery w:val="Page Numbers (Bottom of Page)"/>
        <w:docPartUnique/>
      </w:docPartObj>
    </w:sdtPr>
    <w:sdtContent>
      <w:sdt>
        <w:sdtPr>
          <w:id w:val="694971686"/>
          <w:docPartObj>
            <w:docPartGallery w:val="Page Numbers (Top of Page)"/>
            <w:docPartUnique/>
          </w:docPartObj>
        </w:sdtPr>
        <w:sdtContent>
          <w:p w14:paraId="5AA7A621" w14:textId="6295A472"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289E8" w14:textId="77777777" w:rsidR="00BF2857" w:rsidRDefault="00BF2857" w:rsidP="0042385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345053"/>
      <w:docPartObj>
        <w:docPartGallery w:val="Page Numbers (Bottom of Page)"/>
        <w:docPartUnique/>
      </w:docPartObj>
    </w:sdtPr>
    <w:sdtContent>
      <w:sdt>
        <w:sdtPr>
          <w:id w:val="-1738001321"/>
          <w:docPartObj>
            <w:docPartGallery w:val="Page Numbers (Top of Page)"/>
            <w:docPartUnique/>
          </w:docPartObj>
        </w:sdtPr>
        <w:sdtContent>
          <w:p w14:paraId="167DAB18" w14:textId="610CA501"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2064EF" w14:textId="77777777" w:rsidR="00BF2857" w:rsidRDefault="00BF2857" w:rsidP="0042385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682703"/>
      <w:docPartObj>
        <w:docPartGallery w:val="Page Numbers (Bottom of Page)"/>
        <w:docPartUnique/>
      </w:docPartObj>
    </w:sdtPr>
    <w:sdtContent>
      <w:sdt>
        <w:sdtPr>
          <w:id w:val="-2122051302"/>
          <w:docPartObj>
            <w:docPartGallery w:val="Page Numbers (Top of Page)"/>
            <w:docPartUnique/>
          </w:docPartObj>
        </w:sdtPr>
        <w:sdtContent>
          <w:p w14:paraId="33CBDA9B" w14:textId="229917D1"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1F2596" w14:textId="77777777" w:rsidR="00BF2857" w:rsidRDefault="00BF2857" w:rsidP="0042385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976876"/>
      <w:docPartObj>
        <w:docPartGallery w:val="Page Numbers (Bottom of Page)"/>
        <w:docPartUnique/>
      </w:docPartObj>
    </w:sdtPr>
    <w:sdtContent>
      <w:sdt>
        <w:sdtPr>
          <w:id w:val="123196847"/>
          <w:docPartObj>
            <w:docPartGallery w:val="Page Numbers (Top of Page)"/>
            <w:docPartUnique/>
          </w:docPartObj>
        </w:sdtPr>
        <w:sdtContent>
          <w:p w14:paraId="7B7BFA63" w14:textId="1422F64F"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140C94B" w14:textId="77777777" w:rsidR="00BF2857" w:rsidRDefault="00BF2857" w:rsidP="0042385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804620"/>
      <w:docPartObj>
        <w:docPartGallery w:val="Page Numbers (Bottom of Page)"/>
        <w:docPartUnique/>
      </w:docPartObj>
    </w:sdtPr>
    <w:sdtContent>
      <w:sdt>
        <w:sdtPr>
          <w:id w:val="1495152794"/>
          <w:docPartObj>
            <w:docPartGallery w:val="Page Numbers (Top of Page)"/>
            <w:docPartUnique/>
          </w:docPartObj>
        </w:sdtPr>
        <w:sdtContent>
          <w:p w14:paraId="659F8B42" w14:textId="1E46FE22"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FF90589" w14:textId="77777777" w:rsidR="00BF2857" w:rsidRDefault="00BF2857" w:rsidP="00423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6E8C" w14:textId="2E6D3BFD" w:rsidR="00BF2857" w:rsidRDefault="00BF2857">
    <w:pPr>
      <w:pStyle w:val="Footer"/>
      <w:jc w:val="center"/>
    </w:pPr>
  </w:p>
  <w:p w14:paraId="3DF29D2A" w14:textId="77777777" w:rsidR="00BF2857" w:rsidRDefault="00BF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727504"/>
      <w:docPartObj>
        <w:docPartGallery w:val="Page Numbers (Bottom of Page)"/>
        <w:docPartUnique/>
      </w:docPartObj>
    </w:sdtPr>
    <w:sdtContent>
      <w:sdt>
        <w:sdtPr>
          <w:id w:val="119119514"/>
          <w:docPartObj>
            <w:docPartGallery w:val="Page Numbers (Top of Page)"/>
            <w:docPartUnique/>
          </w:docPartObj>
        </w:sdtPr>
        <w:sdtContent>
          <w:p w14:paraId="6585B7C3" w14:textId="2F753AE9"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4DCC92B" w14:textId="77777777" w:rsidR="00BF2857" w:rsidRDefault="00BF2857" w:rsidP="004238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181878"/>
      <w:docPartObj>
        <w:docPartGallery w:val="Page Numbers (Bottom of Page)"/>
        <w:docPartUnique/>
      </w:docPartObj>
    </w:sdtPr>
    <w:sdtContent>
      <w:sdt>
        <w:sdtPr>
          <w:id w:val="-1020929934"/>
          <w:docPartObj>
            <w:docPartGallery w:val="Page Numbers (Top of Page)"/>
            <w:docPartUnique/>
          </w:docPartObj>
        </w:sdtPr>
        <w:sdtContent>
          <w:p w14:paraId="04D081CB" w14:textId="580C5434"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C2E03F5" w14:textId="77777777" w:rsidR="00BF2857" w:rsidRDefault="00BF2857" w:rsidP="004238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423900"/>
      <w:docPartObj>
        <w:docPartGallery w:val="Page Numbers (Bottom of Page)"/>
        <w:docPartUnique/>
      </w:docPartObj>
    </w:sdtPr>
    <w:sdtContent>
      <w:sdt>
        <w:sdtPr>
          <w:id w:val="1056586890"/>
          <w:docPartObj>
            <w:docPartGallery w:val="Page Numbers (Top of Page)"/>
            <w:docPartUnique/>
          </w:docPartObj>
        </w:sdtPr>
        <w:sdtContent>
          <w:p w14:paraId="6FCE18D0" w14:textId="60F2AA04"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7935AAA" w14:textId="77777777" w:rsidR="00BF2857" w:rsidRDefault="00BF2857" w:rsidP="004238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987576"/>
      <w:docPartObj>
        <w:docPartGallery w:val="Page Numbers (Bottom of Page)"/>
        <w:docPartUnique/>
      </w:docPartObj>
    </w:sdtPr>
    <w:sdtContent>
      <w:sdt>
        <w:sdtPr>
          <w:id w:val="-1627469087"/>
          <w:docPartObj>
            <w:docPartGallery w:val="Page Numbers (Top of Page)"/>
            <w:docPartUnique/>
          </w:docPartObj>
        </w:sdtPr>
        <w:sdtContent>
          <w:p w14:paraId="3E95F1C7" w14:textId="75A1D4EF"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197E7D2" w14:textId="77777777" w:rsidR="00BF2857" w:rsidRDefault="00BF28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902393"/>
      <w:docPartObj>
        <w:docPartGallery w:val="Page Numbers (Bottom of Page)"/>
        <w:docPartUnique/>
      </w:docPartObj>
    </w:sdtPr>
    <w:sdtContent>
      <w:sdt>
        <w:sdtPr>
          <w:id w:val="-296220476"/>
          <w:docPartObj>
            <w:docPartGallery w:val="Page Numbers (Top of Page)"/>
            <w:docPartUnique/>
          </w:docPartObj>
        </w:sdtPr>
        <w:sdtContent>
          <w:p w14:paraId="506AA510" w14:textId="2C06BA51"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306F849" w14:textId="1912895E" w:rsidR="00BF2857" w:rsidRDefault="00BF2857" w:rsidP="000F4794">
    <w:pPr>
      <w:pStyle w:val="Footer"/>
      <w:tabs>
        <w:tab w:val="clear" w:pos="4513"/>
        <w:tab w:val="clear" w:pos="9026"/>
        <w:tab w:val="left" w:pos="68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479787"/>
      <w:docPartObj>
        <w:docPartGallery w:val="Page Numbers (Bottom of Page)"/>
        <w:docPartUnique/>
      </w:docPartObj>
    </w:sdtPr>
    <w:sdtContent>
      <w:sdt>
        <w:sdtPr>
          <w:id w:val="104315390"/>
          <w:docPartObj>
            <w:docPartGallery w:val="Page Numbers (Top of Page)"/>
            <w:docPartUnique/>
          </w:docPartObj>
        </w:sdtPr>
        <w:sdtContent>
          <w:p w14:paraId="50CD3823" w14:textId="5F2D61AF"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CAD34D3" w14:textId="77777777" w:rsidR="00BF2857" w:rsidRDefault="00BF2857" w:rsidP="0042385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840105"/>
      <w:docPartObj>
        <w:docPartGallery w:val="Page Numbers (Bottom of Page)"/>
        <w:docPartUnique/>
      </w:docPartObj>
    </w:sdtPr>
    <w:sdtContent>
      <w:sdt>
        <w:sdtPr>
          <w:id w:val="574102958"/>
          <w:docPartObj>
            <w:docPartGallery w:val="Page Numbers (Top of Page)"/>
            <w:docPartUnique/>
          </w:docPartObj>
        </w:sdtPr>
        <w:sdtContent>
          <w:p w14:paraId="7798A8F2" w14:textId="3FD3228F" w:rsidR="00BF2857" w:rsidRDefault="00BF28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8D93CA3" w14:textId="77777777" w:rsidR="00BF2857" w:rsidRDefault="00BF2857" w:rsidP="0042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29E8" w14:textId="77777777" w:rsidR="00BF2857" w:rsidRDefault="00BF2857" w:rsidP="0042385F">
      <w:r>
        <w:separator/>
      </w:r>
    </w:p>
  </w:footnote>
  <w:footnote w:type="continuationSeparator" w:id="0">
    <w:p w14:paraId="3B7B4B86" w14:textId="77777777" w:rsidR="00BF2857" w:rsidRDefault="00BF2857" w:rsidP="00423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DA1"/>
    <w:multiLevelType w:val="multilevel"/>
    <w:tmpl w:val="A82A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D44BE"/>
    <w:multiLevelType w:val="multilevel"/>
    <w:tmpl w:val="870E98D2"/>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4B67E5"/>
    <w:multiLevelType w:val="multilevel"/>
    <w:tmpl w:val="22D25E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06C20"/>
    <w:multiLevelType w:val="multilevel"/>
    <w:tmpl w:val="C6F8B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567A70"/>
    <w:multiLevelType w:val="hybridMultilevel"/>
    <w:tmpl w:val="974E196A"/>
    <w:lvl w:ilvl="0" w:tplc="509C0268">
      <w:start w:val="202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6D7498"/>
    <w:multiLevelType w:val="hybridMultilevel"/>
    <w:tmpl w:val="88BE5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79916"/>
    <w:multiLevelType w:val="hybridMultilevel"/>
    <w:tmpl w:val="767C01CA"/>
    <w:lvl w:ilvl="0" w:tplc="225EC776">
      <w:start w:val="1"/>
      <w:numFmt w:val="bullet"/>
      <w:lvlText w:val=""/>
      <w:lvlJc w:val="left"/>
      <w:pPr>
        <w:ind w:left="720" w:hanging="360"/>
      </w:pPr>
      <w:rPr>
        <w:rFonts w:ascii="Symbol" w:hAnsi="Symbol" w:hint="default"/>
      </w:rPr>
    </w:lvl>
    <w:lvl w:ilvl="1" w:tplc="7352AB80">
      <w:start w:val="1"/>
      <w:numFmt w:val="bullet"/>
      <w:lvlText w:val="o"/>
      <w:lvlJc w:val="left"/>
      <w:pPr>
        <w:ind w:left="1440" w:hanging="360"/>
      </w:pPr>
      <w:rPr>
        <w:rFonts w:ascii="Courier New" w:hAnsi="Courier New" w:hint="default"/>
      </w:rPr>
    </w:lvl>
    <w:lvl w:ilvl="2" w:tplc="EBAA842A">
      <w:start w:val="1"/>
      <w:numFmt w:val="bullet"/>
      <w:lvlText w:val=""/>
      <w:lvlJc w:val="left"/>
      <w:pPr>
        <w:ind w:left="2160" w:hanging="360"/>
      </w:pPr>
      <w:rPr>
        <w:rFonts w:ascii="Wingdings" w:hAnsi="Wingdings" w:hint="default"/>
      </w:rPr>
    </w:lvl>
    <w:lvl w:ilvl="3" w:tplc="E5D84336">
      <w:start w:val="1"/>
      <w:numFmt w:val="bullet"/>
      <w:lvlText w:val=""/>
      <w:lvlJc w:val="left"/>
      <w:pPr>
        <w:ind w:left="2880" w:hanging="360"/>
      </w:pPr>
      <w:rPr>
        <w:rFonts w:ascii="Symbol" w:hAnsi="Symbol" w:hint="default"/>
      </w:rPr>
    </w:lvl>
    <w:lvl w:ilvl="4" w:tplc="C3DA319C">
      <w:start w:val="1"/>
      <w:numFmt w:val="bullet"/>
      <w:lvlText w:val="o"/>
      <w:lvlJc w:val="left"/>
      <w:pPr>
        <w:ind w:left="3600" w:hanging="360"/>
      </w:pPr>
      <w:rPr>
        <w:rFonts w:ascii="Courier New" w:hAnsi="Courier New" w:hint="default"/>
      </w:rPr>
    </w:lvl>
    <w:lvl w:ilvl="5" w:tplc="A0906650">
      <w:start w:val="1"/>
      <w:numFmt w:val="bullet"/>
      <w:lvlText w:val=""/>
      <w:lvlJc w:val="left"/>
      <w:pPr>
        <w:ind w:left="4320" w:hanging="360"/>
      </w:pPr>
      <w:rPr>
        <w:rFonts w:ascii="Wingdings" w:hAnsi="Wingdings" w:hint="default"/>
      </w:rPr>
    </w:lvl>
    <w:lvl w:ilvl="6" w:tplc="6FA8202C">
      <w:start w:val="1"/>
      <w:numFmt w:val="bullet"/>
      <w:lvlText w:val=""/>
      <w:lvlJc w:val="left"/>
      <w:pPr>
        <w:ind w:left="5040" w:hanging="360"/>
      </w:pPr>
      <w:rPr>
        <w:rFonts w:ascii="Symbol" w:hAnsi="Symbol" w:hint="default"/>
      </w:rPr>
    </w:lvl>
    <w:lvl w:ilvl="7" w:tplc="8758CFD2">
      <w:start w:val="1"/>
      <w:numFmt w:val="bullet"/>
      <w:lvlText w:val="o"/>
      <w:lvlJc w:val="left"/>
      <w:pPr>
        <w:ind w:left="5760" w:hanging="360"/>
      </w:pPr>
      <w:rPr>
        <w:rFonts w:ascii="Courier New" w:hAnsi="Courier New" w:hint="default"/>
      </w:rPr>
    </w:lvl>
    <w:lvl w:ilvl="8" w:tplc="5B401F80">
      <w:start w:val="1"/>
      <w:numFmt w:val="bullet"/>
      <w:lvlText w:val=""/>
      <w:lvlJc w:val="left"/>
      <w:pPr>
        <w:ind w:left="6480" w:hanging="360"/>
      </w:pPr>
      <w:rPr>
        <w:rFonts w:ascii="Wingdings" w:hAnsi="Wingdings" w:hint="default"/>
      </w:rPr>
    </w:lvl>
  </w:abstractNum>
  <w:abstractNum w:abstractNumId="7" w15:restartNumberingAfterBreak="0">
    <w:nsid w:val="300F753D"/>
    <w:multiLevelType w:val="hybridMultilevel"/>
    <w:tmpl w:val="6E646348"/>
    <w:lvl w:ilvl="0" w:tplc="7932FE04">
      <w:start w:val="202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786B6E"/>
    <w:multiLevelType w:val="multilevel"/>
    <w:tmpl w:val="B15A7C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5B14DD"/>
    <w:multiLevelType w:val="multilevel"/>
    <w:tmpl w:val="3850BD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71480B"/>
    <w:multiLevelType w:val="hybridMultilevel"/>
    <w:tmpl w:val="1244220C"/>
    <w:lvl w:ilvl="0" w:tplc="AF9463C4">
      <w:start w:val="1"/>
      <w:numFmt w:val="bullet"/>
      <w:lvlText w:val=""/>
      <w:lvlJc w:val="left"/>
      <w:pPr>
        <w:ind w:left="720" w:hanging="360"/>
      </w:pPr>
      <w:rPr>
        <w:rFonts w:ascii="Symbol" w:hAnsi="Symbol" w:hint="default"/>
      </w:rPr>
    </w:lvl>
    <w:lvl w:ilvl="1" w:tplc="DCC4F69A">
      <w:start w:val="1"/>
      <w:numFmt w:val="bullet"/>
      <w:lvlText w:val="o"/>
      <w:lvlJc w:val="left"/>
      <w:pPr>
        <w:ind w:left="1440" w:hanging="360"/>
      </w:pPr>
      <w:rPr>
        <w:rFonts w:ascii="Courier New" w:hAnsi="Courier New" w:hint="default"/>
      </w:rPr>
    </w:lvl>
    <w:lvl w:ilvl="2" w:tplc="172AE77C">
      <w:start w:val="1"/>
      <w:numFmt w:val="bullet"/>
      <w:lvlText w:val=""/>
      <w:lvlJc w:val="left"/>
      <w:pPr>
        <w:ind w:left="2160" w:hanging="360"/>
      </w:pPr>
      <w:rPr>
        <w:rFonts w:ascii="Wingdings" w:hAnsi="Wingdings" w:hint="default"/>
      </w:rPr>
    </w:lvl>
    <w:lvl w:ilvl="3" w:tplc="2BA24E04">
      <w:start w:val="1"/>
      <w:numFmt w:val="bullet"/>
      <w:lvlText w:val=""/>
      <w:lvlJc w:val="left"/>
      <w:pPr>
        <w:ind w:left="2880" w:hanging="360"/>
      </w:pPr>
      <w:rPr>
        <w:rFonts w:ascii="Symbol" w:hAnsi="Symbol" w:hint="default"/>
      </w:rPr>
    </w:lvl>
    <w:lvl w:ilvl="4" w:tplc="7988B65E">
      <w:start w:val="1"/>
      <w:numFmt w:val="bullet"/>
      <w:lvlText w:val="o"/>
      <w:lvlJc w:val="left"/>
      <w:pPr>
        <w:ind w:left="3600" w:hanging="360"/>
      </w:pPr>
      <w:rPr>
        <w:rFonts w:ascii="Courier New" w:hAnsi="Courier New" w:hint="default"/>
      </w:rPr>
    </w:lvl>
    <w:lvl w:ilvl="5" w:tplc="E2E068FC">
      <w:start w:val="1"/>
      <w:numFmt w:val="bullet"/>
      <w:lvlText w:val=""/>
      <w:lvlJc w:val="left"/>
      <w:pPr>
        <w:ind w:left="4320" w:hanging="360"/>
      </w:pPr>
      <w:rPr>
        <w:rFonts w:ascii="Wingdings" w:hAnsi="Wingdings" w:hint="default"/>
      </w:rPr>
    </w:lvl>
    <w:lvl w:ilvl="6" w:tplc="ED824FA2">
      <w:start w:val="1"/>
      <w:numFmt w:val="bullet"/>
      <w:lvlText w:val=""/>
      <w:lvlJc w:val="left"/>
      <w:pPr>
        <w:ind w:left="5040" w:hanging="360"/>
      </w:pPr>
      <w:rPr>
        <w:rFonts w:ascii="Symbol" w:hAnsi="Symbol" w:hint="default"/>
      </w:rPr>
    </w:lvl>
    <w:lvl w:ilvl="7" w:tplc="732E33BE">
      <w:start w:val="1"/>
      <w:numFmt w:val="bullet"/>
      <w:lvlText w:val="o"/>
      <w:lvlJc w:val="left"/>
      <w:pPr>
        <w:ind w:left="5760" w:hanging="360"/>
      </w:pPr>
      <w:rPr>
        <w:rFonts w:ascii="Courier New" w:hAnsi="Courier New" w:hint="default"/>
      </w:rPr>
    </w:lvl>
    <w:lvl w:ilvl="8" w:tplc="88FA7D56">
      <w:start w:val="1"/>
      <w:numFmt w:val="bullet"/>
      <w:lvlText w:val=""/>
      <w:lvlJc w:val="left"/>
      <w:pPr>
        <w:ind w:left="6480" w:hanging="360"/>
      </w:pPr>
      <w:rPr>
        <w:rFonts w:ascii="Wingdings" w:hAnsi="Wingdings" w:hint="default"/>
      </w:rPr>
    </w:lvl>
  </w:abstractNum>
  <w:abstractNum w:abstractNumId="11" w15:restartNumberingAfterBreak="0">
    <w:nsid w:val="40AB12B5"/>
    <w:multiLevelType w:val="hybridMultilevel"/>
    <w:tmpl w:val="D506D7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43CA6899"/>
    <w:multiLevelType w:val="hybridMultilevel"/>
    <w:tmpl w:val="3802F6FC"/>
    <w:lvl w:ilvl="0" w:tplc="8B8CE16A">
      <w:start w:val="1"/>
      <w:numFmt w:val="decimal"/>
      <w:lvlText w:val="%1."/>
      <w:lvlJc w:val="left"/>
      <w:pPr>
        <w:ind w:left="709" w:hanging="709"/>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313C76"/>
    <w:multiLevelType w:val="hybridMultilevel"/>
    <w:tmpl w:val="E8A6BEFC"/>
    <w:lvl w:ilvl="0" w:tplc="75245CB8">
      <w:start w:val="1"/>
      <w:numFmt w:val="bullet"/>
      <w:lvlText w:val=""/>
      <w:lvlJc w:val="left"/>
      <w:pPr>
        <w:ind w:left="720" w:hanging="360"/>
      </w:pPr>
      <w:rPr>
        <w:rFonts w:ascii="Symbol" w:hAnsi="Symbol" w:hint="default"/>
      </w:rPr>
    </w:lvl>
    <w:lvl w:ilvl="1" w:tplc="54F80FEE">
      <w:start w:val="1"/>
      <w:numFmt w:val="bullet"/>
      <w:lvlText w:val="o"/>
      <w:lvlJc w:val="left"/>
      <w:pPr>
        <w:ind w:left="1440" w:hanging="360"/>
      </w:pPr>
      <w:rPr>
        <w:rFonts w:ascii="Courier New" w:hAnsi="Courier New" w:hint="default"/>
      </w:rPr>
    </w:lvl>
    <w:lvl w:ilvl="2" w:tplc="A220565E">
      <w:start w:val="1"/>
      <w:numFmt w:val="bullet"/>
      <w:lvlText w:val=""/>
      <w:lvlJc w:val="left"/>
      <w:pPr>
        <w:ind w:left="2160" w:hanging="360"/>
      </w:pPr>
      <w:rPr>
        <w:rFonts w:ascii="Wingdings" w:hAnsi="Wingdings" w:hint="default"/>
      </w:rPr>
    </w:lvl>
    <w:lvl w:ilvl="3" w:tplc="E9C25A1E">
      <w:start w:val="1"/>
      <w:numFmt w:val="bullet"/>
      <w:lvlText w:val=""/>
      <w:lvlJc w:val="left"/>
      <w:pPr>
        <w:ind w:left="2880" w:hanging="360"/>
      </w:pPr>
      <w:rPr>
        <w:rFonts w:ascii="Symbol" w:hAnsi="Symbol" w:hint="default"/>
      </w:rPr>
    </w:lvl>
    <w:lvl w:ilvl="4" w:tplc="97365A9C">
      <w:start w:val="1"/>
      <w:numFmt w:val="bullet"/>
      <w:lvlText w:val="o"/>
      <w:lvlJc w:val="left"/>
      <w:pPr>
        <w:ind w:left="3600" w:hanging="360"/>
      </w:pPr>
      <w:rPr>
        <w:rFonts w:ascii="Courier New" w:hAnsi="Courier New" w:hint="default"/>
      </w:rPr>
    </w:lvl>
    <w:lvl w:ilvl="5" w:tplc="8BC6AFA0">
      <w:start w:val="1"/>
      <w:numFmt w:val="bullet"/>
      <w:lvlText w:val=""/>
      <w:lvlJc w:val="left"/>
      <w:pPr>
        <w:ind w:left="4320" w:hanging="360"/>
      </w:pPr>
      <w:rPr>
        <w:rFonts w:ascii="Wingdings" w:hAnsi="Wingdings" w:hint="default"/>
      </w:rPr>
    </w:lvl>
    <w:lvl w:ilvl="6" w:tplc="0CCC3CC2">
      <w:start w:val="1"/>
      <w:numFmt w:val="bullet"/>
      <w:lvlText w:val=""/>
      <w:lvlJc w:val="left"/>
      <w:pPr>
        <w:ind w:left="5040" w:hanging="360"/>
      </w:pPr>
      <w:rPr>
        <w:rFonts w:ascii="Symbol" w:hAnsi="Symbol" w:hint="default"/>
      </w:rPr>
    </w:lvl>
    <w:lvl w:ilvl="7" w:tplc="306864E4">
      <w:start w:val="1"/>
      <w:numFmt w:val="bullet"/>
      <w:lvlText w:val="o"/>
      <w:lvlJc w:val="left"/>
      <w:pPr>
        <w:ind w:left="5760" w:hanging="360"/>
      </w:pPr>
      <w:rPr>
        <w:rFonts w:ascii="Courier New" w:hAnsi="Courier New" w:hint="default"/>
      </w:rPr>
    </w:lvl>
    <w:lvl w:ilvl="8" w:tplc="D71027BA">
      <w:start w:val="1"/>
      <w:numFmt w:val="bullet"/>
      <w:lvlText w:val=""/>
      <w:lvlJc w:val="left"/>
      <w:pPr>
        <w:ind w:left="6480" w:hanging="360"/>
      </w:pPr>
      <w:rPr>
        <w:rFonts w:ascii="Wingdings" w:hAnsi="Wingdings" w:hint="default"/>
      </w:rPr>
    </w:lvl>
  </w:abstractNum>
  <w:abstractNum w:abstractNumId="14" w15:restartNumberingAfterBreak="0">
    <w:nsid w:val="493530FE"/>
    <w:multiLevelType w:val="multilevel"/>
    <w:tmpl w:val="AFEEB658"/>
    <w:lvl w:ilvl="0">
      <w:start w:val="8"/>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sz w:val="24"/>
        <w:szCs w:val="20"/>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15" w15:restartNumberingAfterBreak="0">
    <w:nsid w:val="49917D33"/>
    <w:multiLevelType w:val="multilevel"/>
    <w:tmpl w:val="E8A8F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651A8C"/>
    <w:multiLevelType w:val="multilevel"/>
    <w:tmpl w:val="76E47ECC"/>
    <w:lvl w:ilvl="0">
      <w:start w:val="7"/>
      <w:numFmt w:val="decimal"/>
      <w:lvlText w:val="%1"/>
      <w:lvlJc w:val="left"/>
      <w:pPr>
        <w:ind w:left="360" w:hanging="360"/>
      </w:pPr>
      <w:rPr>
        <w:rFonts w:ascii="Arial" w:hAnsi="Arial" w:hint="default"/>
        <w:sz w:val="24"/>
      </w:rPr>
    </w:lvl>
    <w:lvl w:ilvl="1">
      <w:start w:val="1"/>
      <w:numFmt w:val="decimal"/>
      <w:lvlText w:val="%1.%2"/>
      <w:lvlJc w:val="left"/>
      <w:pPr>
        <w:ind w:left="360" w:hanging="360"/>
      </w:pPr>
      <w:rPr>
        <w:rFonts w:ascii="Arial" w:hAnsi="Arial" w:hint="default"/>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720" w:hanging="72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080" w:hanging="1080"/>
      </w:pPr>
      <w:rPr>
        <w:rFonts w:ascii="Arial" w:hAnsi="Arial" w:hint="default"/>
        <w:sz w:val="24"/>
      </w:rPr>
    </w:lvl>
    <w:lvl w:ilvl="6">
      <w:start w:val="1"/>
      <w:numFmt w:val="decimal"/>
      <w:lvlText w:val="%1.%2.%3.%4.%5.%6.%7"/>
      <w:lvlJc w:val="left"/>
      <w:pPr>
        <w:ind w:left="1440" w:hanging="1440"/>
      </w:pPr>
      <w:rPr>
        <w:rFonts w:ascii="Arial" w:hAnsi="Arial" w:hint="default"/>
        <w:sz w:val="24"/>
      </w:rPr>
    </w:lvl>
    <w:lvl w:ilvl="7">
      <w:start w:val="1"/>
      <w:numFmt w:val="decimal"/>
      <w:lvlText w:val="%1.%2.%3.%4.%5.%6.%7.%8"/>
      <w:lvlJc w:val="left"/>
      <w:pPr>
        <w:ind w:left="1440" w:hanging="1440"/>
      </w:pPr>
      <w:rPr>
        <w:rFonts w:ascii="Arial" w:hAnsi="Arial" w:hint="default"/>
        <w:sz w:val="24"/>
      </w:rPr>
    </w:lvl>
    <w:lvl w:ilvl="8">
      <w:start w:val="1"/>
      <w:numFmt w:val="decimal"/>
      <w:lvlText w:val="%1.%2.%3.%4.%5.%6.%7.%8.%9"/>
      <w:lvlJc w:val="left"/>
      <w:pPr>
        <w:ind w:left="1440" w:hanging="1440"/>
      </w:pPr>
      <w:rPr>
        <w:rFonts w:ascii="Arial" w:hAnsi="Arial" w:hint="default"/>
        <w:sz w:val="24"/>
      </w:rPr>
    </w:lvl>
  </w:abstractNum>
  <w:abstractNum w:abstractNumId="17" w15:restartNumberingAfterBreak="0">
    <w:nsid w:val="4CC2648C"/>
    <w:multiLevelType w:val="multilevel"/>
    <w:tmpl w:val="A6B635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C003B5"/>
    <w:multiLevelType w:val="multilevel"/>
    <w:tmpl w:val="FF2E3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F448CA"/>
    <w:multiLevelType w:val="hybridMultilevel"/>
    <w:tmpl w:val="2EF26D2E"/>
    <w:lvl w:ilvl="0" w:tplc="DEE24654">
      <w:start w:val="1"/>
      <w:numFmt w:val="bullet"/>
      <w:lvlText w:val=""/>
      <w:lvlJc w:val="left"/>
      <w:pPr>
        <w:ind w:left="720" w:hanging="360"/>
      </w:pPr>
      <w:rPr>
        <w:rFonts w:ascii="Symbol" w:hAnsi="Symbol" w:hint="default"/>
      </w:rPr>
    </w:lvl>
    <w:lvl w:ilvl="1" w:tplc="6E482FB6">
      <w:start w:val="1"/>
      <w:numFmt w:val="bullet"/>
      <w:lvlText w:val="o"/>
      <w:lvlJc w:val="left"/>
      <w:pPr>
        <w:ind w:left="1440" w:hanging="360"/>
      </w:pPr>
      <w:rPr>
        <w:rFonts w:ascii="Courier New" w:hAnsi="Courier New" w:hint="default"/>
      </w:rPr>
    </w:lvl>
    <w:lvl w:ilvl="2" w:tplc="BA6EBAAC">
      <w:start w:val="1"/>
      <w:numFmt w:val="bullet"/>
      <w:lvlText w:val=""/>
      <w:lvlJc w:val="left"/>
      <w:pPr>
        <w:ind w:left="2160" w:hanging="360"/>
      </w:pPr>
      <w:rPr>
        <w:rFonts w:ascii="Wingdings" w:hAnsi="Wingdings" w:hint="default"/>
      </w:rPr>
    </w:lvl>
    <w:lvl w:ilvl="3" w:tplc="FEEEA51E">
      <w:start w:val="1"/>
      <w:numFmt w:val="bullet"/>
      <w:lvlText w:val=""/>
      <w:lvlJc w:val="left"/>
      <w:pPr>
        <w:ind w:left="2880" w:hanging="360"/>
      </w:pPr>
      <w:rPr>
        <w:rFonts w:ascii="Symbol" w:hAnsi="Symbol" w:hint="default"/>
      </w:rPr>
    </w:lvl>
    <w:lvl w:ilvl="4" w:tplc="DBF27296">
      <w:start w:val="1"/>
      <w:numFmt w:val="bullet"/>
      <w:lvlText w:val="o"/>
      <w:lvlJc w:val="left"/>
      <w:pPr>
        <w:ind w:left="3600" w:hanging="360"/>
      </w:pPr>
      <w:rPr>
        <w:rFonts w:ascii="Courier New" w:hAnsi="Courier New" w:hint="default"/>
      </w:rPr>
    </w:lvl>
    <w:lvl w:ilvl="5" w:tplc="53626008">
      <w:start w:val="1"/>
      <w:numFmt w:val="bullet"/>
      <w:lvlText w:val=""/>
      <w:lvlJc w:val="left"/>
      <w:pPr>
        <w:ind w:left="4320" w:hanging="360"/>
      </w:pPr>
      <w:rPr>
        <w:rFonts w:ascii="Wingdings" w:hAnsi="Wingdings" w:hint="default"/>
      </w:rPr>
    </w:lvl>
    <w:lvl w:ilvl="6" w:tplc="6DB41116">
      <w:start w:val="1"/>
      <w:numFmt w:val="bullet"/>
      <w:lvlText w:val=""/>
      <w:lvlJc w:val="left"/>
      <w:pPr>
        <w:ind w:left="5040" w:hanging="360"/>
      </w:pPr>
      <w:rPr>
        <w:rFonts w:ascii="Symbol" w:hAnsi="Symbol" w:hint="default"/>
      </w:rPr>
    </w:lvl>
    <w:lvl w:ilvl="7" w:tplc="E7125C32">
      <w:start w:val="1"/>
      <w:numFmt w:val="bullet"/>
      <w:lvlText w:val="o"/>
      <w:lvlJc w:val="left"/>
      <w:pPr>
        <w:ind w:left="5760" w:hanging="360"/>
      </w:pPr>
      <w:rPr>
        <w:rFonts w:ascii="Courier New" w:hAnsi="Courier New" w:hint="default"/>
      </w:rPr>
    </w:lvl>
    <w:lvl w:ilvl="8" w:tplc="82CE901C">
      <w:start w:val="1"/>
      <w:numFmt w:val="bullet"/>
      <w:lvlText w:val=""/>
      <w:lvlJc w:val="left"/>
      <w:pPr>
        <w:ind w:left="6480" w:hanging="360"/>
      </w:pPr>
      <w:rPr>
        <w:rFonts w:ascii="Wingdings" w:hAnsi="Wingdings" w:hint="default"/>
      </w:rPr>
    </w:lvl>
  </w:abstractNum>
  <w:abstractNum w:abstractNumId="20" w15:restartNumberingAfterBreak="0">
    <w:nsid w:val="5A524A0F"/>
    <w:multiLevelType w:val="multilevel"/>
    <w:tmpl w:val="870E98D2"/>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A8F56A3"/>
    <w:multiLevelType w:val="multilevel"/>
    <w:tmpl w:val="62BC5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DB8F0"/>
    <w:multiLevelType w:val="hybridMultilevel"/>
    <w:tmpl w:val="09ECDD02"/>
    <w:lvl w:ilvl="0" w:tplc="16620A62">
      <w:start w:val="1"/>
      <w:numFmt w:val="bullet"/>
      <w:lvlText w:val=""/>
      <w:lvlJc w:val="left"/>
      <w:pPr>
        <w:ind w:left="720" w:hanging="360"/>
      </w:pPr>
      <w:rPr>
        <w:rFonts w:ascii="Symbol" w:hAnsi="Symbol" w:hint="default"/>
      </w:rPr>
    </w:lvl>
    <w:lvl w:ilvl="1" w:tplc="A9CA4F32">
      <w:start w:val="1"/>
      <w:numFmt w:val="bullet"/>
      <w:lvlText w:val="o"/>
      <w:lvlJc w:val="left"/>
      <w:pPr>
        <w:ind w:left="1440" w:hanging="360"/>
      </w:pPr>
      <w:rPr>
        <w:rFonts w:ascii="Courier New" w:hAnsi="Courier New" w:hint="default"/>
      </w:rPr>
    </w:lvl>
    <w:lvl w:ilvl="2" w:tplc="C59A341E">
      <w:start w:val="1"/>
      <w:numFmt w:val="bullet"/>
      <w:lvlText w:val=""/>
      <w:lvlJc w:val="left"/>
      <w:pPr>
        <w:ind w:left="2160" w:hanging="360"/>
      </w:pPr>
      <w:rPr>
        <w:rFonts w:ascii="Wingdings" w:hAnsi="Wingdings" w:hint="default"/>
      </w:rPr>
    </w:lvl>
    <w:lvl w:ilvl="3" w:tplc="C6506F7A">
      <w:start w:val="1"/>
      <w:numFmt w:val="bullet"/>
      <w:lvlText w:val=""/>
      <w:lvlJc w:val="left"/>
      <w:pPr>
        <w:ind w:left="2880" w:hanging="360"/>
      </w:pPr>
      <w:rPr>
        <w:rFonts w:ascii="Symbol" w:hAnsi="Symbol" w:hint="default"/>
      </w:rPr>
    </w:lvl>
    <w:lvl w:ilvl="4" w:tplc="2DBCDAC8">
      <w:start w:val="1"/>
      <w:numFmt w:val="bullet"/>
      <w:lvlText w:val="o"/>
      <w:lvlJc w:val="left"/>
      <w:pPr>
        <w:ind w:left="3600" w:hanging="360"/>
      </w:pPr>
      <w:rPr>
        <w:rFonts w:ascii="Courier New" w:hAnsi="Courier New" w:hint="default"/>
      </w:rPr>
    </w:lvl>
    <w:lvl w:ilvl="5" w:tplc="CDC8E7F8">
      <w:start w:val="1"/>
      <w:numFmt w:val="bullet"/>
      <w:lvlText w:val=""/>
      <w:lvlJc w:val="left"/>
      <w:pPr>
        <w:ind w:left="4320" w:hanging="360"/>
      </w:pPr>
      <w:rPr>
        <w:rFonts w:ascii="Wingdings" w:hAnsi="Wingdings" w:hint="default"/>
      </w:rPr>
    </w:lvl>
    <w:lvl w:ilvl="6" w:tplc="C082E5CC">
      <w:start w:val="1"/>
      <w:numFmt w:val="bullet"/>
      <w:lvlText w:val=""/>
      <w:lvlJc w:val="left"/>
      <w:pPr>
        <w:ind w:left="5040" w:hanging="360"/>
      </w:pPr>
      <w:rPr>
        <w:rFonts w:ascii="Symbol" w:hAnsi="Symbol" w:hint="default"/>
      </w:rPr>
    </w:lvl>
    <w:lvl w:ilvl="7" w:tplc="71DC755E">
      <w:start w:val="1"/>
      <w:numFmt w:val="bullet"/>
      <w:lvlText w:val="o"/>
      <w:lvlJc w:val="left"/>
      <w:pPr>
        <w:ind w:left="5760" w:hanging="360"/>
      </w:pPr>
      <w:rPr>
        <w:rFonts w:ascii="Courier New" w:hAnsi="Courier New" w:hint="default"/>
      </w:rPr>
    </w:lvl>
    <w:lvl w:ilvl="8" w:tplc="37229602">
      <w:start w:val="1"/>
      <w:numFmt w:val="bullet"/>
      <w:lvlText w:val=""/>
      <w:lvlJc w:val="left"/>
      <w:pPr>
        <w:ind w:left="6480" w:hanging="360"/>
      </w:pPr>
      <w:rPr>
        <w:rFonts w:ascii="Wingdings" w:hAnsi="Wingdings" w:hint="default"/>
      </w:rPr>
    </w:lvl>
  </w:abstractNum>
  <w:abstractNum w:abstractNumId="23" w15:restartNumberingAfterBreak="0">
    <w:nsid w:val="613DDEE3"/>
    <w:multiLevelType w:val="hybridMultilevel"/>
    <w:tmpl w:val="11DCA568"/>
    <w:lvl w:ilvl="0" w:tplc="F2AC5F84">
      <w:start w:val="1"/>
      <w:numFmt w:val="bullet"/>
      <w:lvlText w:val=""/>
      <w:lvlJc w:val="left"/>
      <w:pPr>
        <w:ind w:left="720" w:hanging="360"/>
      </w:pPr>
      <w:rPr>
        <w:rFonts w:ascii="Symbol" w:hAnsi="Symbol" w:hint="default"/>
      </w:rPr>
    </w:lvl>
    <w:lvl w:ilvl="1" w:tplc="C73856DE">
      <w:start w:val="1"/>
      <w:numFmt w:val="bullet"/>
      <w:lvlText w:val="o"/>
      <w:lvlJc w:val="left"/>
      <w:pPr>
        <w:ind w:left="1440" w:hanging="360"/>
      </w:pPr>
      <w:rPr>
        <w:rFonts w:ascii="Courier New" w:hAnsi="Courier New" w:hint="default"/>
      </w:rPr>
    </w:lvl>
    <w:lvl w:ilvl="2" w:tplc="FD961B30">
      <w:start w:val="1"/>
      <w:numFmt w:val="bullet"/>
      <w:lvlText w:val=""/>
      <w:lvlJc w:val="left"/>
      <w:pPr>
        <w:ind w:left="2160" w:hanging="360"/>
      </w:pPr>
      <w:rPr>
        <w:rFonts w:ascii="Wingdings" w:hAnsi="Wingdings" w:hint="default"/>
      </w:rPr>
    </w:lvl>
    <w:lvl w:ilvl="3" w:tplc="6C741E40">
      <w:start w:val="1"/>
      <w:numFmt w:val="bullet"/>
      <w:lvlText w:val=""/>
      <w:lvlJc w:val="left"/>
      <w:pPr>
        <w:ind w:left="2880" w:hanging="360"/>
      </w:pPr>
      <w:rPr>
        <w:rFonts w:ascii="Symbol" w:hAnsi="Symbol" w:hint="default"/>
      </w:rPr>
    </w:lvl>
    <w:lvl w:ilvl="4" w:tplc="CE86A8CA">
      <w:start w:val="1"/>
      <w:numFmt w:val="bullet"/>
      <w:lvlText w:val="o"/>
      <w:lvlJc w:val="left"/>
      <w:pPr>
        <w:ind w:left="3600" w:hanging="360"/>
      </w:pPr>
      <w:rPr>
        <w:rFonts w:ascii="Courier New" w:hAnsi="Courier New" w:hint="default"/>
      </w:rPr>
    </w:lvl>
    <w:lvl w:ilvl="5" w:tplc="C0342260">
      <w:start w:val="1"/>
      <w:numFmt w:val="bullet"/>
      <w:lvlText w:val=""/>
      <w:lvlJc w:val="left"/>
      <w:pPr>
        <w:ind w:left="4320" w:hanging="360"/>
      </w:pPr>
      <w:rPr>
        <w:rFonts w:ascii="Wingdings" w:hAnsi="Wingdings" w:hint="default"/>
      </w:rPr>
    </w:lvl>
    <w:lvl w:ilvl="6" w:tplc="3EA83622">
      <w:start w:val="1"/>
      <w:numFmt w:val="bullet"/>
      <w:lvlText w:val=""/>
      <w:lvlJc w:val="left"/>
      <w:pPr>
        <w:ind w:left="5040" w:hanging="360"/>
      </w:pPr>
      <w:rPr>
        <w:rFonts w:ascii="Symbol" w:hAnsi="Symbol" w:hint="default"/>
      </w:rPr>
    </w:lvl>
    <w:lvl w:ilvl="7" w:tplc="32928DE8">
      <w:start w:val="1"/>
      <w:numFmt w:val="bullet"/>
      <w:lvlText w:val="o"/>
      <w:lvlJc w:val="left"/>
      <w:pPr>
        <w:ind w:left="5760" w:hanging="360"/>
      </w:pPr>
      <w:rPr>
        <w:rFonts w:ascii="Courier New" w:hAnsi="Courier New" w:hint="default"/>
      </w:rPr>
    </w:lvl>
    <w:lvl w:ilvl="8" w:tplc="5FB8A122">
      <w:start w:val="1"/>
      <w:numFmt w:val="bullet"/>
      <w:lvlText w:val=""/>
      <w:lvlJc w:val="left"/>
      <w:pPr>
        <w:ind w:left="6480" w:hanging="360"/>
      </w:pPr>
      <w:rPr>
        <w:rFonts w:ascii="Wingdings" w:hAnsi="Wingdings" w:hint="default"/>
      </w:rPr>
    </w:lvl>
  </w:abstractNum>
  <w:abstractNum w:abstractNumId="24" w15:restartNumberingAfterBreak="0">
    <w:nsid w:val="6B086AF0"/>
    <w:multiLevelType w:val="hybridMultilevel"/>
    <w:tmpl w:val="F594F49A"/>
    <w:lvl w:ilvl="0" w:tplc="1518A8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2A4E4"/>
    <w:multiLevelType w:val="hybridMultilevel"/>
    <w:tmpl w:val="F6689FA8"/>
    <w:lvl w:ilvl="0" w:tplc="A0C64334">
      <w:start w:val="1"/>
      <w:numFmt w:val="bullet"/>
      <w:lvlText w:val=""/>
      <w:lvlJc w:val="left"/>
      <w:pPr>
        <w:ind w:left="720" w:hanging="360"/>
      </w:pPr>
      <w:rPr>
        <w:rFonts w:ascii="Symbol" w:hAnsi="Symbol" w:hint="default"/>
      </w:rPr>
    </w:lvl>
    <w:lvl w:ilvl="1" w:tplc="A2947BC6">
      <w:start w:val="1"/>
      <w:numFmt w:val="bullet"/>
      <w:lvlText w:val="o"/>
      <w:lvlJc w:val="left"/>
      <w:pPr>
        <w:ind w:left="1440" w:hanging="360"/>
      </w:pPr>
      <w:rPr>
        <w:rFonts w:ascii="Courier New" w:hAnsi="Courier New" w:hint="default"/>
      </w:rPr>
    </w:lvl>
    <w:lvl w:ilvl="2" w:tplc="FBE2A6B8">
      <w:start w:val="1"/>
      <w:numFmt w:val="bullet"/>
      <w:lvlText w:val=""/>
      <w:lvlJc w:val="left"/>
      <w:pPr>
        <w:ind w:left="2160" w:hanging="360"/>
      </w:pPr>
      <w:rPr>
        <w:rFonts w:ascii="Wingdings" w:hAnsi="Wingdings" w:hint="default"/>
      </w:rPr>
    </w:lvl>
    <w:lvl w:ilvl="3" w:tplc="5EC4FFEA">
      <w:start w:val="1"/>
      <w:numFmt w:val="bullet"/>
      <w:lvlText w:val=""/>
      <w:lvlJc w:val="left"/>
      <w:pPr>
        <w:ind w:left="2880" w:hanging="360"/>
      </w:pPr>
      <w:rPr>
        <w:rFonts w:ascii="Symbol" w:hAnsi="Symbol" w:hint="default"/>
      </w:rPr>
    </w:lvl>
    <w:lvl w:ilvl="4" w:tplc="5CC2D878">
      <w:start w:val="1"/>
      <w:numFmt w:val="bullet"/>
      <w:lvlText w:val="o"/>
      <w:lvlJc w:val="left"/>
      <w:pPr>
        <w:ind w:left="3600" w:hanging="360"/>
      </w:pPr>
      <w:rPr>
        <w:rFonts w:ascii="Courier New" w:hAnsi="Courier New" w:hint="default"/>
      </w:rPr>
    </w:lvl>
    <w:lvl w:ilvl="5" w:tplc="FC1EA3AA">
      <w:start w:val="1"/>
      <w:numFmt w:val="bullet"/>
      <w:lvlText w:val=""/>
      <w:lvlJc w:val="left"/>
      <w:pPr>
        <w:ind w:left="4320" w:hanging="360"/>
      </w:pPr>
      <w:rPr>
        <w:rFonts w:ascii="Wingdings" w:hAnsi="Wingdings" w:hint="default"/>
      </w:rPr>
    </w:lvl>
    <w:lvl w:ilvl="6" w:tplc="5B4AA0F4">
      <w:start w:val="1"/>
      <w:numFmt w:val="bullet"/>
      <w:lvlText w:val=""/>
      <w:lvlJc w:val="left"/>
      <w:pPr>
        <w:ind w:left="5040" w:hanging="360"/>
      </w:pPr>
      <w:rPr>
        <w:rFonts w:ascii="Symbol" w:hAnsi="Symbol" w:hint="default"/>
      </w:rPr>
    </w:lvl>
    <w:lvl w:ilvl="7" w:tplc="5DE44E0E">
      <w:start w:val="1"/>
      <w:numFmt w:val="bullet"/>
      <w:lvlText w:val="o"/>
      <w:lvlJc w:val="left"/>
      <w:pPr>
        <w:ind w:left="5760" w:hanging="360"/>
      </w:pPr>
      <w:rPr>
        <w:rFonts w:ascii="Courier New" w:hAnsi="Courier New" w:hint="default"/>
      </w:rPr>
    </w:lvl>
    <w:lvl w:ilvl="8" w:tplc="C388D274">
      <w:start w:val="1"/>
      <w:numFmt w:val="bullet"/>
      <w:lvlText w:val=""/>
      <w:lvlJc w:val="left"/>
      <w:pPr>
        <w:ind w:left="6480" w:hanging="360"/>
      </w:pPr>
      <w:rPr>
        <w:rFonts w:ascii="Wingdings" w:hAnsi="Wingdings" w:hint="default"/>
      </w:rPr>
    </w:lvl>
  </w:abstractNum>
  <w:abstractNum w:abstractNumId="26" w15:restartNumberingAfterBreak="0">
    <w:nsid w:val="75196F0B"/>
    <w:multiLevelType w:val="hybridMultilevel"/>
    <w:tmpl w:val="36864398"/>
    <w:lvl w:ilvl="0" w:tplc="90580FAC">
      <w:start w:val="1"/>
      <w:numFmt w:val="bullet"/>
      <w:lvlText w:val=""/>
      <w:lvlJc w:val="left"/>
      <w:pPr>
        <w:ind w:left="720" w:hanging="360"/>
      </w:pPr>
      <w:rPr>
        <w:rFonts w:ascii="Symbol" w:hAnsi="Symbol" w:hint="default"/>
      </w:rPr>
    </w:lvl>
    <w:lvl w:ilvl="1" w:tplc="AB0C9174">
      <w:start w:val="1"/>
      <w:numFmt w:val="bullet"/>
      <w:lvlText w:val="o"/>
      <w:lvlJc w:val="left"/>
      <w:pPr>
        <w:ind w:left="1440" w:hanging="360"/>
      </w:pPr>
      <w:rPr>
        <w:rFonts w:ascii="Courier New" w:hAnsi="Courier New" w:hint="default"/>
      </w:rPr>
    </w:lvl>
    <w:lvl w:ilvl="2" w:tplc="A8708290">
      <w:start w:val="1"/>
      <w:numFmt w:val="bullet"/>
      <w:lvlText w:val=""/>
      <w:lvlJc w:val="left"/>
      <w:pPr>
        <w:ind w:left="2160" w:hanging="360"/>
      </w:pPr>
      <w:rPr>
        <w:rFonts w:ascii="Wingdings" w:hAnsi="Wingdings" w:hint="default"/>
      </w:rPr>
    </w:lvl>
    <w:lvl w:ilvl="3" w:tplc="6D34BB7E">
      <w:start w:val="1"/>
      <w:numFmt w:val="bullet"/>
      <w:lvlText w:val=""/>
      <w:lvlJc w:val="left"/>
      <w:pPr>
        <w:ind w:left="2880" w:hanging="360"/>
      </w:pPr>
      <w:rPr>
        <w:rFonts w:ascii="Symbol" w:hAnsi="Symbol" w:hint="default"/>
      </w:rPr>
    </w:lvl>
    <w:lvl w:ilvl="4" w:tplc="6D363C78">
      <w:start w:val="1"/>
      <w:numFmt w:val="bullet"/>
      <w:lvlText w:val="o"/>
      <w:lvlJc w:val="left"/>
      <w:pPr>
        <w:ind w:left="3600" w:hanging="360"/>
      </w:pPr>
      <w:rPr>
        <w:rFonts w:ascii="Courier New" w:hAnsi="Courier New" w:hint="default"/>
      </w:rPr>
    </w:lvl>
    <w:lvl w:ilvl="5" w:tplc="4086E798">
      <w:start w:val="1"/>
      <w:numFmt w:val="bullet"/>
      <w:lvlText w:val=""/>
      <w:lvlJc w:val="left"/>
      <w:pPr>
        <w:ind w:left="4320" w:hanging="360"/>
      </w:pPr>
      <w:rPr>
        <w:rFonts w:ascii="Wingdings" w:hAnsi="Wingdings" w:hint="default"/>
      </w:rPr>
    </w:lvl>
    <w:lvl w:ilvl="6" w:tplc="3D8EB990">
      <w:start w:val="1"/>
      <w:numFmt w:val="bullet"/>
      <w:lvlText w:val=""/>
      <w:lvlJc w:val="left"/>
      <w:pPr>
        <w:ind w:left="5040" w:hanging="360"/>
      </w:pPr>
      <w:rPr>
        <w:rFonts w:ascii="Symbol" w:hAnsi="Symbol" w:hint="default"/>
      </w:rPr>
    </w:lvl>
    <w:lvl w:ilvl="7" w:tplc="523C370E">
      <w:start w:val="1"/>
      <w:numFmt w:val="bullet"/>
      <w:lvlText w:val="o"/>
      <w:lvlJc w:val="left"/>
      <w:pPr>
        <w:ind w:left="5760" w:hanging="360"/>
      </w:pPr>
      <w:rPr>
        <w:rFonts w:ascii="Courier New" w:hAnsi="Courier New" w:hint="default"/>
      </w:rPr>
    </w:lvl>
    <w:lvl w:ilvl="8" w:tplc="7E0620CE">
      <w:start w:val="1"/>
      <w:numFmt w:val="bullet"/>
      <w:lvlText w:val=""/>
      <w:lvlJc w:val="left"/>
      <w:pPr>
        <w:ind w:left="6480" w:hanging="360"/>
      </w:pPr>
      <w:rPr>
        <w:rFonts w:ascii="Wingdings" w:hAnsi="Wingdings" w:hint="default"/>
      </w:rPr>
    </w:lvl>
  </w:abstractNum>
  <w:abstractNum w:abstractNumId="27" w15:restartNumberingAfterBreak="0">
    <w:nsid w:val="783F5B66"/>
    <w:multiLevelType w:val="multilevel"/>
    <w:tmpl w:val="D542C5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510F09"/>
    <w:multiLevelType w:val="hybridMultilevel"/>
    <w:tmpl w:val="082019C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2"/>
  </w:num>
  <w:num w:numId="2">
    <w:abstractNumId w:val="19"/>
  </w:num>
  <w:num w:numId="3">
    <w:abstractNumId w:val="23"/>
  </w:num>
  <w:num w:numId="4">
    <w:abstractNumId w:val="10"/>
  </w:num>
  <w:num w:numId="5">
    <w:abstractNumId w:val="13"/>
  </w:num>
  <w:num w:numId="6">
    <w:abstractNumId w:val="6"/>
  </w:num>
  <w:num w:numId="7">
    <w:abstractNumId w:val="25"/>
  </w:num>
  <w:num w:numId="8">
    <w:abstractNumId w:val="26"/>
  </w:num>
  <w:num w:numId="9">
    <w:abstractNumId w:val="12"/>
  </w:num>
  <w:num w:numId="10">
    <w:abstractNumId w:val="12"/>
    <w:lvlOverride w:ilvl="0">
      <w:startOverride w:val="1"/>
    </w:lvlOverride>
  </w:num>
  <w:num w:numId="11">
    <w:abstractNumId w:val="11"/>
  </w:num>
  <w:num w:numId="12">
    <w:abstractNumId w:val="28"/>
  </w:num>
  <w:num w:numId="13">
    <w:abstractNumId w:val="20"/>
  </w:num>
  <w:num w:numId="14">
    <w:abstractNumId w:val="9"/>
  </w:num>
  <w:num w:numId="15">
    <w:abstractNumId w:val="2"/>
  </w:num>
  <w:num w:numId="16">
    <w:abstractNumId w:val="18"/>
  </w:num>
  <w:num w:numId="17">
    <w:abstractNumId w:val="8"/>
  </w:num>
  <w:num w:numId="18">
    <w:abstractNumId w:val="27"/>
  </w:num>
  <w:num w:numId="19">
    <w:abstractNumId w:val="15"/>
  </w:num>
  <w:num w:numId="20">
    <w:abstractNumId w:val="7"/>
  </w:num>
  <w:num w:numId="21">
    <w:abstractNumId w:val="14"/>
  </w:num>
  <w:num w:numId="22">
    <w:abstractNumId w:val="4"/>
  </w:num>
  <w:num w:numId="23">
    <w:abstractNumId w:val="16"/>
  </w:num>
  <w:num w:numId="24">
    <w:abstractNumId w:val="1"/>
  </w:num>
  <w:num w:numId="25">
    <w:abstractNumId w:val="17"/>
  </w:num>
  <w:num w:numId="26">
    <w:abstractNumId w:val="0"/>
  </w:num>
  <w:num w:numId="27">
    <w:abstractNumId w:val="3"/>
  </w:num>
  <w:num w:numId="28">
    <w:abstractNumId w:val="5"/>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isplayBackgroundShape/>
  <w:proofState w:spelling="clean" w:grammar="clean"/>
  <w:documentProtection w:edit="readOnly" w:enforcement="0"/>
  <w:defaultTabStop w:val="720"/>
  <w:characterSpacingControl w:val="doNotCompress"/>
  <w:hdrShapeDefaults>
    <o:shapedefaults v:ext="edit" spidmax="573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E6"/>
    <w:rsid w:val="00001C33"/>
    <w:rsid w:val="000058A7"/>
    <w:rsid w:val="00007721"/>
    <w:rsid w:val="00060D91"/>
    <w:rsid w:val="000646C0"/>
    <w:rsid w:val="00071374"/>
    <w:rsid w:val="000C5AFE"/>
    <w:rsid w:val="000E0F1A"/>
    <w:rsid w:val="000E1324"/>
    <w:rsid w:val="000F24CD"/>
    <w:rsid w:val="000F4794"/>
    <w:rsid w:val="000F4C3B"/>
    <w:rsid w:val="00123F44"/>
    <w:rsid w:val="00125EC6"/>
    <w:rsid w:val="001326B3"/>
    <w:rsid w:val="00132948"/>
    <w:rsid w:val="00133EF3"/>
    <w:rsid w:val="001413AC"/>
    <w:rsid w:val="0015574C"/>
    <w:rsid w:val="00162049"/>
    <w:rsid w:val="00176D97"/>
    <w:rsid w:val="00192ECE"/>
    <w:rsid w:val="00195BFF"/>
    <w:rsid w:val="0019648F"/>
    <w:rsid w:val="001B0618"/>
    <w:rsid w:val="001B63C9"/>
    <w:rsid w:val="001D3E92"/>
    <w:rsid w:val="001D567E"/>
    <w:rsid w:val="001D6B09"/>
    <w:rsid w:val="002338FB"/>
    <w:rsid w:val="00242906"/>
    <w:rsid w:val="002475A6"/>
    <w:rsid w:val="00251FD5"/>
    <w:rsid w:val="0025512D"/>
    <w:rsid w:val="002644F8"/>
    <w:rsid w:val="0026681A"/>
    <w:rsid w:val="00292309"/>
    <w:rsid w:val="002A0509"/>
    <w:rsid w:val="002D2C1E"/>
    <w:rsid w:val="002E4206"/>
    <w:rsid w:val="00315E84"/>
    <w:rsid w:val="00322F99"/>
    <w:rsid w:val="00342604"/>
    <w:rsid w:val="00350844"/>
    <w:rsid w:val="00351FA2"/>
    <w:rsid w:val="00357B22"/>
    <w:rsid w:val="00360E15"/>
    <w:rsid w:val="00363092"/>
    <w:rsid w:val="00374782"/>
    <w:rsid w:val="00383120"/>
    <w:rsid w:val="0038544A"/>
    <w:rsid w:val="003914B4"/>
    <w:rsid w:val="0039174D"/>
    <w:rsid w:val="003A1EF8"/>
    <w:rsid w:val="003A443F"/>
    <w:rsid w:val="003B5266"/>
    <w:rsid w:val="003C3E4A"/>
    <w:rsid w:val="003C6A1C"/>
    <w:rsid w:val="003D3F64"/>
    <w:rsid w:val="003D4EC7"/>
    <w:rsid w:val="003E4FFE"/>
    <w:rsid w:val="0041093E"/>
    <w:rsid w:val="004205CF"/>
    <w:rsid w:val="0042385F"/>
    <w:rsid w:val="00443484"/>
    <w:rsid w:val="004522BB"/>
    <w:rsid w:val="004577BA"/>
    <w:rsid w:val="00466495"/>
    <w:rsid w:val="00471059"/>
    <w:rsid w:val="004839A8"/>
    <w:rsid w:val="004A4581"/>
    <w:rsid w:val="004C58E2"/>
    <w:rsid w:val="004E6338"/>
    <w:rsid w:val="004F3B09"/>
    <w:rsid w:val="004F7A2F"/>
    <w:rsid w:val="00500235"/>
    <w:rsid w:val="005139C2"/>
    <w:rsid w:val="005162E8"/>
    <w:rsid w:val="00517666"/>
    <w:rsid w:val="0053578C"/>
    <w:rsid w:val="00550013"/>
    <w:rsid w:val="00552E13"/>
    <w:rsid w:val="00570900"/>
    <w:rsid w:val="00583ACE"/>
    <w:rsid w:val="0058799F"/>
    <w:rsid w:val="005A4707"/>
    <w:rsid w:val="005B2CDC"/>
    <w:rsid w:val="005B2E38"/>
    <w:rsid w:val="005B4155"/>
    <w:rsid w:val="005C4425"/>
    <w:rsid w:val="005D2E9B"/>
    <w:rsid w:val="0060049F"/>
    <w:rsid w:val="00601AAC"/>
    <w:rsid w:val="00606BEB"/>
    <w:rsid w:val="0063367F"/>
    <w:rsid w:val="00653C2D"/>
    <w:rsid w:val="00660797"/>
    <w:rsid w:val="00663E7D"/>
    <w:rsid w:val="0067112F"/>
    <w:rsid w:val="00674F4D"/>
    <w:rsid w:val="00684E89"/>
    <w:rsid w:val="006946CE"/>
    <w:rsid w:val="00697A35"/>
    <w:rsid w:val="006B6F72"/>
    <w:rsid w:val="006C6DF7"/>
    <w:rsid w:val="006F2157"/>
    <w:rsid w:val="006F5ED7"/>
    <w:rsid w:val="007003FC"/>
    <w:rsid w:val="00741B6A"/>
    <w:rsid w:val="007456C3"/>
    <w:rsid w:val="00756435"/>
    <w:rsid w:val="007672DD"/>
    <w:rsid w:val="0076777D"/>
    <w:rsid w:val="00773293"/>
    <w:rsid w:val="00776AF5"/>
    <w:rsid w:val="007B7B2C"/>
    <w:rsid w:val="007D2C97"/>
    <w:rsid w:val="007D5E86"/>
    <w:rsid w:val="007E3330"/>
    <w:rsid w:val="007F39B8"/>
    <w:rsid w:val="00805E4C"/>
    <w:rsid w:val="00806906"/>
    <w:rsid w:val="00806D23"/>
    <w:rsid w:val="00817EF8"/>
    <w:rsid w:val="00837A1A"/>
    <w:rsid w:val="00844995"/>
    <w:rsid w:val="00846406"/>
    <w:rsid w:val="008531A5"/>
    <w:rsid w:val="0088459B"/>
    <w:rsid w:val="008A2F9D"/>
    <w:rsid w:val="008D0C5B"/>
    <w:rsid w:val="008E14ED"/>
    <w:rsid w:val="008E40D2"/>
    <w:rsid w:val="008F1EEE"/>
    <w:rsid w:val="009062ED"/>
    <w:rsid w:val="00913C08"/>
    <w:rsid w:val="00922A20"/>
    <w:rsid w:val="00923DD3"/>
    <w:rsid w:val="0092478D"/>
    <w:rsid w:val="009405C5"/>
    <w:rsid w:val="009B061C"/>
    <w:rsid w:val="009B7661"/>
    <w:rsid w:val="009D592C"/>
    <w:rsid w:val="009E15E0"/>
    <w:rsid w:val="00A028CD"/>
    <w:rsid w:val="00A05C49"/>
    <w:rsid w:val="00A14304"/>
    <w:rsid w:val="00A35986"/>
    <w:rsid w:val="00A91410"/>
    <w:rsid w:val="00A9274C"/>
    <w:rsid w:val="00AA19EA"/>
    <w:rsid w:val="00AA305F"/>
    <w:rsid w:val="00AA314B"/>
    <w:rsid w:val="00ACFEB1"/>
    <w:rsid w:val="00AF43F0"/>
    <w:rsid w:val="00B0411F"/>
    <w:rsid w:val="00B23A63"/>
    <w:rsid w:val="00B25D4B"/>
    <w:rsid w:val="00B40146"/>
    <w:rsid w:val="00B41429"/>
    <w:rsid w:val="00B61A6F"/>
    <w:rsid w:val="00B71692"/>
    <w:rsid w:val="00B766BF"/>
    <w:rsid w:val="00B776DE"/>
    <w:rsid w:val="00B80792"/>
    <w:rsid w:val="00B82C19"/>
    <w:rsid w:val="00B847C3"/>
    <w:rsid w:val="00B93EF8"/>
    <w:rsid w:val="00B964E3"/>
    <w:rsid w:val="00BB23D6"/>
    <w:rsid w:val="00BE1E4D"/>
    <w:rsid w:val="00BE6EE6"/>
    <w:rsid w:val="00BF2857"/>
    <w:rsid w:val="00BF5786"/>
    <w:rsid w:val="00C2037D"/>
    <w:rsid w:val="00CC2B3A"/>
    <w:rsid w:val="00CF7EA7"/>
    <w:rsid w:val="00D21291"/>
    <w:rsid w:val="00D278C7"/>
    <w:rsid w:val="00D410D9"/>
    <w:rsid w:val="00D42E33"/>
    <w:rsid w:val="00D609E4"/>
    <w:rsid w:val="00D64E65"/>
    <w:rsid w:val="00D86196"/>
    <w:rsid w:val="00D9315F"/>
    <w:rsid w:val="00DA21DB"/>
    <w:rsid w:val="00DB3565"/>
    <w:rsid w:val="00DB4E94"/>
    <w:rsid w:val="00DB5B84"/>
    <w:rsid w:val="00DD60F5"/>
    <w:rsid w:val="00DE1C6D"/>
    <w:rsid w:val="00DE2841"/>
    <w:rsid w:val="00E006CC"/>
    <w:rsid w:val="00E121AB"/>
    <w:rsid w:val="00E361C4"/>
    <w:rsid w:val="00E53F18"/>
    <w:rsid w:val="00E54B85"/>
    <w:rsid w:val="00E8281F"/>
    <w:rsid w:val="00E851EC"/>
    <w:rsid w:val="00ED3FD5"/>
    <w:rsid w:val="00ED4DB4"/>
    <w:rsid w:val="00ED6D52"/>
    <w:rsid w:val="00EE5D86"/>
    <w:rsid w:val="00EE7378"/>
    <w:rsid w:val="00EF4E24"/>
    <w:rsid w:val="00F052A5"/>
    <w:rsid w:val="00F061C3"/>
    <w:rsid w:val="00F147F8"/>
    <w:rsid w:val="00F316D7"/>
    <w:rsid w:val="00F54997"/>
    <w:rsid w:val="00F94E94"/>
    <w:rsid w:val="00FB4CA7"/>
    <w:rsid w:val="00FC6F3E"/>
    <w:rsid w:val="00FD16F5"/>
    <w:rsid w:val="00FD7542"/>
    <w:rsid w:val="00FE458C"/>
    <w:rsid w:val="010585A4"/>
    <w:rsid w:val="01201014"/>
    <w:rsid w:val="012D552E"/>
    <w:rsid w:val="012FE7B2"/>
    <w:rsid w:val="0159A3AD"/>
    <w:rsid w:val="016BA040"/>
    <w:rsid w:val="01B007BF"/>
    <w:rsid w:val="01B0DFBF"/>
    <w:rsid w:val="01BFC93F"/>
    <w:rsid w:val="01C170E9"/>
    <w:rsid w:val="02DD82C2"/>
    <w:rsid w:val="0338C127"/>
    <w:rsid w:val="0351718A"/>
    <w:rsid w:val="0369526C"/>
    <w:rsid w:val="038125F6"/>
    <w:rsid w:val="03CEF959"/>
    <w:rsid w:val="048A0BD9"/>
    <w:rsid w:val="05805556"/>
    <w:rsid w:val="05C24800"/>
    <w:rsid w:val="05C4788E"/>
    <w:rsid w:val="0628E203"/>
    <w:rsid w:val="062E6A2C"/>
    <w:rsid w:val="0630FAFE"/>
    <w:rsid w:val="06487781"/>
    <w:rsid w:val="068347DA"/>
    <w:rsid w:val="06AD0081"/>
    <w:rsid w:val="078C2909"/>
    <w:rsid w:val="08251F87"/>
    <w:rsid w:val="0882AAD7"/>
    <w:rsid w:val="0893807F"/>
    <w:rsid w:val="08B209CA"/>
    <w:rsid w:val="09368E45"/>
    <w:rsid w:val="0975F655"/>
    <w:rsid w:val="09B9ABD9"/>
    <w:rsid w:val="09DDC459"/>
    <w:rsid w:val="0A52541F"/>
    <w:rsid w:val="0A768C2E"/>
    <w:rsid w:val="0B0B01C2"/>
    <w:rsid w:val="0B11F692"/>
    <w:rsid w:val="0B94976C"/>
    <w:rsid w:val="0BA84D92"/>
    <w:rsid w:val="0BFEBC32"/>
    <w:rsid w:val="0C461CE8"/>
    <w:rsid w:val="0CA21059"/>
    <w:rsid w:val="0CB4D0D5"/>
    <w:rsid w:val="0DE61D30"/>
    <w:rsid w:val="0DEC7BEF"/>
    <w:rsid w:val="0DFD36D8"/>
    <w:rsid w:val="0E0B6494"/>
    <w:rsid w:val="0E0EFC3F"/>
    <w:rsid w:val="0E75C54A"/>
    <w:rsid w:val="0EE4FECB"/>
    <w:rsid w:val="0F4489CE"/>
    <w:rsid w:val="1001C375"/>
    <w:rsid w:val="100D1B2D"/>
    <w:rsid w:val="1060CB9C"/>
    <w:rsid w:val="107C5A23"/>
    <w:rsid w:val="10C5CE55"/>
    <w:rsid w:val="10F69BE2"/>
    <w:rsid w:val="114A81FD"/>
    <w:rsid w:val="114CE79B"/>
    <w:rsid w:val="1154D33C"/>
    <w:rsid w:val="11680504"/>
    <w:rsid w:val="1177C1B6"/>
    <w:rsid w:val="11DF1B76"/>
    <w:rsid w:val="120041E5"/>
    <w:rsid w:val="124032A3"/>
    <w:rsid w:val="12767F3D"/>
    <w:rsid w:val="1290D76C"/>
    <w:rsid w:val="12C4EF55"/>
    <w:rsid w:val="12C9333D"/>
    <w:rsid w:val="12FFB275"/>
    <w:rsid w:val="1314EBBA"/>
    <w:rsid w:val="14143A82"/>
    <w:rsid w:val="148DB379"/>
    <w:rsid w:val="158BD2CB"/>
    <w:rsid w:val="15CAF62E"/>
    <w:rsid w:val="15CF96E9"/>
    <w:rsid w:val="165C56BA"/>
    <w:rsid w:val="16AB3765"/>
    <w:rsid w:val="16B3B4AB"/>
    <w:rsid w:val="1716E263"/>
    <w:rsid w:val="172474AA"/>
    <w:rsid w:val="178EEA48"/>
    <w:rsid w:val="184B46A4"/>
    <w:rsid w:val="191D4854"/>
    <w:rsid w:val="1935D87E"/>
    <w:rsid w:val="193E6198"/>
    <w:rsid w:val="19EDADD6"/>
    <w:rsid w:val="1A8CADFB"/>
    <w:rsid w:val="1A8D8F0E"/>
    <w:rsid w:val="1AD0FAAD"/>
    <w:rsid w:val="1B27F1AB"/>
    <w:rsid w:val="1BB1A742"/>
    <w:rsid w:val="1BB3D426"/>
    <w:rsid w:val="1BC97493"/>
    <w:rsid w:val="1BDD97B4"/>
    <w:rsid w:val="1BE54301"/>
    <w:rsid w:val="1BF8ECCC"/>
    <w:rsid w:val="1C3B8F48"/>
    <w:rsid w:val="1C6CFEC5"/>
    <w:rsid w:val="1CA51A9A"/>
    <w:rsid w:val="1D05012E"/>
    <w:rsid w:val="1D0C9B17"/>
    <w:rsid w:val="1D0E8F0C"/>
    <w:rsid w:val="1D4B2414"/>
    <w:rsid w:val="1DB5DE9A"/>
    <w:rsid w:val="1DDCD77F"/>
    <w:rsid w:val="1DE4C597"/>
    <w:rsid w:val="1E67BEA2"/>
    <w:rsid w:val="1E6E98AC"/>
    <w:rsid w:val="1EB414E9"/>
    <w:rsid w:val="1EDB3143"/>
    <w:rsid w:val="1F27AFAB"/>
    <w:rsid w:val="1F5CE069"/>
    <w:rsid w:val="1FD81CF9"/>
    <w:rsid w:val="20239815"/>
    <w:rsid w:val="2062A2A1"/>
    <w:rsid w:val="2069AFE5"/>
    <w:rsid w:val="206B899D"/>
    <w:rsid w:val="20B706A0"/>
    <w:rsid w:val="2140AB7E"/>
    <w:rsid w:val="215B30C1"/>
    <w:rsid w:val="219C73AE"/>
    <w:rsid w:val="21BE562E"/>
    <w:rsid w:val="21DEA6D5"/>
    <w:rsid w:val="21EB95C4"/>
    <w:rsid w:val="21F115A3"/>
    <w:rsid w:val="22155918"/>
    <w:rsid w:val="22B97F6E"/>
    <w:rsid w:val="22E939F6"/>
    <w:rsid w:val="22F5BE7E"/>
    <w:rsid w:val="233F8EB4"/>
    <w:rsid w:val="23F766C4"/>
    <w:rsid w:val="242887AD"/>
    <w:rsid w:val="24EBAD3F"/>
    <w:rsid w:val="25440D56"/>
    <w:rsid w:val="25D2D876"/>
    <w:rsid w:val="26A6A31A"/>
    <w:rsid w:val="26BBF2E9"/>
    <w:rsid w:val="26C8A26F"/>
    <w:rsid w:val="26E5844C"/>
    <w:rsid w:val="270B7707"/>
    <w:rsid w:val="275209B7"/>
    <w:rsid w:val="2754494B"/>
    <w:rsid w:val="278B5F62"/>
    <w:rsid w:val="2805F8B0"/>
    <w:rsid w:val="280FC1F2"/>
    <w:rsid w:val="2835AA04"/>
    <w:rsid w:val="28387640"/>
    <w:rsid w:val="28B3B4FB"/>
    <w:rsid w:val="2A1947AE"/>
    <w:rsid w:val="2A3A3998"/>
    <w:rsid w:val="2A4913A1"/>
    <w:rsid w:val="2A8A6F8A"/>
    <w:rsid w:val="2B13695F"/>
    <w:rsid w:val="2B4D601E"/>
    <w:rsid w:val="2C8DD08E"/>
    <w:rsid w:val="2CAAC108"/>
    <w:rsid w:val="2D535E78"/>
    <w:rsid w:val="2D68CA69"/>
    <w:rsid w:val="2D77C11F"/>
    <w:rsid w:val="2D81ED68"/>
    <w:rsid w:val="2E04E1F2"/>
    <w:rsid w:val="2E3CF3BA"/>
    <w:rsid w:val="3087EC4B"/>
    <w:rsid w:val="309FCCE4"/>
    <w:rsid w:val="312DA87B"/>
    <w:rsid w:val="31A7D002"/>
    <w:rsid w:val="31A850D7"/>
    <w:rsid w:val="31BEB9DF"/>
    <w:rsid w:val="31CD4B17"/>
    <w:rsid w:val="320D39E2"/>
    <w:rsid w:val="323A517F"/>
    <w:rsid w:val="33072CF8"/>
    <w:rsid w:val="33106237"/>
    <w:rsid w:val="33115F01"/>
    <w:rsid w:val="334D4F41"/>
    <w:rsid w:val="3371B44D"/>
    <w:rsid w:val="33CE4D74"/>
    <w:rsid w:val="343B546B"/>
    <w:rsid w:val="344235C0"/>
    <w:rsid w:val="345F8A06"/>
    <w:rsid w:val="34B9B1F3"/>
    <w:rsid w:val="34DDADDD"/>
    <w:rsid w:val="358E9A8D"/>
    <w:rsid w:val="3602A973"/>
    <w:rsid w:val="36191438"/>
    <w:rsid w:val="36762A9E"/>
    <w:rsid w:val="379D4F37"/>
    <w:rsid w:val="379FF374"/>
    <w:rsid w:val="386FC277"/>
    <w:rsid w:val="387DE928"/>
    <w:rsid w:val="38F42ACA"/>
    <w:rsid w:val="3920258F"/>
    <w:rsid w:val="39C8F835"/>
    <w:rsid w:val="39FC98AF"/>
    <w:rsid w:val="39FE114E"/>
    <w:rsid w:val="3A399A5A"/>
    <w:rsid w:val="3A8D3EFE"/>
    <w:rsid w:val="3AB7E701"/>
    <w:rsid w:val="3ABA04AE"/>
    <w:rsid w:val="3AD6104E"/>
    <w:rsid w:val="3B68176F"/>
    <w:rsid w:val="3B7C3D9E"/>
    <w:rsid w:val="3B9A625C"/>
    <w:rsid w:val="3C0FAE75"/>
    <w:rsid w:val="3C81655F"/>
    <w:rsid w:val="3C9F5715"/>
    <w:rsid w:val="3CD83AA3"/>
    <w:rsid w:val="3CF9831C"/>
    <w:rsid w:val="3D449009"/>
    <w:rsid w:val="3DCC05D8"/>
    <w:rsid w:val="3E036B3C"/>
    <w:rsid w:val="3E4212E3"/>
    <w:rsid w:val="3E709A2F"/>
    <w:rsid w:val="3E8F3247"/>
    <w:rsid w:val="3EBE6CE5"/>
    <w:rsid w:val="3F33B4B9"/>
    <w:rsid w:val="3F9404A3"/>
    <w:rsid w:val="3FB9F530"/>
    <w:rsid w:val="40365C70"/>
    <w:rsid w:val="403C09FF"/>
    <w:rsid w:val="407C65D6"/>
    <w:rsid w:val="40A8DBEC"/>
    <w:rsid w:val="41002F39"/>
    <w:rsid w:val="416A5CDC"/>
    <w:rsid w:val="41B09580"/>
    <w:rsid w:val="41F4E7FD"/>
    <w:rsid w:val="4201379C"/>
    <w:rsid w:val="42040FDE"/>
    <w:rsid w:val="4259A0DA"/>
    <w:rsid w:val="42C69F9F"/>
    <w:rsid w:val="4309DF7B"/>
    <w:rsid w:val="432BB8E8"/>
    <w:rsid w:val="4339B88B"/>
    <w:rsid w:val="43F1F77D"/>
    <w:rsid w:val="44193860"/>
    <w:rsid w:val="44565719"/>
    <w:rsid w:val="449CE30D"/>
    <w:rsid w:val="44BA6D9A"/>
    <w:rsid w:val="44E64C01"/>
    <w:rsid w:val="4550EA0C"/>
    <w:rsid w:val="458D8007"/>
    <w:rsid w:val="46030E35"/>
    <w:rsid w:val="469B4441"/>
    <w:rsid w:val="46CDBA16"/>
    <w:rsid w:val="474DE519"/>
    <w:rsid w:val="475F4D47"/>
    <w:rsid w:val="482803E5"/>
    <w:rsid w:val="48C6F700"/>
    <w:rsid w:val="48ED562C"/>
    <w:rsid w:val="49C65E6E"/>
    <w:rsid w:val="49F76DF1"/>
    <w:rsid w:val="4A634C77"/>
    <w:rsid w:val="4A771DC8"/>
    <w:rsid w:val="4A83E172"/>
    <w:rsid w:val="4A947F6F"/>
    <w:rsid w:val="4AB6C18D"/>
    <w:rsid w:val="4BB4E0C9"/>
    <w:rsid w:val="4BDD9DA2"/>
    <w:rsid w:val="4C0CE359"/>
    <w:rsid w:val="4C382A49"/>
    <w:rsid w:val="4C3C6635"/>
    <w:rsid w:val="4CADAB79"/>
    <w:rsid w:val="4CF642C0"/>
    <w:rsid w:val="4CFBB4DB"/>
    <w:rsid w:val="4D4E01CB"/>
    <w:rsid w:val="4D694787"/>
    <w:rsid w:val="4D895080"/>
    <w:rsid w:val="4D93B492"/>
    <w:rsid w:val="4E2877F3"/>
    <w:rsid w:val="4E90FB2A"/>
    <w:rsid w:val="4EE097D9"/>
    <w:rsid w:val="4EE4A816"/>
    <w:rsid w:val="4F0A2B4A"/>
    <w:rsid w:val="50675C70"/>
    <w:rsid w:val="507B1953"/>
    <w:rsid w:val="5095C52C"/>
    <w:rsid w:val="50F734DA"/>
    <w:rsid w:val="5105B04C"/>
    <w:rsid w:val="513E84DE"/>
    <w:rsid w:val="5184B8C5"/>
    <w:rsid w:val="51F4F49D"/>
    <w:rsid w:val="51F55B45"/>
    <w:rsid w:val="5217343B"/>
    <w:rsid w:val="52259666"/>
    <w:rsid w:val="52ABC6FE"/>
    <w:rsid w:val="52AE82E2"/>
    <w:rsid w:val="532B0875"/>
    <w:rsid w:val="533CFA7B"/>
    <w:rsid w:val="53586814"/>
    <w:rsid w:val="5362F2B7"/>
    <w:rsid w:val="5407FD6A"/>
    <w:rsid w:val="5440CBA1"/>
    <w:rsid w:val="5446F513"/>
    <w:rsid w:val="54739DB1"/>
    <w:rsid w:val="54891D9E"/>
    <w:rsid w:val="55073037"/>
    <w:rsid w:val="5512CDA2"/>
    <w:rsid w:val="5514189D"/>
    <w:rsid w:val="5515393D"/>
    <w:rsid w:val="551CF979"/>
    <w:rsid w:val="560B052E"/>
    <w:rsid w:val="571C60B4"/>
    <w:rsid w:val="5723697B"/>
    <w:rsid w:val="573F2934"/>
    <w:rsid w:val="574B2BE1"/>
    <w:rsid w:val="5773137D"/>
    <w:rsid w:val="5806C937"/>
    <w:rsid w:val="58125C0C"/>
    <w:rsid w:val="581DFFCF"/>
    <w:rsid w:val="585A10FF"/>
    <w:rsid w:val="585E17E5"/>
    <w:rsid w:val="5869217F"/>
    <w:rsid w:val="58D6EE55"/>
    <w:rsid w:val="58F0E85F"/>
    <w:rsid w:val="594B05A2"/>
    <w:rsid w:val="5988E2E3"/>
    <w:rsid w:val="5AD286AF"/>
    <w:rsid w:val="5AE1BFA2"/>
    <w:rsid w:val="5AF16C69"/>
    <w:rsid w:val="5B08C20B"/>
    <w:rsid w:val="5B430E0A"/>
    <w:rsid w:val="5BDBD713"/>
    <w:rsid w:val="5C304C03"/>
    <w:rsid w:val="5C4BA5A9"/>
    <w:rsid w:val="5CCF9E21"/>
    <w:rsid w:val="5D2E00AB"/>
    <w:rsid w:val="5D366A6C"/>
    <w:rsid w:val="5D680451"/>
    <w:rsid w:val="5DE38971"/>
    <w:rsid w:val="5DF44800"/>
    <w:rsid w:val="5E111F43"/>
    <w:rsid w:val="5E1E3D6C"/>
    <w:rsid w:val="5E35500A"/>
    <w:rsid w:val="5EDA6001"/>
    <w:rsid w:val="5EEE5CF0"/>
    <w:rsid w:val="5F28376D"/>
    <w:rsid w:val="5F4250DB"/>
    <w:rsid w:val="5FF74364"/>
    <w:rsid w:val="601B5617"/>
    <w:rsid w:val="60381074"/>
    <w:rsid w:val="609030A4"/>
    <w:rsid w:val="60CE1B1E"/>
    <w:rsid w:val="60E64A99"/>
    <w:rsid w:val="61338648"/>
    <w:rsid w:val="6172F16B"/>
    <w:rsid w:val="61A96DB9"/>
    <w:rsid w:val="622B5522"/>
    <w:rsid w:val="623F6109"/>
    <w:rsid w:val="62C70FF3"/>
    <w:rsid w:val="63463AB3"/>
    <w:rsid w:val="63536415"/>
    <w:rsid w:val="63825307"/>
    <w:rsid w:val="6392DF7B"/>
    <w:rsid w:val="63D2FB89"/>
    <w:rsid w:val="644F7BCC"/>
    <w:rsid w:val="65B55FC6"/>
    <w:rsid w:val="65B879CE"/>
    <w:rsid w:val="65BCD60C"/>
    <w:rsid w:val="65EB5BAC"/>
    <w:rsid w:val="665D072A"/>
    <w:rsid w:val="66804CB5"/>
    <w:rsid w:val="66C5A772"/>
    <w:rsid w:val="673F2F7B"/>
    <w:rsid w:val="680439DE"/>
    <w:rsid w:val="682BF88F"/>
    <w:rsid w:val="685D8F9F"/>
    <w:rsid w:val="687B3517"/>
    <w:rsid w:val="68AD4A50"/>
    <w:rsid w:val="68BA6929"/>
    <w:rsid w:val="68DE905F"/>
    <w:rsid w:val="68F42A7D"/>
    <w:rsid w:val="693D9F93"/>
    <w:rsid w:val="6998BDA3"/>
    <w:rsid w:val="69B8BA86"/>
    <w:rsid w:val="69BC96D4"/>
    <w:rsid w:val="6A5DACAE"/>
    <w:rsid w:val="6A85CF05"/>
    <w:rsid w:val="6AC04E02"/>
    <w:rsid w:val="6ACEF343"/>
    <w:rsid w:val="6B3C815E"/>
    <w:rsid w:val="6B7E3C97"/>
    <w:rsid w:val="6B814B81"/>
    <w:rsid w:val="6B84C88C"/>
    <w:rsid w:val="6BA26B1A"/>
    <w:rsid w:val="6BBEB3D3"/>
    <w:rsid w:val="6BF21BC4"/>
    <w:rsid w:val="6D1526C8"/>
    <w:rsid w:val="6D2E8A2B"/>
    <w:rsid w:val="6D747536"/>
    <w:rsid w:val="6D7D8420"/>
    <w:rsid w:val="6D855880"/>
    <w:rsid w:val="6DE0B696"/>
    <w:rsid w:val="6DF805B7"/>
    <w:rsid w:val="6E15A905"/>
    <w:rsid w:val="6E5BDB30"/>
    <w:rsid w:val="6E5C5E51"/>
    <w:rsid w:val="6E7BE8E3"/>
    <w:rsid w:val="6EC4C872"/>
    <w:rsid w:val="6F1C9B39"/>
    <w:rsid w:val="6F5F3F9A"/>
    <w:rsid w:val="6F7BD6A8"/>
    <w:rsid w:val="6FCCEDD2"/>
    <w:rsid w:val="7001C1A5"/>
    <w:rsid w:val="70846E6A"/>
    <w:rsid w:val="709BCB90"/>
    <w:rsid w:val="70C42C3A"/>
    <w:rsid w:val="70C6887B"/>
    <w:rsid w:val="710BD0B5"/>
    <w:rsid w:val="713F6485"/>
    <w:rsid w:val="7186B948"/>
    <w:rsid w:val="7199593F"/>
    <w:rsid w:val="7277D87F"/>
    <w:rsid w:val="729C5EC8"/>
    <w:rsid w:val="72D874DB"/>
    <w:rsid w:val="72DD60E5"/>
    <w:rsid w:val="72FDADAD"/>
    <w:rsid w:val="7321867C"/>
    <w:rsid w:val="739DB697"/>
    <w:rsid w:val="742A160B"/>
    <w:rsid w:val="74341387"/>
    <w:rsid w:val="7439CDAA"/>
    <w:rsid w:val="749F1C47"/>
    <w:rsid w:val="7503773A"/>
    <w:rsid w:val="75182BF6"/>
    <w:rsid w:val="75186DCD"/>
    <w:rsid w:val="757A08AC"/>
    <w:rsid w:val="75BEC1F2"/>
    <w:rsid w:val="75E47DFD"/>
    <w:rsid w:val="75F8E059"/>
    <w:rsid w:val="76039AF3"/>
    <w:rsid w:val="760AF28B"/>
    <w:rsid w:val="76C7642F"/>
    <w:rsid w:val="76F4944B"/>
    <w:rsid w:val="77886F2D"/>
    <w:rsid w:val="77BBB5D8"/>
    <w:rsid w:val="783014D9"/>
    <w:rsid w:val="7846525B"/>
    <w:rsid w:val="784AB598"/>
    <w:rsid w:val="784B9BCE"/>
    <w:rsid w:val="78A66598"/>
    <w:rsid w:val="78D0E38D"/>
    <w:rsid w:val="7917E07A"/>
    <w:rsid w:val="79B8F2AE"/>
    <w:rsid w:val="7A0CAE32"/>
    <w:rsid w:val="7A3862B9"/>
    <w:rsid w:val="7AA1C42E"/>
    <w:rsid w:val="7AE3B734"/>
    <w:rsid w:val="7B011FA0"/>
    <w:rsid w:val="7B3761C9"/>
    <w:rsid w:val="7B39EC42"/>
    <w:rsid w:val="7B5501D8"/>
    <w:rsid w:val="7B81BA9E"/>
    <w:rsid w:val="7B9F35F3"/>
    <w:rsid w:val="7BDF48BD"/>
    <w:rsid w:val="7C146F83"/>
    <w:rsid w:val="7C366A0F"/>
    <w:rsid w:val="7D984B8B"/>
    <w:rsid w:val="7DAD0A91"/>
    <w:rsid w:val="7E085055"/>
    <w:rsid w:val="7E697A78"/>
    <w:rsid w:val="7E94F629"/>
    <w:rsid w:val="7F7C55D4"/>
    <w:rsid w:val="7FD7995C"/>
    <w:rsid w:val="7FDA2BFB"/>
    <w:rsid w:val="7FE7E18C"/>
    <w:rsid w:val="7FFC9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enu v:ext="edit" fillcolor="none"/>
    </o:shapedefaults>
    <o:shapelayout v:ext="edit">
      <o:idmap v:ext="edit" data="1"/>
    </o:shapelayout>
  </w:shapeDefaults>
  <w:decimalSymbol w:val="."/>
  <w:listSeparator w:val=","/>
  <w14:docId w14:val="64905163"/>
  <w15:chartTrackingRefBased/>
  <w15:docId w15:val="{FAC7D738-FFD9-491C-BE69-DBC2DA7E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F052A5"/>
    <w:pPr>
      <w:spacing w:line="240" w:lineRule="auto"/>
    </w:pPr>
    <w:rPr>
      <w:rFonts w:ascii="Arial" w:hAnsi="Arial"/>
      <w:sz w:val="24"/>
    </w:rPr>
  </w:style>
  <w:style w:type="paragraph" w:styleId="Heading1">
    <w:name w:val="heading 1"/>
    <w:basedOn w:val="Normal"/>
    <w:next w:val="Normal"/>
    <w:link w:val="Heading1Char"/>
    <w:uiPriority w:val="9"/>
    <w:qFormat/>
    <w:rsid w:val="00BF2857"/>
    <w:pPr>
      <w:keepNext/>
      <w:keepLines/>
      <w:spacing w:before="240" w:after="240"/>
      <w:outlineLvl w:val="0"/>
    </w:pPr>
    <w:rPr>
      <w:rFonts w:eastAsiaTheme="majorEastAsia" w:cstheme="majorBidi"/>
      <w:b/>
      <w:color w:val="1F497D" w:themeColor="text2"/>
      <w:sz w:val="120"/>
      <w:szCs w:val="32"/>
    </w:rPr>
  </w:style>
  <w:style w:type="paragraph" w:styleId="Heading2">
    <w:name w:val="heading 2"/>
    <w:basedOn w:val="Normal"/>
    <w:next w:val="Normal"/>
    <w:link w:val="Heading2Char"/>
    <w:uiPriority w:val="9"/>
    <w:unhideWhenUsed/>
    <w:qFormat/>
    <w:rsid w:val="00E53F18"/>
    <w:pPr>
      <w:keepNext/>
      <w:keepLines/>
      <w:spacing w:before="100" w:beforeAutospacing="1" w:after="100" w:afterAutospacing="1"/>
      <w:outlineLvl w:val="1"/>
    </w:pPr>
    <w:rPr>
      <w:rFonts w:eastAsiaTheme="majorEastAsia" w:cstheme="majorBidi"/>
      <w:b/>
      <w:color w:val="009900"/>
      <w:sz w:val="48"/>
      <w:szCs w:val="26"/>
    </w:rPr>
  </w:style>
  <w:style w:type="paragraph" w:styleId="Heading3">
    <w:name w:val="heading 3"/>
    <w:basedOn w:val="Normal"/>
    <w:next w:val="Normal"/>
    <w:link w:val="Heading3Char"/>
    <w:uiPriority w:val="9"/>
    <w:unhideWhenUsed/>
    <w:qFormat/>
    <w:rsid w:val="007F39B8"/>
    <w:pPr>
      <w:keepNext/>
      <w:keepLines/>
      <w:spacing w:after="240"/>
      <w:outlineLvl w:val="2"/>
    </w:pPr>
    <w:rPr>
      <w:rFonts w:eastAsiaTheme="majorEastAsia" w:cstheme="majorBidi"/>
      <w:b/>
      <w:color w:val="1F497D" w:themeColor="text2"/>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857"/>
    <w:rPr>
      <w:rFonts w:ascii="Arial" w:eastAsiaTheme="majorEastAsia" w:hAnsi="Arial" w:cstheme="majorBidi"/>
      <w:b/>
      <w:color w:val="1F497D" w:themeColor="text2"/>
      <w:sz w:val="120"/>
      <w:szCs w:val="32"/>
    </w:rPr>
  </w:style>
  <w:style w:type="character" w:customStyle="1" w:styleId="Heading2Char">
    <w:name w:val="Heading 2 Char"/>
    <w:basedOn w:val="DefaultParagraphFont"/>
    <w:link w:val="Heading2"/>
    <w:uiPriority w:val="9"/>
    <w:rsid w:val="00E53F18"/>
    <w:rPr>
      <w:rFonts w:ascii="Arial" w:eastAsiaTheme="majorEastAsia" w:hAnsi="Arial" w:cstheme="majorBidi"/>
      <w:b/>
      <w:color w:val="009900"/>
      <w:sz w:val="48"/>
      <w:szCs w:val="26"/>
    </w:rPr>
  </w:style>
  <w:style w:type="character" w:customStyle="1" w:styleId="Heading3Char">
    <w:name w:val="Heading 3 Char"/>
    <w:basedOn w:val="DefaultParagraphFont"/>
    <w:link w:val="Heading3"/>
    <w:uiPriority w:val="9"/>
    <w:rsid w:val="007F39B8"/>
    <w:rPr>
      <w:rFonts w:ascii="Arial" w:eastAsiaTheme="majorEastAsia" w:hAnsi="Arial" w:cstheme="majorBidi"/>
      <w:b/>
      <w:color w:val="1F497D" w:themeColor="text2"/>
      <w:sz w:val="28"/>
      <w:szCs w:val="24"/>
    </w:rPr>
  </w:style>
  <w:style w:type="paragraph" w:styleId="NoSpacing">
    <w:name w:val="No Spacing"/>
    <w:uiPriority w:val="1"/>
    <w:qFormat/>
    <w:rsid w:val="002A0509"/>
    <w:pPr>
      <w:spacing w:after="0" w:line="240" w:lineRule="auto"/>
    </w:pPr>
    <w:rPr>
      <w:rFonts w:ascii="Arial" w:hAnsi="Arial"/>
      <w:sz w:val="24"/>
    </w:rPr>
  </w:style>
  <w:style w:type="paragraph" w:styleId="Header">
    <w:name w:val="header"/>
    <w:basedOn w:val="Normal"/>
    <w:link w:val="HeaderChar"/>
    <w:uiPriority w:val="99"/>
    <w:unhideWhenUsed/>
    <w:rsid w:val="002A0509"/>
    <w:pPr>
      <w:tabs>
        <w:tab w:val="center" w:pos="4513"/>
        <w:tab w:val="right" w:pos="9026"/>
      </w:tabs>
      <w:spacing w:after="0"/>
    </w:pPr>
  </w:style>
  <w:style w:type="character" w:customStyle="1" w:styleId="HeaderChar">
    <w:name w:val="Header Char"/>
    <w:basedOn w:val="DefaultParagraphFont"/>
    <w:link w:val="Header"/>
    <w:uiPriority w:val="99"/>
    <w:rsid w:val="002A0509"/>
    <w:rPr>
      <w:rFonts w:ascii="Arial" w:hAnsi="Arial"/>
      <w:sz w:val="24"/>
    </w:rPr>
  </w:style>
  <w:style w:type="paragraph" w:styleId="Footer">
    <w:name w:val="footer"/>
    <w:basedOn w:val="Normal"/>
    <w:link w:val="FooterChar"/>
    <w:uiPriority w:val="99"/>
    <w:unhideWhenUsed/>
    <w:rsid w:val="002A0509"/>
    <w:pPr>
      <w:tabs>
        <w:tab w:val="center" w:pos="4513"/>
        <w:tab w:val="right" w:pos="9026"/>
      </w:tabs>
      <w:spacing w:after="0"/>
    </w:pPr>
  </w:style>
  <w:style w:type="character" w:customStyle="1" w:styleId="FooterChar">
    <w:name w:val="Footer Char"/>
    <w:basedOn w:val="DefaultParagraphFont"/>
    <w:link w:val="Footer"/>
    <w:uiPriority w:val="99"/>
    <w:rsid w:val="002A0509"/>
    <w:rPr>
      <w:rFonts w:ascii="Arial" w:hAnsi="Arial"/>
      <w:sz w:val="24"/>
    </w:rPr>
  </w:style>
  <w:style w:type="paragraph" w:styleId="ListParagraph">
    <w:name w:val="List Paragraph"/>
    <w:basedOn w:val="Normal"/>
    <w:link w:val="ListParagraphChar"/>
    <w:uiPriority w:val="34"/>
    <w:qFormat/>
    <w:rsid w:val="005D2E9B"/>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5D2E9B"/>
    <w:rPr>
      <w:rFonts w:ascii="Arial" w:hAnsi="Arial"/>
      <w:sz w:val="24"/>
    </w:rPr>
  </w:style>
  <w:style w:type="character" w:styleId="Hyperlink">
    <w:name w:val="Hyperlink"/>
    <w:basedOn w:val="DefaultParagraphFont"/>
    <w:uiPriority w:val="99"/>
    <w:unhideWhenUsed/>
    <w:rsid w:val="005D2E9B"/>
    <w:rPr>
      <w:color w:val="0000FF" w:themeColor="hyperlink"/>
      <w:u w:val="single"/>
    </w:rPr>
  </w:style>
  <w:style w:type="table" w:styleId="TableGridLight">
    <w:name w:val="Grid Table Light"/>
    <w:basedOn w:val="TableNormal"/>
    <w:uiPriority w:val="40"/>
    <w:rsid w:val="005D2E9B"/>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color w:val="FFFFFF" w:themeColor="background1"/>
      </w:rPr>
      <w:tblPr/>
      <w:trPr>
        <w:tblHeader/>
      </w:trPr>
      <w:tcPr>
        <w:shd w:val="clear" w:color="auto" w:fill="005EB8"/>
      </w:tcPr>
    </w:tblStylePr>
    <w:tblStylePr w:type="firstCol">
      <w:rPr>
        <w:b/>
        <w:color w:val="FFFFFF" w:themeColor="background1"/>
      </w:rPr>
      <w:tblPr/>
      <w:tcPr>
        <w:shd w:val="clear" w:color="auto" w:fill="005EB8"/>
      </w:tcPr>
    </w:tblStylePr>
  </w:style>
  <w:style w:type="paragraph" w:styleId="Caption">
    <w:name w:val="caption"/>
    <w:basedOn w:val="Normal"/>
    <w:next w:val="Normal"/>
    <w:uiPriority w:val="35"/>
    <w:unhideWhenUsed/>
    <w:qFormat/>
    <w:rsid w:val="00517666"/>
    <w:rPr>
      <w:rFonts w:asciiTheme="minorHAnsi" w:hAnsiTheme="minorHAnsi"/>
      <w:i/>
      <w:iCs/>
      <w:color w:val="1F497D" w:themeColor="text2"/>
      <w:sz w:val="18"/>
      <w:szCs w:val="18"/>
    </w:rPr>
  </w:style>
  <w:style w:type="paragraph" w:styleId="TOCHeading">
    <w:name w:val="TOC Heading"/>
    <w:basedOn w:val="Heading1"/>
    <w:next w:val="Normal"/>
    <w:uiPriority w:val="39"/>
    <w:unhideWhenUsed/>
    <w:qFormat/>
    <w:rsid w:val="006C6DF7"/>
    <w:pPr>
      <w:spacing w:after="0" w:line="259" w:lineRule="auto"/>
      <w:outlineLvl w:val="9"/>
    </w:pPr>
    <w:rPr>
      <w:rFonts w:asciiTheme="majorHAnsi" w:hAnsiTheme="majorHAnsi"/>
      <w:b w:val="0"/>
      <w:lang w:val="en-US"/>
    </w:rPr>
  </w:style>
  <w:style w:type="paragraph" w:styleId="TOC1">
    <w:name w:val="toc 1"/>
    <w:basedOn w:val="Normal"/>
    <w:next w:val="Normal"/>
    <w:autoRedefine/>
    <w:uiPriority w:val="39"/>
    <w:unhideWhenUsed/>
    <w:rsid w:val="006C6DF7"/>
    <w:pPr>
      <w:spacing w:after="100"/>
    </w:pPr>
  </w:style>
  <w:style w:type="paragraph" w:styleId="TOC2">
    <w:name w:val="toc 2"/>
    <w:basedOn w:val="Normal"/>
    <w:next w:val="Normal"/>
    <w:autoRedefine/>
    <w:uiPriority w:val="39"/>
    <w:unhideWhenUsed/>
    <w:rsid w:val="006C6DF7"/>
    <w:pPr>
      <w:spacing w:after="100"/>
      <w:ind w:left="240"/>
    </w:pPr>
  </w:style>
  <w:style w:type="paragraph" w:styleId="TOC3">
    <w:name w:val="toc 3"/>
    <w:basedOn w:val="Normal"/>
    <w:next w:val="Normal"/>
    <w:autoRedefine/>
    <w:uiPriority w:val="39"/>
    <w:unhideWhenUsed/>
    <w:rsid w:val="006C6DF7"/>
    <w:pPr>
      <w:spacing w:after="100"/>
      <w:ind w:left="480"/>
    </w:pPr>
  </w:style>
  <w:style w:type="character" w:styleId="Emphasis">
    <w:name w:val="Emphasis"/>
    <w:basedOn w:val="DefaultParagraphFont"/>
    <w:uiPriority w:val="20"/>
    <w:qFormat/>
    <w:rsid w:val="000C5AFE"/>
    <w:rPr>
      <w:i/>
      <w:iCs/>
    </w:rPr>
  </w:style>
  <w:style w:type="table" w:styleId="TableGrid">
    <w:name w:val="Table Grid"/>
    <w:basedOn w:val="TableNormal"/>
    <w:uiPriority w:val="39"/>
    <w:rsid w:val="003B5266"/>
    <w:pPr>
      <w:spacing w:after="0" w:line="240" w:lineRule="auto"/>
    </w:pPr>
    <w:rPr>
      <w:kern w:val="2"/>
      <w:sz w:val="24"/>
      <w:szCs w:val="24"/>
      <w:lang w:val="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609030A4"/>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paragraph" w:styleId="Quote">
    <w:name w:val="Quote"/>
    <w:basedOn w:val="Normal"/>
    <w:next w:val="Normal"/>
    <w:uiPriority w:val="29"/>
    <w:qFormat/>
    <w:rsid w:val="560B052E"/>
    <w:pPr>
      <w:spacing w:before="160"/>
      <w:jc w:val="center"/>
    </w:pPr>
    <w:rPr>
      <w:i/>
      <w:iCs/>
      <w:color w:val="404040" w:themeColor="text1" w:themeTint="B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43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F0"/>
    <w:rPr>
      <w:rFonts w:ascii="Segoe UI" w:hAnsi="Segoe UI" w:cs="Segoe UI"/>
      <w:sz w:val="18"/>
      <w:szCs w:val="18"/>
    </w:rPr>
  </w:style>
  <w:style w:type="paragraph" w:customStyle="1" w:styleId="paragraph">
    <w:name w:val="paragraph"/>
    <w:basedOn w:val="Normal"/>
    <w:rsid w:val="00806D2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06D23"/>
  </w:style>
  <w:style w:type="character" w:customStyle="1" w:styleId="eop">
    <w:name w:val="eop"/>
    <w:basedOn w:val="DefaultParagraphFont"/>
    <w:rsid w:val="00806D23"/>
  </w:style>
  <w:style w:type="character" w:styleId="UnresolvedMention">
    <w:name w:val="Unresolved Mention"/>
    <w:basedOn w:val="DefaultParagraphFont"/>
    <w:uiPriority w:val="99"/>
    <w:semiHidden/>
    <w:unhideWhenUsed/>
    <w:rsid w:val="00CC2B3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3C08"/>
    <w:rPr>
      <w:b/>
      <w:bCs/>
    </w:rPr>
  </w:style>
  <w:style w:type="character" w:customStyle="1" w:styleId="CommentSubjectChar">
    <w:name w:val="Comment Subject Char"/>
    <w:basedOn w:val="CommentTextChar"/>
    <w:link w:val="CommentSubject"/>
    <w:uiPriority w:val="99"/>
    <w:semiHidden/>
    <w:rsid w:val="00913C08"/>
    <w:rPr>
      <w:rFonts w:ascii="Arial" w:hAnsi="Arial"/>
      <w:b/>
      <w:bCs/>
      <w:sz w:val="20"/>
      <w:szCs w:val="20"/>
    </w:rPr>
  </w:style>
  <w:style w:type="paragraph" w:styleId="EndnoteText">
    <w:name w:val="endnote text"/>
    <w:basedOn w:val="Normal"/>
    <w:link w:val="EndnoteTextChar"/>
    <w:uiPriority w:val="99"/>
    <w:semiHidden/>
    <w:unhideWhenUsed/>
    <w:rsid w:val="00B23A63"/>
    <w:pPr>
      <w:spacing w:after="0"/>
    </w:pPr>
    <w:rPr>
      <w:sz w:val="20"/>
      <w:szCs w:val="20"/>
    </w:rPr>
  </w:style>
  <w:style w:type="character" w:customStyle="1" w:styleId="EndnoteTextChar">
    <w:name w:val="Endnote Text Char"/>
    <w:basedOn w:val="DefaultParagraphFont"/>
    <w:link w:val="EndnoteText"/>
    <w:uiPriority w:val="99"/>
    <w:semiHidden/>
    <w:rsid w:val="00B23A63"/>
    <w:rPr>
      <w:rFonts w:ascii="Arial" w:hAnsi="Arial"/>
      <w:sz w:val="20"/>
      <w:szCs w:val="20"/>
    </w:rPr>
  </w:style>
  <w:style w:type="character" w:styleId="EndnoteReference">
    <w:name w:val="endnote reference"/>
    <w:basedOn w:val="DefaultParagraphFont"/>
    <w:uiPriority w:val="99"/>
    <w:semiHidden/>
    <w:unhideWhenUsed/>
    <w:rsid w:val="00B23A63"/>
    <w:rPr>
      <w:vertAlign w:val="superscript"/>
    </w:rPr>
  </w:style>
  <w:style w:type="character" w:customStyle="1" w:styleId="FootnoteTextChar">
    <w:name w:val="Footnote Text Char"/>
    <w:basedOn w:val="DefaultParagraphFont"/>
    <w:link w:val="FootnoteText"/>
    <w:uiPriority w:val="99"/>
    <w:rsid w:val="00322F9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6081">
      <w:bodyDiv w:val="1"/>
      <w:marLeft w:val="0"/>
      <w:marRight w:val="0"/>
      <w:marTop w:val="0"/>
      <w:marBottom w:val="0"/>
      <w:divBdr>
        <w:top w:val="none" w:sz="0" w:space="0" w:color="auto"/>
        <w:left w:val="none" w:sz="0" w:space="0" w:color="auto"/>
        <w:bottom w:val="none" w:sz="0" w:space="0" w:color="auto"/>
        <w:right w:val="none" w:sz="0" w:space="0" w:color="auto"/>
      </w:divBdr>
    </w:div>
    <w:div w:id="403727550">
      <w:bodyDiv w:val="1"/>
      <w:marLeft w:val="0"/>
      <w:marRight w:val="0"/>
      <w:marTop w:val="0"/>
      <w:marBottom w:val="0"/>
      <w:divBdr>
        <w:top w:val="none" w:sz="0" w:space="0" w:color="auto"/>
        <w:left w:val="none" w:sz="0" w:space="0" w:color="auto"/>
        <w:bottom w:val="none" w:sz="0" w:space="0" w:color="auto"/>
        <w:right w:val="none" w:sz="0" w:space="0" w:color="auto"/>
      </w:divBdr>
    </w:div>
    <w:div w:id="659507990">
      <w:bodyDiv w:val="1"/>
      <w:marLeft w:val="0"/>
      <w:marRight w:val="0"/>
      <w:marTop w:val="0"/>
      <w:marBottom w:val="0"/>
      <w:divBdr>
        <w:top w:val="none" w:sz="0" w:space="0" w:color="auto"/>
        <w:left w:val="none" w:sz="0" w:space="0" w:color="auto"/>
        <w:bottom w:val="none" w:sz="0" w:space="0" w:color="auto"/>
        <w:right w:val="none" w:sz="0" w:space="0" w:color="auto"/>
      </w:divBdr>
      <w:divsChild>
        <w:div w:id="1945381377">
          <w:marLeft w:val="0"/>
          <w:marRight w:val="0"/>
          <w:marTop w:val="0"/>
          <w:marBottom w:val="0"/>
          <w:divBdr>
            <w:top w:val="none" w:sz="0" w:space="0" w:color="auto"/>
            <w:left w:val="none" w:sz="0" w:space="0" w:color="auto"/>
            <w:bottom w:val="none" w:sz="0" w:space="0" w:color="auto"/>
            <w:right w:val="none" w:sz="0" w:space="0" w:color="auto"/>
          </w:divBdr>
        </w:div>
        <w:div w:id="2141338655">
          <w:marLeft w:val="0"/>
          <w:marRight w:val="0"/>
          <w:marTop w:val="0"/>
          <w:marBottom w:val="0"/>
          <w:divBdr>
            <w:top w:val="none" w:sz="0" w:space="0" w:color="auto"/>
            <w:left w:val="none" w:sz="0" w:space="0" w:color="auto"/>
            <w:bottom w:val="none" w:sz="0" w:space="0" w:color="auto"/>
            <w:right w:val="none" w:sz="0" w:space="0" w:color="auto"/>
          </w:divBdr>
        </w:div>
        <w:div w:id="297955458">
          <w:marLeft w:val="0"/>
          <w:marRight w:val="0"/>
          <w:marTop w:val="0"/>
          <w:marBottom w:val="0"/>
          <w:divBdr>
            <w:top w:val="none" w:sz="0" w:space="0" w:color="auto"/>
            <w:left w:val="none" w:sz="0" w:space="0" w:color="auto"/>
            <w:bottom w:val="none" w:sz="0" w:space="0" w:color="auto"/>
            <w:right w:val="none" w:sz="0" w:space="0" w:color="auto"/>
          </w:divBdr>
        </w:div>
        <w:div w:id="1556428007">
          <w:marLeft w:val="0"/>
          <w:marRight w:val="0"/>
          <w:marTop w:val="0"/>
          <w:marBottom w:val="0"/>
          <w:divBdr>
            <w:top w:val="none" w:sz="0" w:space="0" w:color="auto"/>
            <w:left w:val="none" w:sz="0" w:space="0" w:color="auto"/>
            <w:bottom w:val="none" w:sz="0" w:space="0" w:color="auto"/>
            <w:right w:val="none" w:sz="0" w:space="0" w:color="auto"/>
          </w:divBdr>
        </w:div>
      </w:divsChild>
    </w:div>
    <w:div w:id="1145467154">
      <w:bodyDiv w:val="1"/>
      <w:marLeft w:val="0"/>
      <w:marRight w:val="0"/>
      <w:marTop w:val="0"/>
      <w:marBottom w:val="0"/>
      <w:divBdr>
        <w:top w:val="none" w:sz="0" w:space="0" w:color="auto"/>
        <w:left w:val="none" w:sz="0" w:space="0" w:color="auto"/>
        <w:bottom w:val="none" w:sz="0" w:space="0" w:color="auto"/>
        <w:right w:val="none" w:sz="0" w:space="0" w:color="auto"/>
      </w:divBdr>
    </w:div>
    <w:div w:id="1237980795">
      <w:bodyDiv w:val="1"/>
      <w:marLeft w:val="0"/>
      <w:marRight w:val="0"/>
      <w:marTop w:val="0"/>
      <w:marBottom w:val="0"/>
      <w:divBdr>
        <w:top w:val="none" w:sz="0" w:space="0" w:color="auto"/>
        <w:left w:val="none" w:sz="0" w:space="0" w:color="auto"/>
        <w:bottom w:val="none" w:sz="0" w:space="0" w:color="auto"/>
        <w:right w:val="none" w:sz="0" w:space="0" w:color="auto"/>
      </w:divBdr>
    </w:div>
    <w:div w:id="19865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footer" Target="footer4.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www.metoffice.gov.uk/research/climate/maps-and-data/location-specific-long-term-averages/u10fvfq33" TargetMode="Externa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metoffice.gov.uk/research/climate/maps-and-data/location-specific-long-term-averages/u10eu42f9"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chart" Target="charts/chart3.xml"/><Relationship Id="rId36" Type="http://schemas.openxmlformats.org/officeDocument/2006/relationships/theme" Target="theme/theme1.xml"/><Relationship Id="R42749a223b9a434a"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metoffice.gov.uk/research/climate/maps-and-data/location-specific-long-term-averages/u106h7k5k"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news/ukhsa-and-ons-release-estimates-of-excess-deaths-during-summer-of-2022" TargetMode="External"/><Relationship Id="rId13" Type="http://schemas.openxmlformats.org/officeDocument/2006/relationships/hyperlink" Target="https://www.england.nhs.uk/greenernhs/a-net-zero-nhs/" TargetMode="External"/><Relationship Id="rId3" Type="http://schemas.openxmlformats.org/officeDocument/2006/relationships/hyperlink" Target="https://www.metoffice.gov.uk/about-us/news-and-media/media-centre/weather-and-climate-news/2024/climate-change-drives-increase-in-storm-rainfall" TargetMode="External"/><Relationship Id="rId7" Type="http://schemas.openxmlformats.org/officeDocument/2006/relationships/hyperlink" Target="https://www.metoffice.gov.uk/binaries/content/assets/metofficegovuk/pdf/weather/learn-about/uk-past-events/interesting/2022/2022_03_july_heatwave_v1.pdf" TargetMode="External"/><Relationship Id="rId12" Type="http://schemas.openxmlformats.org/officeDocument/2006/relationships/hyperlink" Target="https://democracy.kent.gov.uk/mgConvert2PDF.aspx?ID=127475" TargetMode="External"/><Relationship Id="rId2" Type="http://schemas.openxmlformats.org/officeDocument/2006/relationships/hyperlink" Target="https://www.thelancet.com/countdown-health-climate" TargetMode="External"/><Relationship Id="rId1" Type="http://schemas.openxmlformats.org/officeDocument/2006/relationships/hyperlink" Target="https://www.gov.uk/government/publications/independent-investigation-of-the-nhs-in-england" TargetMode="External"/><Relationship Id="rId6" Type="http://schemas.openxmlformats.org/officeDocument/2006/relationships/hyperlink" Target="https://post.parliament.uk/food-systems-food-security-and-supply-chains/" TargetMode="External"/><Relationship Id="rId11" Type="http://schemas.openxmlformats.org/officeDocument/2006/relationships/hyperlink" Target="https://www.eea.europa.eu/en/analysis/publications/healthy-environment-healthy-lives" TargetMode="External"/><Relationship Id="rId5" Type="http://schemas.openxmlformats.org/officeDocument/2006/relationships/hyperlink" Target="https://www.gov.uk/government/publications/a-review-of-englands-draft-regional-and-water-resources-management-plans/a-summary-of-englands-draft-regional-and-water-resources-management-plans" TargetMode="External"/><Relationship Id="rId15" Type="http://schemas.openxmlformats.org/officeDocument/2006/relationships/hyperlink" Target="https://future.nhs.uk/sustainabilitynetwork/view?objectID=40446448" TargetMode="External"/><Relationship Id="rId10" Type="http://schemas.openxmlformats.org/officeDocument/2006/relationships/hyperlink" Target="https://www.gov.uk/government/case-studies/mental-health-costs-of-flooding" TargetMode="External"/><Relationship Id="rId4" Type="http://schemas.openxmlformats.org/officeDocument/2006/relationships/hyperlink" Target="https://assets.publishing.service.gov.uk/media/6570a68b7469300012488948/HECC-report-2023-chapter-4-outdoor-air-quality.pdf" TargetMode="External"/><Relationship Id="rId9" Type="http://schemas.openxmlformats.org/officeDocument/2006/relationships/hyperlink" Target="https://www.kent.gov.uk/environment-waste-and-planning/climate-change/kents-changing-climate" TargetMode="External"/><Relationship Id="rId14" Type="http://schemas.openxmlformats.org/officeDocument/2006/relationships/hyperlink" Target="https://github.com/danwrisar/KMSIMG_NHS_EmissionsRecipeBook/tree/ma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ad.ekhuft.nhs.uk\User\dan.wright2\Documents\DataWorks\Analysis_Weather_MaxMinTemps\maxmin_dover-fav-bodi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hare.ad.ekhuft.nhs.uk\share\Estates\Staff\Energy%20and%20Sustainability\2401_Reporting\External\ICB\ICB-Emissions\1920-2324_Trajectories\250819_TrustTrajectories_D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hare.ad.ekhuft.nhs.uk\share\Estates\Staff\Energy%20and%20Sustainability\2401_Reporting\External\ICB\ICB-Emissions\1920-2324_Trajectories\250107_TrustTrajectories_D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36944190972363"/>
          <c:y val="3.4041120750556174E-2"/>
          <c:w val="0.82125652751194711"/>
          <c:h val="0.35029191221680395"/>
        </c:manualLayout>
      </c:layout>
      <c:lineChart>
        <c:grouping val="standard"/>
        <c:varyColors val="0"/>
        <c:ser>
          <c:idx val="1"/>
          <c:order val="0"/>
          <c:tx>
            <c:strRef>
              <c:f>Sheet1!$C$1</c:f>
              <c:strCache>
                <c:ptCount val="1"/>
                <c:pt idx="0">
                  <c:v>Minimum monthly air temperature (°C) in 1990-2020</c:v>
                </c:pt>
              </c:strCache>
            </c:strRef>
          </c:tx>
          <c:spPr>
            <a:ln w="19050" cap="rnd">
              <a:solidFill>
                <a:srgbClr val="FF0000"/>
              </a:solidFill>
              <a:round/>
            </a:ln>
            <a:effectLst/>
          </c:spPr>
          <c:marker>
            <c:symbol val="circle"/>
            <c:size val="7"/>
            <c:spPr>
              <a:solidFill>
                <a:schemeClr val="bg1"/>
              </a:solidFill>
              <a:ln w="12700">
                <a:solidFill>
                  <a:srgbClr val="FF0000"/>
                </a:solidFill>
              </a:ln>
              <a:effectLst/>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0.00</c:formatCode>
                <c:ptCount val="12"/>
                <c:pt idx="0">
                  <c:v>2.6333333333333333</c:v>
                </c:pt>
                <c:pt idx="1">
                  <c:v>2.5100000000000002</c:v>
                </c:pt>
                <c:pt idx="2">
                  <c:v>3.7066666666666666</c:v>
                </c:pt>
                <c:pt idx="3">
                  <c:v>5.5966666666666667</c:v>
                </c:pt>
                <c:pt idx="4">
                  <c:v>8.2200000000000006</c:v>
                </c:pt>
                <c:pt idx="5">
                  <c:v>11.163333333333334</c:v>
                </c:pt>
                <c:pt idx="6">
                  <c:v>13.209999999999999</c:v>
                </c:pt>
                <c:pt idx="7">
                  <c:v>13.343333333333334</c:v>
                </c:pt>
                <c:pt idx="8">
                  <c:v>11.13</c:v>
                </c:pt>
                <c:pt idx="9">
                  <c:v>8.4666666666666668</c:v>
                </c:pt>
                <c:pt idx="10">
                  <c:v>5.3233333333333333</c:v>
                </c:pt>
                <c:pt idx="11">
                  <c:v>3.02</c:v>
                </c:pt>
              </c:numCache>
            </c:numRef>
          </c:val>
          <c:smooth val="0"/>
          <c:extLst>
            <c:ext xmlns:c16="http://schemas.microsoft.com/office/drawing/2014/chart" uri="{C3380CC4-5D6E-409C-BE32-E72D297353CC}">
              <c16:uniqueId val="{00000000-46D3-4152-8370-89D22A82E883}"/>
            </c:ext>
          </c:extLst>
        </c:ser>
        <c:ser>
          <c:idx val="0"/>
          <c:order val="1"/>
          <c:tx>
            <c:strRef>
              <c:f>Sheet1!$B$1</c:f>
              <c:strCache>
                <c:ptCount val="1"/>
                <c:pt idx="0">
                  <c:v>Maximum monthly air temperature (°C) in 1990-2020</c:v>
                </c:pt>
              </c:strCache>
            </c:strRef>
          </c:tx>
          <c:spPr>
            <a:ln w="19050" cap="rnd">
              <a:solidFill>
                <a:srgbClr val="FF0000"/>
              </a:solidFill>
              <a:round/>
            </a:ln>
            <a:effectLst/>
          </c:spPr>
          <c:marker>
            <c:symbol val="x"/>
            <c:size val="7"/>
            <c:spPr>
              <a:solidFill>
                <a:schemeClr val="bg1"/>
              </a:solidFill>
              <a:ln w="12700">
                <a:solidFill>
                  <a:srgbClr val="FF0000"/>
                </a:solidFill>
              </a:ln>
              <a:effectLst/>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0.00</c:formatCode>
                <c:ptCount val="12"/>
                <c:pt idx="0">
                  <c:v>8.1166666666666671</c:v>
                </c:pt>
                <c:pt idx="1">
                  <c:v>8.4366666666666656</c:v>
                </c:pt>
                <c:pt idx="2">
                  <c:v>10.920000000000002</c:v>
                </c:pt>
                <c:pt idx="3">
                  <c:v>13.709999999999999</c:v>
                </c:pt>
                <c:pt idx="4">
                  <c:v>16.873333333333331</c:v>
                </c:pt>
                <c:pt idx="5">
                  <c:v>19.75</c:v>
                </c:pt>
                <c:pt idx="6">
                  <c:v>22.243333333333329</c:v>
                </c:pt>
                <c:pt idx="7">
                  <c:v>22.286666666666665</c:v>
                </c:pt>
                <c:pt idx="8">
                  <c:v>19.466666666666665</c:v>
                </c:pt>
                <c:pt idx="9">
                  <c:v>15.646666666666667</c:v>
                </c:pt>
                <c:pt idx="10">
                  <c:v>11.453333333333333</c:v>
                </c:pt>
                <c:pt idx="11">
                  <c:v>8.6833333333333336</c:v>
                </c:pt>
              </c:numCache>
            </c:numRef>
          </c:val>
          <c:smooth val="0"/>
          <c:extLst>
            <c:ext xmlns:c16="http://schemas.microsoft.com/office/drawing/2014/chart" uri="{C3380CC4-5D6E-409C-BE32-E72D297353CC}">
              <c16:uniqueId val="{00000001-46D3-4152-8370-89D22A82E883}"/>
            </c:ext>
          </c:extLst>
        </c:ser>
        <c:ser>
          <c:idx val="4"/>
          <c:order val="2"/>
          <c:tx>
            <c:strRef>
              <c:f>Sheet1!$D$1</c:f>
              <c:strCache>
                <c:ptCount val="1"/>
                <c:pt idx="0">
                  <c:v>Average monthly air temperature (°C) in 1990-2020</c:v>
                </c:pt>
              </c:strCache>
            </c:strRef>
          </c:tx>
          <c:spPr>
            <a:ln w="25400" cap="rnd">
              <a:solidFill>
                <a:srgbClr val="FF0000"/>
              </a:solidFill>
              <a:prstDash val="sysDot"/>
              <a:round/>
            </a:ln>
            <a:effectLst/>
          </c:spPr>
          <c:marker>
            <c:symbol val="triangle"/>
            <c:size val="7"/>
            <c:spPr>
              <a:solidFill>
                <a:schemeClr val="bg1"/>
              </a:solidFill>
              <a:ln w="12700">
                <a:solidFill>
                  <a:srgbClr val="FF0000"/>
                </a:solidFill>
              </a:ln>
              <a:effectLst/>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0.00</c:formatCode>
                <c:ptCount val="12"/>
                <c:pt idx="0">
                  <c:v>5.375</c:v>
                </c:pt>
                <c:pt idx="1">
                  <c:v>5.4733333333333327</c:v>
                </c:pt>
                <c:pt idx="2">
                  <c:v>7.3133333333333344</c:v>
                </c:pt>
                <c:pt idx="3">
                  <c:v>9.6533333333333324</c:v>
                </c:pt>
                <c:pt idx="4">
                  <c:v>12.546666666666667</c:v>
                </c:pt>
                <c:pt idx="5">
                  <c:v>15.456666666666667</c:v>
                </c:pt>
                <c:pt idx="6">
                  <c:v>17.726666666666663</c:v>
                </c:pt>
                <c:pt idx="7">
                  <c:v>17.814999999999998</c:v>
                </c:pt>
                <c:pt idx="8">
                  <c:v>15.298333333333332</c:v>
                </c:pt>
                <c:pt idx="9">
                  <c:v>12.056666666666667</c:v>
                </c:pt>
                <c:pt idx="10">
                  <c:v>8.3883333333333336</c:v>
                </c:pt>
                <c:pt idx="11">
                  <c:v>5.8516666666666666</c:v>
                </c:pt>
              </c:numCache>
            </c:numRef>
          </c:val>
          <c:smooth val="0"/>
          <c:extLst>
            <c:ext xmlns:c16="http://schemas.microsoft.com/office/drawing/2014/chart" uri="{C3380CC4-5D6E-409C-BE32-E72D297353CC}">
              <c16:uniqueId val="{00000002-46D3-4152-8370-89D22A82E883}"/>
            </c:ext>
          </c:extLst>
        </c:ser>
        <c:ser>
          <c:idx val="3"/>
          <c:order val="3"/>
          <c:tx>
            <c:strRef>
              <c:f>Sheet1!$G$1</c:f>
              <c:strCache>
                <c:ptCount val="1"/>
                <c:pt idx="0">
                  <c:v>Minimum monthly air temperature (°C) in 1960-1990</c:v>
                </c:pt>
              </c:strCache>
            </c:strRef>
          </c:tx>
          <c:spPr>
            <a:ln w="25400" cap="rnd">
              <a:solidFill>
                <a:schemeClr val="accent1"/>
              </a:solidFill>
              <a:round/>
            </a:ln>
            <a:effectLst/>
          </c:spPr>
          <c:marker>
            <c:symbol val="circle"/>
            <c:size val="7"/>
            <c:spPr>
              <a:solidFill>
                <a:schemeClr val="bg1"/>
              </a:solidFill>
              <a:ln w="12700">
                <a:solidFill>
                  <a:schemeClr val="accent1"/>
                </a:solidFill>
              </a:ln>
              <a:effectLst/>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Sheet1!$G$2:$G$13</c:f>
              <c:numCache>
                <c:formatCode>0.00</c:formatCode>
                <c:ptCount val="12"/>
                <c:pt idx="0">
                  <c:v>1.6600000000000001</c:v>
                </c:pt>
                <c:pt idx="1">
                  <c:v>1.5533333333333335</c:v>
                </c:pt>
                <c:pt idx="2">
                  <c:v>2.7566666666666664</c:v>
                </c:pt>
                <c:pt idx="3">
                  <c:v>4.51</c:v>
                </c:pt>
                <c:pt idx="4">
                  <c:v>7.416666666666667</c:v>
                </c:pt>
                <c:pt idx="5">
                  <c:v>10.286666666666667</c:v>
                </c:pt>
                <c:pt idx="6">
                  <c:v>12.37</c:v>
                </c:pt>
                <c:pt idx="7">
                  <c:v>12.266666666666666</c:v>
                </c:pt>
                <c:pt idx="8">
                  <c:v>10.58</c:v>
                </c:pt>
                <c:pt idx="9">
                  <c:v>8.0133333333333336</c:v>
                </c:pt>
                <c:pt idx="10">
                  <c:v>4.3666666666666663</c:v>
                </c:pt>
                <c:pt idx="11">
                  <c:v>2.5233333333333334</c:v>
                </c:pt>
              </c:numCache>
            </c:numRef>
          </c:val>
          <c:smooth val="0"/>
          <c:extLst>
            <c:ext xmlns:c16="http://schemas.microsoft.com/office/drawing/2014/chart" uri="{C3380CC4-5D6E-409C-BE32-E72D297353CC}">
              <c16:uniqueId val="{00000003-46D3-4152-8370-89D22A82E883}"/>
            </c:ext>
          </c:extLst>
        </c:ser>
        <c:ser>
          <c:idx val="2"/>
          <c:order val="4"/>
          <c:tx>
            <c:strRef>
              <c:f>Sheet1!$F$1</c:f>
              <c:strCache>
                <c:ptCount val="1"/>
                <c:pt idx="0">
                  <c:v>Maximum monthly air temperature (°C) in 1960-1990</c:v>
                </c:pt>
              </c:strCache>
            </c:strRef>
          </c:tx>
          <c:spPr>
            <a:ln w="25400" cap="rnd">
              <a:solidFill>
                <a:schemeClr val="accent1"/>
              </a:solidFill>
              <a:round/>
            </a:ln>
            <a:effectLst/>
          </c:spPr>
          <c:marker>
            <c:symbol val="x"/>
            <c:size val="7"/>
            <c:spPr>
              <a:solidFill>
                <a:schemeClr val="bg1"/>
              </a:solidFill>
              <a:ln w="12700">
                <a:solidFill>
                  <a:schemeClr val="accent1"/>
                </a:solidFill>
              </a:ln>
              <a:effectLst/>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Sheet1!$F$2:$F$13</c:f>
              <c:numCache>
                <c:formatCode>0.00</c:formatCode>
                <c:ptCount val="12"/>
                <c:pt idx="0">
                  <c:v>6.7966666666666669</c:v>
                </c:pt>
                <c:pt idx="1">
                  <c:v>7.0166666666666666</c:v>
                </c:pt>
                <c:pt idx="2">
                  <c:v>9.4366666666666656</c:v>
                </c:pt>
                <c:pt idx="3">
                  <c:v>11.843333333333334</c:v>
                </c:pt>
                <c:pt idx="4">
                  <c:v>15.676666666666668</c:v>
                </c:pt>
                <c:pt idx="5">
                  <c:v>18.773333333333333</c:v>
                </c:pt>
                <c:pt idx="6">
                  <c:v>20.763333333333335</c:v>
                </c:pt>
                <c:pt idx="7">
                  <c:v>20.983333333333331</c:v>
                </c:pt>
                <c:pt idx="8">
                  <c:v>18.733333333333334</c:v>
                </c:pt>
                <c:pt idx="9">
                  <c:v>15.133333333333333</c:v>
                </c:pt>
                <c:pt idx="10">
                  <c:v>10.373333333333333</c:v>
                </c:pt>
                <c:pt idx="11">
                  <c:v>7.81</c:v>
                </c:pt>
              </c:numCache>
            </c:numRef>
          </c:val>
          <c:smooth val="0"/>
          <c:extLst>
            <c:ext xmlns:c16="http://schemas.microsoft.com/office/drawing/2014/chart" uri="{C3380CC4-5D6E-409C-BE32-E72D297353CC}">
              <c16:uniqueId val="{00000004-46D3-4152-8370-89D22A82E883}"/>
            </c:ext>
          </c:extLst>
        </c:ser>
        <c:ser>
          <c:idx val="5"/>
          <c:order val="5"/>
          <c:tx>
            <c:strRef>
              <c:f>Sheet1!$H$1</c:f>
              <c:strCache>
                <c:ptCount val="1"/>
                <c:pt idx="0">
                  <c:v>Average mothly air temperature (°C) in 1960-1990</c:v>
                </c:pt>
              </c:strCache>
            </c:strRef>
          </c:tx>
          <c:spPr>
            <a:ln w="25400" cap="rnd">
              <a:solidFill>
                <a:schemeClr val="accent1"/>
              </a:solidFill>
              <a:prstDash val="sysDot"/>
              <a:round/>
            </a:ln>
            <a:effectLst/>
          </c:spPr>
          <c:marker>
            <c:symbol val="triangle"/>
            <c:size val="7"/>
            <c:spPr>
              <a:solidFill>
                <a:schemeClr val="bg1"/>
              </a:solidFill>
              <a:ln w="12700">
                <a:solidFill>
                  <a:schemeClr val="accent1"/>
                </a:solidFill>
              </a:ln>
              <a:effectLst/>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Sheet1!$H$2:$H$13</c:f>
              <c:numCache>
                <c:formatCode>0.00</c:formatCode>
                <c:ptCount val="12"/>
                <c:pt idx="0">
                  <c:v>4.2283333333333335</c:v>
                </c:pt>
                <c:pt idx="1">
                  <c:v>4.2850000000000001</c:v>
                </c:pt>
                <c:pt idx="2">
                  <c:v>6.0966666666666658</c:v>
                </c:pt>
                <c:pt idx="3">
                  <c:v>8.1766666666666659</c:v>
                </c:pt>
                <c:pt idx="4">
                  <c:v>11.546666666666667</c:v>
                </c:pt>
                <c:pt idx="5">
                  <c:v>14.530000000000001</c:v>
                </c:pt>
                <c:pt idx="6">
                  <c:v>16.566666666666666</c:v>
                </c:pt>
                <c:pt idx="7">
                  <c:v>16.625</c:v>
                </c:pt>
                <c:pt idx="8">
                  <c:v>14.656666666666666</c:v>
                </c:pt>
                <c:pt idx="9">
                  <c:v>11.573333333333334</c:v>
                </c:pt>
                <c:pt idx="10">
                  <c:v>7.3699999999999992</c:v>
                </c:pt>
                <c:pt idx="11">
                  <c:v>5.1666666666666661</c:v>
                </c:pt>
              </c:numCache>
            </c:numRef>
          </c:val>
          <c:smooth val="0"/>
          <c:extLst>
            <c:ext xmlns:c16="http://schemas.microsoft.com/office/drawing/2014/chart" uri="{C3380CC4-5D6E-409C-BE32-E72D297353CC}">
              <c16:uniqueId val="{00000005-46D3-4152-8370-89D22A82E883}"/>
            </c:ext>
          </c:extLst>
        </c:ser>
        <c:dLbls>
          <c:showLegendKey val="0"/>
          <c:showVal val="0"/>
          <c:showCatName val="0"/>
          <c:showSerName val="0"/>
          <c:showPercent val="0"/>
          <c:showBubbleSize val="0"/>
        </c:dLbls>
        <c:marker val="1"/>
        <c:smooth val="0"/>
        <c:axId val="286359088"/>
        <c:axId val="286361384"/>
      </c:lineChart>
      <c:catAx>
        <c:axId val="2863590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Month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6361384"/>
        <c:crosses val="autoZero"/>
        <c:auto val="1"/>
        <c:lblAlgn val="ctr"/>
        <c:lblOffset val="100"/>
        <c:noMultiLvlLbl val="0"/>
      </c:catAx>
      <c:valAx>
        <c:axId val="286361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Air temperature (°C)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6359088"/>
        <c:crosses val="autoZero"/>
        <c:crossBetween val="between"/>
      </c:valAx>
      <c:spPr>
        <a:noFill/>
        <a:ln>
          <a:noFill/>
        </a:ln>
        <a:effectLst/>
      </c:spPr>
    </c:plotArea>
    <c:legend>
      <c:legendPos val="b"/>
      <c:layout>
        <c:manualLayout>
          <c:xMode val="edge"/>
          <c:yMode val="edge"/>
          <c:x val="0.15016409288302734"/>
          <c:y val="0.63310910841684997"/>
          <c:w val="0.74841970091651244"/>
          <c:h val="0.3319919530925291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'[250915_TrustTrajectories_DW.xlsx]Sheet1'!$C$66</c:f>
              <c:strCache>
                <c:ptCount val="1"/>
                <c:pt idx="0">
                  <c:v>Natural Gas</c:v>
                </c:pt>
              </c:strCache>
            </c:strRef>
          </c:tx>
          <c:spPr>
            <a:solidFill>
              <a:schemeClr val="accent1">
                <a:lumMod val="40000"/>
                <a:lumOff val="60000"/>
              </a:schemeClr>
            </a:solidFill>
            <a:ln>
              <a:solidFill>
                <a:schemeClr val="tx1"/>
              </a:solidFill>
            </a:ln>
            <a:effectLst/>
          </c:spPr>
          <c:invertIfNegative val="0"/>
          <c:cat>
            <c:strRef>
              <c:f>'[250915_TrustTrajectories_DW.xlsx]Sheet1'!$B$77:$B$86</c:f>
              <c:strCache>
                <c:ptCount val="10"/>
                <c:pt idx="0">
                  <c:v>2019/20</c:v>
                </c:pt>
                <c:pt idx="1">
                  <c:v>2020/21</c:v>
                </c:pt>
                <c:pt idx="2">
                  <c:v>2021/22</c:v>
                </c:pt>
                <c:pt idx="3">
                  <c:v>2022/23</c:v>
                </c:pt>
                <c:pt idx="4">
                  <c:v>2023/24</c:v>
                </c:pt>
                <c:pt idx="5">
                  <c:v>2024/25</c:v>
                </c:pt>
                <c:pt idx="6">
                  <c:v>2025/26</c:v>
                </c:pt>
                <c:pt idx="7">
                  <c:v>2026/27</c:v>
                </c:pt>
                <c:pt idx="8">
                  <c:v>2027/28</c:v>
                </c:pt>
                <c:pt idx="9">
                  <c:v>2028/29</c:v>
                </c:pt>
              </c:strCache>
            </c:strRef>
          </c:cat>
          <c:val>
            <c:numRef>
              <c:f>'[250915_TrustTrajectories_DW.xlsx]Sheet1'!$C$77:$C$86</c:f>
              <c:numCache>
                <c:formatCode>_(* #,##0.00_);_(* \(#,##0.00\);_(* "-"??_);_(@_)</c:formatCode>
                <c:ptCount val="10"/>
                <c:pt idx="0">
                  <c:v>7440.0542332413243</c:v>
                </c:pt>
                <c:pt idx="1">
                  <c:v>7856.057513257816</c:v>
                </c:pt>
                <c:pt idx="2">
                  <c:v>8885.5613327956908</c:v>
                </c:pt>
                <c:pt idx="3">
                  <c:v>8958.9460361459096</c:v>
                </c:pt>
                <c:pt idx="4">
                  <c:v>8543.475578664842</c:v>
                </c:pt>
                <c:pt idx="5">
                  <c:v>11296.181618423001</c:v>
                </c:pt>
              </c:numCache>
            </c:numRef>
          </c:val>
          <c:extLst>
            <c:ext xmlns:c16="http://schemas.microsoft.com/office/drawing/2014/chart" uri="{C3380CC4-5D6E-409C-BE32-E72D297353CC}">
              <c16:uniqueId val="{00000000-B1DE-4958-AAB9-CD6BBFA760D3}"/>
            </c:ext>
          </c:extLst>
        </c:ser>
        <c:ser>
          <c:idx val="1"/>
          <c:order val="1"/>
          <c:tx>
            <c:strRef>
              <c:f>'[250915_TrustTrajectories_DW.xlsx]Sheet1'!$D$66</c:f>
              <c:strCache>
                <c:ptCount val="1"/>
                <c:pt idx="0">
                  <c:v>Electricity</c:v>
                </c:pt>
              </c:strCache>
            </c:strRef>
          </c:tx>
          <c:spPr>
            <a:solidFill>
              <a:schemeClr val="accent6"/>
            </a:solidFill>
            <a:ln>
              <a:solidFill>
                <a:schemeClr val="tx1"/>
              </a:solidFill>
            </a:ln>
            <a:effectLst/>
          </c:spPr>
          <c:invertIfNegative val="0"/>
          <c:cat>
            <c:strRef>
              <c:f>'[250915_TrustTrajectories_DW.xlsx]Sheet1'!$B$77:$B$86</c:f>
              <c:strCache>
                <c:ptCount val="10"/>
                <c:pt idx="0">
                  <c:v>2019/20</c:v>
                </c:pt>
                <c:pt idx="1">
                  <c:v>2020/21</c:v>
                </c:pt>
                <c:pt idx="2">
                  <c:v>2021/22</c:v>
                </c:pt>
                <c:pt idx="3">
                  <c:v>2022/23</c:v>
                </c:pt>
                <c:pt idx="4">
                  <c:v>2023/24</c:v>
                </c:pt>
                <c:pt idx="5">
                  <c:v>2024/25</c:v>
                </c:pt>
                <c:pt idx="6">
                  <c:v>2025/26</c:v>
                </c:pt>
                <c:pt idx="7">
                  <c:v>2026/27</c:v>
                </c:pt>
                <c:pt idx="8">
                  <c:v>2027/28</c:v>
                </c:pt>
                <c:pt idx="9">
                  <c:v>2028/29</c:v>
                </c:pt>
              </c:strCache>
            </c:strRef>
          </c:cat>
          <c:val>
            <c:numRef>
              <c:f>'[250915_TrustTrajectories_DW.xlsx]Sheet1'!$D$77:$D$86</c:f>
              <c:numCache>
                <c:formatCode>_(* #,##0.00_);_(* \(#,##0.00\);_(* "-"??_);_(@_)</c:formatCode>
                <c:ptCount val="10"/>
                <c:pt idx="0">
                  <c:v>9527.7000000000007</c:v>
                </c:pt>
                <c:pt idx="1">
                  <c:v>6613.3</c:v>
                </c:pt>
                <c:pt idx="2">
                  <c:v>5917.2000000000007</c:v>
                </c:pt>
                <c:pt idx="3">
                  <c:v>5479.2</c:v>
                </c:pt>
                <c:pt idx="4">
                  <c:v>5769.5</c:v>
                </c:pt>
                <c:pt idx="5">
                  <c:v>4986.2850972059323</c:v>
                </c:pt>
              </c:numCache>
            </c:numRef>
          </c:val>
          <c:extLst>
            <c:ext xmlns:c16="http://schemas.microsoft.com/office/drawing/2014/chart" uri="{C3380CC4-5D6E-409C-BE32-E72D297353CC}">
              <c16:uniqueId val="{00000001-B1DE-4958-AAB9-CD6BBFA760D3}"/>
            </c:ext>
          </c:extLst>
        </c:ser>
        <c:ser>
          <c:idx val="9"/>
          <c:order val="2"/>
          <c:tx>
            <c:strRef>
              <c:f>'[250915_TrustTrajectories_DW.xlsx]Sheet1'!$F$66</c:f>
              <c:strCache>
                <c:ptCount val="1"/>
                <c:pt idx="0">
                  <c:v>Purchased Steam</c:v>
                </c:pt>
              </c:strCache>
            </c:strRef>
          </c:tx>
          <c:spPr>
            <a:solidFill>
              <a:schemeClr val="bg1">
                <a:lumMod val="75000"/>
              </a:schemeClr>
            </a:solidFill>
            <a:ln>
              <a:solidFill>
                <a:schemeClr val="tx1"/>
              </a:solidFill>
            </a:ln>
            <a:effectLst/>
          </c:spPr>
          <c:invertIfNegative val="0"/>
          <c:val>
            <c:numRef>
              <c:f>'[250915_TrustTrajectories_DW.xlsx]Sheet1'!$F$77:$F$82</c:f>
              <c:numCache>
                <c:formatCode>_(* #,##0.00_);_(* \(#,##0.00\);_(* "-"??_);_(@_)</c:formatCode>
                <c:ptCount val="6"/>
                <c:pt idx="0">
                  <c:v>5152.6071719999954</c:v>
                </c:pt>
                <c:pt idx="1">
                  <c:v>4426.2684367500033</c:v>
                </c:pt>
                <c:pt idx="2">
                  <c:v>4021.6256065124999</c:v>
                </c:pt>
                <c:pt idx="3">
                  <c:v>5592.3413930999941</c:v>
                </c:pt>
                <c:pt idx="4">
                  <c:v>4047.2450249999997</c:v>
                </c:pt>
                <c:pt idx="5">
                  <c:v>4703.2498125000002</c:v>
                </c:pt>
              </c:numCache>
            </c:numRef>
          </c:val>
          <c:extLst>
            <c:ext xmlns:c16="http://schemas.microsoft.com/office/drawing/2014/chart" uri="{C3380CC4-5D6E-409C-BE32-E72D297353CC}">
              <c16:uniqueId val="{00000002-B1DE-4958-AAB9-CD6BBFA760D3}"/>
            </c:ext>
          </c:extLst>
        </c:ser>
        <c:ser>
          <c:idx val="4"/>
          <c:order val="3"/>
          <c:tx>
            <c:strRef>
              <c:f>'[250915_TrustTrajectories_DW.xlsx]Sheet1'!$I$66</c:f>
              <c:strCache>
                <c:ptCount val="1"/>
                <c:pt idx="0">
                  <c:v>Medical Gases</c:v>
                </c:pt>
              </c:strCache>
            </c:strRef>
          </c:tx>
          <c:spPr>
            <a:solidFill>
              <a:schemeClr val="accent5"/>
            </a:solidFill>
            <a:ln>
              <a:solidFill>
                <a:schemeClr val="tx1"/>
              </a:solidFill>
            </a:ln>
            <a:effectLst/>
          </c:spPr>
          <c:invertIfNegative val="0"/>
          <c:cat>
            <c:strRef>
              <c:f>'[250915_TrustTrajectories_DW.xlsx]Sheet1'!$B$77:$B$86</c:f>
              <c:strCache>
                <c:ptCount val="10"/>
                <c:pt idx="0">
                  <c:v>2019/20</c:v>
                </c:pt>
                <c:pt idx="1">
                  <c:v>2020/21</c:v>
                </c:pt>
                <c:pt idx="2">
                  <c:v>2021/22</c:v>
                </c:pt>
                <c:pt idx="3">
                  <c:v>2022/23</c:v>
                </c:pt>
                <c:pt idx="4">
                  <c:v>2023/24</c:v>
                </c:pt>
                <c:pt idx="5">
                  <c:v>2024/25</c:v>
                </c:pt>
                <c:pt idx="6">
                  <c:v>2025/26</c:v>
                </c:pt>
                <c:pt idx="7">
                  <c:v>2026/27</c:v>
                </c:pt>
                <c:pt idx="8">
                  <c:v>2027/28</c:v>
                </c:pt>
                <c:pt idx="9">
                  <c:v>2028/29</c:v>
                </c:pt>
              </c:strCache>
            </c:strRef>
          </c:cat>
          <c:val>
            <c:numRef>
              <c:f>'[250915_TrustTrajectories_DW.xlsx]Sheet1'!$I$77:$I$86</c:f>
              <c:numCache>
                <c:formatCode>_(* #,##0.00_);_(* \(#,##0.00\);_(* "-"??_);_(@_)</c:formatCode>
                <c:ptCount val="10"/>
                <c:pt idx="0">
                  <c:v>2754.2999999999997</c:v>
                </c:pt>
                <c:pt idx="1">
                  <c:v>2201.1</c:v>
                </c:pt>
                <c:pt idx="2">
                  <c:v>2895</c:v>
                </c:pt>
                <c:pt idx="3">
                  <c:v>2365.6999999999998</c:v>
                </c:pt>
                <c:pt idx="4">
                  <c:v>2183.3999999999996</c:v>
                </c:pt>
                <c:pt idx="5">
                  <c:v>3686.55375</c:v>
                </c:pt>
              </c:numCache>
            </c:numRef>
          </c:val>
          <c:extLst>
            <c:ext xmlns:c16="http://schemas.microsoft.com/office/drawing/2014/chart" uri="{C3380CC4-5D6E-409C-BE32-E72D297353CC}">
              <c16:uniqueId val="{00000003-B1DE-4958-AAB9-CD6BBFA760D3}"/>
            </c:ext>
          </c:extLst>
        </c:ser>
        <c:ser>
          <c:idx val="8"/>
          <c:order val="4"/>
          <c:tx>
            <c:strRef>
              <c:f>'[250915_TrustTrajectories_DW.xlsx]Sheet1'!$J$66</c:f>
              <c:strCache>
                <c:ptCount val="1"/>
                <c:pt idx="0">
                  <c:v>Metered Dose Inhalers</c:v>
                </c:pt>
              </c:strCache>
            </c:strRef>
          </c:tx>
          <c:spPr>
            <a:solidFill>
              <a:schemeClr val="accent3">
                <a:lumMod val="60000"/>
              </a:schemeClr>
            </a:solidFill>
            <a:ln>
              <a:solidFill>
                <a:schemeClr val="tx1"/>
              </a:solidFill>
            </a:ln>
            <a:effectLst/>
          </c:spPr>
          <c:invertIfNegative val="0"/>
          <c:val>
            <c:numRef>
              <c:f>'[250915_TrustTrajectories_DW.xlsx]Sheet1'!$J$77:$J$82</c:f>
              <c:numCache>
                <c:formatCode>_(* #,##0.00_);_(* \(#,##0.00\);_(* "-"??_);_(@_)</c:formatCode>
                <c:ptCount val="6"/>
                <c:pt idx="0">
                  <c:v>1156.8</c:v>
                </c:pt>
                <c:pt idx="1">
                  <c:v>748.68</c:v>
                </c:pt>
                <c:pt idx="2">
                  <c:v>1410.98</c:v>
                </c:pt>
                <c:pt idx="3">
                  <c:v>1507.96</c:v>
                </c:pt>
                <c:pt idx="4">
                  <c:v>1726.92</c:v>
                </c:pt>
                <c:pt idx="5">
                  <c:v>1451.1005</c:v>
                </c:pt>
              </c:numCache>
            </c:numRef>
          </c:val>
          <c:extLst>
            <c:ext xmlns:c16="http://schemas.microsoft.com/office/drawing/2014/chart" uri="{C3380CC4-5D6E-409C-BE32-E72D297353CC}">
              <c16:uniqueId val="{00000004-B1DE-4958-AAB9-CD6BBFA760D3}"/>
            </c:ext>
          </c:extLst>
        </c:ser>
        <c:ser>
          <c:idx val="5"/>
          <c:order val="5"/>
          <c:tx>
            <c:strRef>
              <c:f>'[250915_TrustTrajectories_DW.xlsx]Sheet1'!$K$66</c:f>
              <c:strCache>
                <c:ptCount val="1"/>
                <c:pt idx="0">
                  <c:v>Waste</c:v>
                </c:pt>
              </c:strCache>
            </c:strRef>
          </c:tx>
          <c:spPr>
            <a:solidFill>
              <a:schemeClr val="tx1">
                <a:lumMod val="65000"/>
                <a:lumOff val="35000"/>
              </a:schemeClr>
            </a:solidFill>
            <a:ln>
              <a:solidFill>
                <a:schemeClr val="tx1"/>
              </a:solidFill>
            </a:ln>
            <a:effectLst/>
          </c:spPr>
          <c:invertIfNegative val="0"/>
          <c:cat>
            <c:strRef>
              <c:f>'[250915_TrustTrajectories_DW.xlsx]Sheet1'!$B$77:$B$86</c:f>
              <c:strCache>
                <c:ptCount val="10"/>
                <c:pt idx="0">
                  <c:v>2019/20</c:v>
                </c:pt>
                <c:pt idx="1">
                  <c:v>2020/21</c:v>
                </c:pt>
                <c:pt idx="2">
                  <c:v>2021/22</c:v>
                </c:pt>
                <c:pt idx="3">
                  <c:v>2022/23</c:v>
                </c:pt>
                <c:pt idx="4">
                  <c:v>2023/24</c:v>
                </c:pt>
                <c:pt idx="5">
                  <c:v>2024/25</c:v>
                </c:pt>
                <c:pt idx="6">
                  <c:v>2025/26</c:v>
                </c:pt>
                <c:pt idx="7">
                  <c:v>2026/27</c:v>
                </c:pt>
                <c:pt idx="8">
                  <c:v>2027/28</c:v>
                </c:pt>
                <c:pt idx="9">
                  <c:v>2028/29</c:v>
                </c:pt>
              </c:strCache>
            </c:strRef>
          </c:cat>
          <c:val>
            <c:numRef>
              <c:f>'[250915_TrustTrajectories_DW.xlsx]Sheet1'!$K$77:$K$86</c:f>
              <c:numCache>
                <c:formatCode>_(* #,##0.00_);_(* \(#,##0.00\);_(* "-"??_);_(@_)</c:formatCode>
                <c:ptCount val="10"/>
                <c:pt idx="0">
                  <c:v>984</c:v>
                </c:pt>
                <c:pt idx="1">
                  <c:v>1192.5</c:v>
                </c:pt>
                <c:pt idx="2">
                  <c:v>1142.0999999999999</c:v>
                </c:pt>
                <c:pt idx="3">
                  <c:v>1175.3999999999999</c:v>
                </c:pt>
                <c:pt idx="4">
                  <c:v>1742.3</c:v>
                </c:pt>
                <c:pt idx="5">
                  <c:v>1211.56820606</c:v>
                </c:pt>
              </c:numCache>
            </c:numRef>
          </c:val>
          <c:extLst>
            <c:ext xmlns:c16="http://schemas.microsoft.com/office/drawing/2014/chart" uri="{C3380CC4-5D6E-409C-BE32-E72D297353CC}">
              <c16:uniqueId val="{00000005-B1DE-4958-AAB9-CD6BBFA760D3}"/>
            </c:ext>
          </c:extLst>
        </c:ser>
        <c:ser>
          <c:idx val="3"/>
          <c:order val="6"/>
          <c:tx>
            <c:strRef>
              <c:f>'[250915_TrustTrajectories_DW.xlsx]Sheet1'!$H$66</c:f>
              <c:strCache>
                <c:ptCount val="1"/>
                <c:pt idx="0">
                  <c:v>Grey Fleet</c:v>
                </c:pt>
              </c:strCache>
            </c:strRef>
          </c:tx>
          <c:spPr>
            <a:solidFill>
              <a:schemeClr val="accent4"/>
            </a:solidFill>
            <a:ln>
              <a:solidFill>
                <a:schemeClr val="tx1"/>
              </a:solidFill>
            </a:ln>
            <a:effectLst/>
          </c:spPr>
          <c:invertIfNegative val="0"/>
          <c:cat>
            <c:strRef>
              <c:f>'[250915_TrustTrajectories_DW.xlsx]Sheet1'!$B$77:$B$86</c:f>
              <c:strCache>
                <c:ptCount val="10"/>
                <c:pt idx="0">
                  <c:v>2019/20</c:v>
                </c:pt>
                <c:pt idx="1">
                  <c:v>2020/21</c:v>
                </c:pt>
                <c:pt idx="2">
                  <c:v>2021/22</c:v>
                </c:pt>
                <c:pt idx="3">
                  <c:v>2022/23</c:v>
                </c:pt>
                <c:pt idx="4">
                  <c:v>2023/24</c:v>
                </c:pt>
                <c:pt idx="5">
                  <c:v>2024/25</c:v>
                </c:pt>
                <c:pt idx="6">
                  <c:v>2025/26</c:v>
                </c:pt>
                <c:pt idx="7">
                  <c:v>2026/27</c:v>
                </c:pt>
                <c:pt idx="8">
                  <c:v>2027/28</c:v>
                </c:pt>
                <c:pt idx="9">
                  <c:v>2028/29</c:v>
                </c:pt>
              </c:strCache>
            </c:strRef>
          </c:cat>
          <c:val>
            <c:numRef>
              <c:f>'[250915_TrustTrajectories_DW.xlsx]Sheet1'!$H$77:$H$86</c:f>
              <c:numCache>
                <c:formatCode>_(* #,##0.00_);_(* \(#,##0.00\);_(* "-"??_);_(@_)</c:formatCode>
                <c:ptCount val="10"/>
                <c:pt idx="0">
                  <c:v>628.9</c:v>
                </c:pt>
                <c:pt idx="1">
                  <c:v>425.9</c:v>
                </c:pt>
                <c:pt idx="2">
                  <c:v>494.2</c:v>
                </c:pt>
                <c:pt idx="3">
                  <c:v>541.5</c:v>
                </c:pt>
                <c:pt idx="4">
                  <c:v>496.5</c:v>
                </c:pt>
                <c:pt idx="5">
                  <c:v>700.03</c:v>
                </c:pt>
              </c:numCache>
            </c:numRef>
          </c:val>
          <c:extLst>
            <c:ext xmlns:c16="http://schemas.microsoft.com/office/drawing/2014/chart" uri="{C3380CC4-5D6E-409C-BE32-E72D297353CC}">
              <c16:uniqueId val="{00000006-B1DE-4958-AAB9-CD6BBFA760D3}"/>
            </c:ext>
          </c:extLst>
        </c:ser>
        <c:ser>
          <c:idx val="7"/>
          <c:order val="7"/>
          <c:tx>
            <c:strRef>
              <c:f>'[250915_TrustTrajectories_DW.xlsx]Sheet1'!$G$66</c:f>
              <c:strCache>
                <c:ptCount val="1"/>
                <c:pt idx="0">
                  <c:v>Business Fleet</c:v>
                </c:pt>
              </c:strCache>
            </c:strRef>
          </c:tx>
          <c:spPr>
            <a:solidFill>
              <a:schemeClr val="accent2">
                <a:lumMod val="60000"/>
              </a:schemeClr>
            </a:solidFill>
            <a:ln>
              <a:solidFill>
                <a:schemeClr val="tx1"/>
              </a:solidFill>
            </a:ln>
            <a:effectLst/>
          </c:spPr>
          <c:invertIfNegative val="0"/>
          <c:val>
            <c:numRef>
              <c:f>'[250915_TrustTrajectories_DW.xlsx]Sheet1'!$G$77:$G$82</c:f>
              <c:numCache>
                <c:formatCode>_(* #,##0.00_);_(* \(#,##0.00\);_(* "-"??_);_(@_)</c:formatCode>
                <c:ptCount val="6"/>
                <c:pt idx="0">
                  <c:v>434.45</c:v>
                </c:pt>
                <c:pt idx="1">
                  <c:v>464.61</c:v>
                </c:pt>
                <c:pt idx="2">
                  <c:v>438.71</c:v>
                </c:pt>
                <c:pt idx="3">
                  <c:v>404.12</c:v>
                </c:pt>
                <c:pt idx="4">
                  <c:v>426.11</c:v>
                </c:pt>
                <c:pt idx="5">
                  <c:v>399.35979299999968</c:v>
                </c:pt>
              </c:numCache>
            </c:numRef>
          </c:val>
          <c:extLst>
            <c:ext xmlns:c16="http://schemas.microsoft.com/office/drawing/2014/chart" uri="{C3380CC4-5D6E-409C-BE32-E72D297353CC}">
              <c16:uniqueId val="{00000007-B1DE-4958-AAB9-CD6BBFA760D3}"/>
            </c:ext>
          </c:extLst>
        </c:ser>
        <c:ser>
          <c:idx val="2"/>
          <c:order val="8"/>
          <c:tx>
            <c:strRef>
              <c:f>'[250915_TrustTrajectories_DW.xlsx]Sheet1'!$E$66</c:f>
              <c:strCache>
                <c:ptCount val="1"/>
                <c:pt idx="0">
                  <c:v>Water</c:v>
                </c:pt>
              </c:strCache>
            </c:strRef>
          </c:tx>
          <c:spPr>
            <a:solidFill>
              <a:schemeClr val="accent1"/>
            </a:solidFill>
            <a:ln>
              <a:solidFill>
                <a:schemeClr val="tx1"/>
              </a:solidFill>
            </a:ln>
            <a:effectLst/>
          </c:spPr>
          <c:invertIfNegative val="0"/>
          <c:cat>
            <c:strRef>
              <c:f>'[250915_TrustTrajectories_DW.xlsx]Sheet1'!$B$77:$B$86</c:f>
              <c:strCache>
                <c:ptCount val="10"/>
                <c:pt idx="0">
                  <c:v>2019/20</c:v>
                </c:pt>
                <c:pt idx="1">
                  <c:v>2020/21</c:v>
                </c:pt>
                <c:pt idx="2">
                  <c:v>2021/22</c:v>
                </c:pt>
                <c:pt idx="3">
                  <c:v>2022/23</c:v>
                </c:pt>
                <c:pt idx="4">
                  <c:v>2023/24</c:v>
                </c:pt>
                <c:pt idx="5">
                  <c:v>2024/25</c:v>
                </c:pt>
                <c:pt idx="6">
                  <c:v>2025/26</c:v>
                </c:pt>
                <c:pt idx="7">
                  <c:v>2026/27</c:v>
                </c:pt>
                <c:pt idx="8">
                  <c:v>2027/28</c:v>
                </c:pt>
                <c:pt idx="9">
                  <c:v>2028/29</c:v>
                </c:pt>
              </c:strCache>
            </c:strRef>
          </c:cat>
          <c:val>
            <c:numRef>
              <c:f>'[250915_TrustTrajectories_DW.xlsx]Sheet1'!$E$77:$E$86</c:f>
              <c:numCache>
                <c:formatCode>_(* #,##0.00_);_(* \(#,##0.00\);_(* "-"??_);_(@_)</c:formatCode>
                <c:ptCount val="10"/>
                <c:pt idx="0">
                  <c:v>376</c:v>
                </c:pt>
                <c:pt idx="1">
                  <c:v>376.1</c:v>
                </c:pt>
                <c:pt idx="2">
                  <c:v>138.60000000000002</c:v>
                </c:pt>
                <c:pt idx="3">
                  <c:v>150.69999999999999</c:v>
                </c:pt>
                <c:pt idx="4">
                  <c:v>121.19999999999999</c:v>
                </c:pt>
                <c:pt idx="5">
                  <c:v>106.37049210111999</c:v>
                </c:pt>
              </c:numCache>
            </c:numRef>
          </c:val>
          <c:extLst>
            <c:ext xmlns:c16="http://schemas.microsoft.com/office/drawing/2014/chart" uri="{C3380CC4-5D6E-409C-BE32-E72D297353CC}">
              <c16:uniqueId val="{00000008-B1DE-4958-AAB9-CD6BBFA760D3}"/>
            </c:ext>
          </c:extLst>
        </c:ser>
        <c:dLbls>
          <c:showLegendKey val="0"/>
          <c:showVal val="0"/>
          <c:showCatName val="0"/>
          <c:showSerName val="0"/>
          <c:showPercent val="0"/>
          <c:showBubbleSize val="0"/>
        </c:dLbls>
        <c:gapWidth val="150"/>
        <c:overlap val="100"/>
        <c:axId val="756412384"/>
        <c:axId val="756412712"/>
      </c:barChart>
      <c:lineChart>
        <c:grouping val="standard"/>
        <c:varyColors val="0"/>
        <c:ser>
          <c:idx val="6"/>
          <c:order val="9"/>
          <c:tx>
            <c:strRef>
              <c:f>'[250915_TrustTrajectories_DW.xlsx]Sheet1'!$N$66</c:f>
              <c:strCache>
                <c:ptCount val="1"/>
                <c:pt idx="0">
                  <c:v>Target</c:v>
                </c:pt>
              </c:strCache>
            </c:strRef>
          </c:tx>
          <c:spPr>
            <a:ln w="22225" cap="rnd">
              <a:solidFill>
                <a:sysClr val="windowText" lastClr="000000"/>
              </a:solidFill>
              <a:prstDash val="sysDash"/>
              <a:round/>
            </a:ln>
            <a:effectLst/>
          </c:spPr>
          <c:marker>
            <c:symbol val="none"/>
          </c:marker>
          <c:cat>
            <c:strRef>
              <c:f>'[250915_TrustTrajectories_DW.xlsx]Sheet1'!$B$77:$B$86</c:f>
              <c:strCache>
                <c:ptCount val="10"/>
                <c:pt idx="0">
                  <c:v>2019/20</c:v>
                </c:pt>
                <c:pt idx="1">
                  <c:v>2020/21</c:v>
                </c:pt>
                <c:pt idx="2">
                  <c:v>2021/22</c:v>
                </c:pt>
                <c:pt idx="3">
                  <c:v>2022/23</c:v>
                </c:pt>
                <c:pt idx="4">
                  <c:v>2023/24</c:v>
                </c:pt>
                <c:pt idx="5">
                  <c:v>2024/25</c:v>
                </c:pt>
                <c:pt idx="6">
                  <c:v>2025/26</c:v>
                </c:pt>
                <c:pt idx="7">
                  <c:v>2026/27</c:v>
                </c:pt>
                <c:pt idx="8">
                  <c:v>2027/28</c:v>
                </c:pt>
                <c:pt idx="9">
                  <c:v>2028/29</c:v>
                </c:pt>
              </c:strCache>
            </c:strRef>
          </c:cat>
          <c:val>
            <c:numRef>
              <c:f>'[250915_TrustTrajectories_DW.xlsx]Sheet1'!$N$77:$N$86</c:f>
              <c:numCache>
                <c:formatCode>_(* #,##0.00_);_(* \(#,##0.00\);_(* "-"??_);_(@_)</c:formatCode>
                <c:ptCount val="10"/>
                <c:pt idx="0">
                  <c:v>28454.811405241322</c:v>
                </c:pt>
                <c:pt idx="1">
                  <c:v>27099.821740935138</c:v>
                </c:pt>
                <c:pt idx="2">
                  <c:v>25744.832076628951</c:v>
                </c:pt>
                <c:pt idx="3">
                  <c:v>24389.842412322767</c:v>
                </c:pt>
                <c:pt idx="4">
                  <c:v>23034.852748016579</c:v>
                </c:pt>
                <c:pt idx="5">
                  <c:v>21679.863083710396</c:v>
                </c:pt>
                <c:pt idx="6">
                  <c:v>20324.873419404208</c:v>
                </c:pt>
                <c:pt idx="7">
                  <c:v>18969.883755098024</c:v>
                </c:pt>
                <c:pt idx="8">
                  <c:v>17614.894090791837</c:v>
                </c:pt>
                <c:pt idx="9">
                  <c:v>16259.904426485651</c:v>
                </c:pt>
              </c:numCache>
            </c:numRef>
          </c:val>
          <c:smooth val="0"/>
          <c:extLst>
            <c:ext xmlns:c16="http://schemas.microsoft.com/office/drawing/2014/chart" uri="{C3380CC4-5D6E-409C-BE32-E72D297353CC}">
              <c16:uniqueId val="{00000009-B1DE-4958-AAB9-CD6BBFA760D3}"/>
            </c:ext>
          </c:extLst>
        </c:ser>
        <c:dLbls>
          <c:showLegendKey val="0"/>
          <c:showVal val="0"/>
          <c:showCatName val="0"/>
          <c:showSerName val="0"/>
          <c:showPercent val="0"/>
          <c:showBubbleSize val="0"/>
        </c:dLbls>
        <c:marker val="1"/>
        <c:smooth val="0"/>
        <c:axId val="756412384"/>
        <c:axId val="756412712"/>
      </c:lineChart>
      <c:catAx>
        <c:axId val="75641238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en-GB" sz="1200"/>
                  <a:t>Financial 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56412712"/>
        <c:crosses val="autoZero"/>
        <c:auto val="1"/>
        <c:lblAlgn val="ctr"/>
        <c:lblOffset val="100"/>
        <c:noMultiLvlLbl val="0"/>
      </c:catAx>
      <c:valAx>
        <c:axId val="7564127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en-GB" sz="1200"/>
                  <a:t>Trust Group estimated emissions (tCO2e)</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56412384"/>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1.6491291125724165E-3"/>
          <c:y val="0.76648257509477979"/>
          <c:w val="0.99670174177485515"/>
          <c:h val="0.2196285360163312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Sheet1!$BL$72:$BM$72</c:f>
              <c:strCache>
                <c:ptCount val="2"/>
                <c:pt idx="0">
                  <c:v>East Kent Hospitals University NHS Foundation Trust</c:v>
                </c:pt>
                <c:pt idx="1">
                  <c:v>2024/25</c:v>
                </c:pt>
              </c:strCache>
            </c:strRef>
          </c:tx>
          <c:dPt>
            <c:idx val="0"/>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1-40D5-4592-91E2-9BD5E6DA87B5}"/>
              </c:ext>
            </c:extLst>
          </c:dPt>
          <c:dPt>
            <c:idx val="1"/>
            <c:bubble3D val="0"/>
            <c:spPr>
              <a:solidFill>
                <a:schemeClr val="accent6"/>
              </a:solidFill>
              <a:ln w="19050">
                <a:solidFill>
                  <a:schemeClr val="lt1"/>
                </a:solidFill>
              </a:ln>
              <a:effectLst/>
            </c:spPr>
            <c:extLst>
              <c:ext xmlns:c16="http://schemas.microsoft.com/office/drawing/2014/chart" uri="{C3380CC4-5D6E-409C-BE32-E72D297353CC}">
                <c16:uniqueId val="{00000003-40D5-4592-91E2-9BD5E6DA87B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0D5-4592-91E2-9BD5E6DA87B5}"/>
              </c:ext>
            </c:extLst>
          </c:dPt>
          <c:dPt>
            <c:idx val="3"/>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7-40D5-4592-91E2-9BD5E6DA87B5}"/>
              </c:ext>
            </c:extLst>
          </c:dPt>
          <c:dPt>
            <c:idx val="4"/>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9-40D5-4592-91E2-9BD5E6DA87B5}"/>
              </c:ext>
            </c:extLst>
          </c:dPt>
          <c:dPt>
            <c:idx val="5"/>
            <c:bubble3D val="0"/>
            <c:spPr>
              <a:solidFill>
                <a:schemeClr val="accent4"/>
              </a:solidFill>
              <a:ln w="19050">
                <a:solidFill>
                  <a:schemeClr val="lt1"/>
                </a:solidFill>
              </a:ln>
              <a:effectLst/>
            </c:spPr>
            <c:extLst>
              <c:ext xmlns:c16="http://schemas.microsoft.com/office/drawing/2014/chart" uri="{C3380CC4-5D6E-409C-BE32-E72D297353CC}">
                <c16:uniqueId val="{0000000B-40D5-4592-91E2-9BD5E6DA87B5}"/>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40D5-4592-91E2-9BD5E6DA87B5}"/>
              </c:ext>
            </c:extLst>
          </c:dPt>
          <c:dPt>
            <c:idx val="7"/>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F-40D5-4592-91E2-9BD5E6DA87B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0D5-4592-91E2-9BD5E6DA87B5}"/>
              </c:ext>
            </c:extLst>
          </c:dPt>
          <c:dPt>
            <c:idx val="9"/>
            <c:bubble3D val="0"/>
            <c:spPr>
              <a:solidFill>
                <a:srgbClr val="92D050"/>
              </a:solidFill>
              <a:ln w="19050">
                <a:solidFill>
                  <a:schemeClr val="lt1"/>
                </a:solidFill>
              </a:ln>
              <a:effectLst/>
            </c:spPr>
            <c:extLst>
              <c:ext xmlns:c16="http://schemas.microsoft.com/office/drawing/2014/chart" uri="{C3380CC4-5D6E-409C-BE32-E72D297353CC}">
                <c16:uniqueId val="{00000013-40D5-4592-91E2-9BD5E6DA87B5}"/>
              </c:ext>
            </c:extLst>
          </c:dPt>
          <c:dPt>
            <c:idx val="10"/>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15-40D5-4592-91E2-9BD5E6DA87B5}"/>
              </c:ext>
            </c:extLst>
          </c:dPt>
          <c:dLbls>
            <c:dLbl>
              <c:idx val="0"/>
              <c:layout>
                <c:manualLayout>
                  <c:x val="-0.14735122158035144"/>
                  <c:y val="9.4200618176357317E-2"/>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6794806255245129"/>
                      <c:h val="0.19600606072831844"/>
                    </c:manualLayout>
                  </c15:layout>
                </c:ext>
                <c:ext xmlns:c16="http://schemas.microsoft.com/office/drawing/2014/chart" uri="{C3380CC4-5D6E-409C-BE32-E72D297353CC}">
                  <c16:uniqueId val="{00000001-40D5-4592-91E2-9BD5E6DA87B5}"/>
                </c:ext>
              </c:extLst>
            </c:dLbl>
            <c:dLbl>
              <c:idx val="1"/>
              <c:layout>
                <c:manualLayout>
                  <c:x val="-0.15451111487199709"/>
                  <c:y val="-9.5149624230361468E-2"/>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0D5-4592-91E2-9BD5E6DA87B5}"/>
                </c:ext>
              </c:extLst>
            </c:dLbl>
            <c:dLbl>
              <c:idx val="2"/>
              <c:layout>
                <c:manualLayout>
                  <c:x val="-4.2649493763423682E-2"/>
                  <c:y val="-0.13462437605205413"/>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0D5-4592-91E2-9BD5E6DA87B5}"/>
                </c:ext>
              </c:extLst>
            </c:dLbl>
            <c:dLbl>
              <c:idx val="3"/>
              <c:layout>
                <c:manualLayout>
                  <c:x val="2.307376241165052E-2"/>
                  <c:y val="-0.14765337296117234"/>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5385073043578393"/>
                      <c:h val="0.12643051343603398"/>
                    </c:manualLayout>
                  </c15:layout>
                </c:ext>
                <c:ext xmlns:c16="http://schemas.microsoft.com/office/drawing/2014/chart" uri="{C3380CC4-5D6E-409C-BE32-E72D297353CC}">
                  <c16:uniqueId val="{00000007-40D5-4592-91E2-9BD5E6DA87B5}"/>
                </c:ext>
              </c:extLst>
            </c:dLbl>
            <c:dLbl>
              <c:idx val="4"/>
              <c:layout>
                <c:manualLayout>
                  <c:x val="1.2239183042514102E-2"/>
                  <c:y val="-8.7027710349186715E-2"/>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0D5-4592-91E2-9BD5E6DA87B5}"/>
                </c:ext>
              </c:extLst>
            </c:dLbl>
            <c:dLbl>
              <c:idx val="5"/>
              <c:layout>
                <c:manualLayout>
                  <c:x val="4.5826318020905484E-2"/>
                  <c:y val="-1.2538131708771298E-2"/>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0D5-4592-91E2-9BD5E6DA87B5}"/>
                </c:ext>
              </c:extLst>
            </c:dLbl>
            <c:dLbl>
              <c:idx val="6"/>
              <c:layout>
                <c:manualLayout>
                  <c:x val="0"/>
                  <c:y val="2.0920495527299052E-2"/>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0D5-4592-91E2-9BD5E6DA87B5}"/>
                </c:ext>
              </c:extLst>
            </c:dLbl>
            <c:dLbl>
              <c:idx val="7"/>
              <c:layout>
                <c:manualLayout>
                  <c:x val="9.9711943274983384E-3"/>
                  <c:y val="0.12801809252921093"/>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6178825475311043"/>
                      <c:h val="0.22036731958462491"/>
                    </c:manualLayout>
                  </c15:layout>
                </c:ext>
                <c:ext xmlns:c16="http://schemas.microsoft.com/office/drawing/2014/chart" uri="{C3380CC4-5D6E-409C-BE32-E72D297353CC}">
                  <c16:uniqueId val="{0000000F-40D5-4592-91E2-9BD5E6DA87B5}"/>
                </c:ext>
              </c:extLst>
            </c:dLbl>
            <c:dLbl>
              <c:idx val="8"/>
              <c:layout>
                <c:manualLayout>
                  <c:x val="4.2353760178382313E-2"/>
                  <c:y val="0.29452539611028555"/>
                </c:manualLayout>
              </c:layout>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0D5-4592-91E2-9BD5E6DA87B5}"/>
                </c:ext>
              </c:extLst>
            </c:dLbl>
            <c:dLbl>
              <c:idx val="9"/>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6="http://schemas.microsoft.com/office/drawing/2014/chart" uri="{C3380CC4-5D6E-409C-BE32-E72D297353CC}">
                  <c16:uniqueId val="{00000013-40D5-4592-91E2-9BD5E6DA87B5}"/>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Sheet1!$BN$71:$BX$71</c:f>
              <c:strCache>
                <c:ptCount val="10"/>
                <c:pt idx="0">
                  <c:v>Natural Gas</c:v>
                </c:pt>
                <c:pt idx="1">
                  <c:v>Electricity</c:v>
                </c:pt>
                <c:pt idx="2">
                  <c:v>Water</c:v>
                </c:pt>
                <c:pt idx="3">
                  <c:v>Purchased Steam</c:v>
                </c:pt>
                <c:pt idx="4">
                  <c:v>Business Fleet</c:v>
                </c:pt>
                <c:pt idx="5">
                  <c:v>Grey Fleet</c:v>
                </c:pt>
                <c:pt idx="6">
                  <c:v>Medical Gases</c:v>
                </c:pt>
                <c:pt idx="7">
                  <c:v>Metered Dose Inhalers (MDIs)</c:v>
                </c:pt>
                <c:pt idx="8">
                  <c:v>Waste</c:v>
                </c:pt>
                <c:pt idx="9">
                  <c:v>Supply Chain</c:v>
                </c:pt>
              </c:strCache>
            </c:strRef>
          </c:cat>
          <c:val>
            <c:numRef>
              <c:f>Sheet1!$BN$72:$BX$72</c:f>
              <c:numCache>
                <c:formatCode>_-* #,##0.0_-;\-* #,##0.0_-;_-* "-"??_-;_-@_-</c:formatCode>
                <c:ptCount val="11"/>
                <c:pt idx="0">
                  <c:v>12385.323558672068</c:v>
                </c:pt>
                <c:pt idx="1">
                  <c:v>4986.2850972059323</c:v>
                </c:pt>
                <c:pt idx="2">
                  <c:v>106.37049210111999</c:v>
                </c:pt>
                <c:pt idx="3">
                  <c:v>4703.2498125000002</c:v>
                </c:pt>
                <c:pt idx="4">
                  <c:v>399.35979299999968</c:v>
                </c:pt>
                <c:pt idx="5">
                  <c:v>700.03</c:v>
                </c:pt>
                <c:pt idx="6">
                  <c:v>3686.55375</c:v>
                </c:pt>
                <c:pt idx="7">
                  <c:v>1451.1005</c:v>
                </c:pt>
                <c:pt idx="8">
                  <c:v>1211.56820606</c:v>
                </c:pt>
                <c:pt idx="9">
                  <c:v>96602.984142433677</c:v>
                </c:pt>
              </c:numCache>
            </c:numRef>
          </c:val>
          <c:extLst>
            <c:ext xmlns:c16="http://schemas.microsoft.com/office/drawing/2014/chart" uri="{C3380CC4-5D6E-409C-BE32-E72D297353CC}">
              <c16:uniqueId val="{00000016-40D5-4592-91E2-9BD5E6DA87B5}"/>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CBE0F-E127-460D-B713-6855696D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4503</Words>
  <Characters>28770</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EKHUFT Green Plan 2025/26-2026/28</vt:lpstr>
    </vt:vector>
  </TitlesOfParts>
  <Company>EKHUFT</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EKHUFT Green Plan 2025/26-2026/28</dc:title>
  <dc:subject/>
  <dc:creator>Communications</dc:creator>
  <cp:keywords>Sustainability, Green Plan, NHS</cp:keywords>
  <dc:description/>
  <cp:lastModifiedBy>Fiona Paterson</cp:lastModifiedBy>
  <cp:revision>2</cp:revision>
  <cp:lastPrinted>2026-01-27T22:59:00Z</cp:lastPrinted>
  <dcterms:created xsi:type="dcterms:W3CDTF">2026-02-03T15:12:00Z</dcterms:created>
  <dcterms:modified xsi:type="dcterms:W3CDTF">2026-02-03T15:12:00Z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14051d88-39ca-4e81-90df-3eb8d09f619e</vt:lpwstr>
  </property>
</Properties>
</file>