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9BAE4" w14:textId="77777777" w:rsidR="00ED30E6" w:rsidRDefault="00ED30E6" w:rsidP="003E233A">
      <w:pPr>
        <w:spacing w:after="120" w:line="240" w:lineRule="auto"/>
        <w:jc w:val="right"/>
        <w:rPr>
          <w:rFonts w:cs="Arial"/>
          <w:b/>
          <w:noProof/>
        </w:rPr>
      </w:pPr>
    </w:p>
    <w:p w14:paraId="037698EB" w14:textId="78B19880" w:rsidR="00BF778A" w:rsidRPr="00F57973" w:rsidRDefault="00BF778A" w:rsidP="003E233A">
      <w:pPr>
        <w:spacing w:after="120" w:line="240" w:lineRule="auto"/>
        <w:jc w:val="right"/>
        <w:rPr>
          <w:rFonts w:cs="Arial"/>
          <w:bCs/>
          <w:color w:val="005EB8"/>
          <w:sz w:val="56"/>
          <w:szCs w:val="56"/>
        </w:rPr>
      </w:pPr>
    </w:p>
    <w:p w14:paraId="599454F1" w14:textId="77777777" w:rsidR="003E233A" w:rsidRDefault="003E233A" w:rsidP="00D65738">
      <w:pPr>
        <w:spacing w:after="120" w:line="240" w:lineRule="auto"/>
        <w:jc w:val="center"/>
        <w:rPr>
          <w:rFonts w:cs="Arial"/>
          <w:b/>
          <w:bCs/>
          <w:color w:val="005EB8"/>
          <w:sz w:val="56"/>
          <w:szCs w:val="56"/>
        </w:rPr>
      </w:pPr>
    </w:p>
    <w:p w14:paraId="4AA4ACF1" w14:textId="003703AB" w:rsidR="00012145" w:rsidRPr="00F57973" w:rsidRDefault="007F1FAA" w:rsidP="00D65738">
      <w:pPr>
        <w:spacing w:after="120" w:line="240" w:lineRule="auto"/>
        <w:jc w:val="center"/>
        <w:rPr>
          <w:rFonts w:cs="Arial"/>
          <w:b/>
          <w:bCs/>
          <w:color w:val="005EB8"/>
          <w:sz w:val="56"/>
          <w:szCs w:val="56"/>
        </w:rPr>
      </w:pPr>
      <w:r w:rsidRPr="00F57973">
        <w:rPr>
          <w:rFonts w:cs="Arial"/>
          <w:b/>
          <w:bCs/>
          <w:color w:val="005EB8"/>
          <w:sz w:val="56"/>
          <w:szCs w:val="56"/>
        </w:rPr>
        <w:t xml:space="preserve">Patient </w:t>
      </w:r>
      <w:r w:rsidR="00012145" w:rsidRPr="00F57973">
        <w:rPr>
          <w:rFonts w:cs="Arial"/>
          <w:b/>
          <w:bCs/>
          <w:color w:val="005EB8"/>
          <w:sz w:val="56"/>
          <w:szCs w:val="56"/>
        </w:rPr>
        <w:t>S</w:t>
      </w:r>
      <w:r w:rsidR="00F17175" w:rsidRPr="00F57973">
        <w:rPr>
          <w:rFonts w:cs="Arial"/>
          <w:b/>
          <w:bCs/>
          <w:color w:val="005EB8"/>
          <w:sz w:val="56"/>
          <w:szCs w:val="56"/>
        </w:rPr>
        <w:t xml:space="preserve">afety </w:t>
      </w:r>
      <w:r w:rsidR="00012145" w:rsidRPr="00F57973">
        <w:rPr>
          <w:rFonts w:cs="Arial"/>
          <w:b/>
          <w:bCs/>
          <w:color w:val="005EB8"/>
          <w:sz w:val="56"/>
          <w:szCs w:val="56"/>
        </w:rPr>
        <w:t>I</w:t>
      </w:r>
      <w:r w:rsidR="00F17175" w:rsidRPr="00F57973">
        <w:rPr>
          <w:rFonts w:cs="Arial"/>
          <w:b/>
          <w:bCs/>
          <w:color w:val="005EB8"/>
          <w:sz w:val="56"/>
          <w:szCs w:val="56"/>
        </w:rPr>
        <w:t>ncident</w:t>
      </w:r>
    </w:p>
    <w:p w14:paraId="344B5D40" w14:textId="232659E0" w:rsidR="000F265D" w:rsidRPr="00F57973" w:rsidRDefault="00012145" w:rsidP="00D65738">
      <w:pPr>
        <w:spacing w:after="120" w:line="240" w:lineRule="auto"/>
        <w:jc w:val="center"/>
        <w:rPr>
          <w:rFonts w:cs="Arial"/>
          <w:b/>
          <w:bCs/>
          <w:color w:val="005EB8"/>
          <w:sz w:val="56"/>
          <w:szCs w:val="56"/>
        </w:rPr>
      </w:pPr>
      <w:r w:rsidRPr="00F57973">
        <w:rPr>
          <w:rFonts w:cs="Arial"/>
          <w:b/>
          <w:bCs/>
          <w:color w:val="005EB8"/>
          <w:sz w:val="56"/>
          <w:szCs w:val="56"/>
        </w:rPr>
        <w:t>R</w:t>
      </w:r>
      <w:r w:rsidR="000E31F1" w:rsidRPr="00F57973">
        <w:rPr>
          <w:rFonts w:cs="Arial"/>
          <w:b/>
          <w:bCs/>
          <w:color w:val="005EB8"/>
          <w:sz w:val="56"/>
          <w:szCs w:val="56"/>
        </w:rPr>
        <w:t xml:space="preserve">esponse </w:t>
      </w:r>
      <w:r w:rsidRPr="00F57973">
        <w:rPr>
          <w:rFonts w:cs="Arial"/>
          <w:b/>
          <w:bCs/>
          <w:color w:val="005EB8"/>
          <w:sz w:val="56"/>
          <w:szCs w:val="56"/>
        </w:rPr>
        <w:t>P</w:t>
      </w:r>
      <w:r w:rsidR="000F265D" w:rsidRPr="00F57973">
        <w:rPr>
          <w:rFonts w:cs="Arial"/>
          <w:b/>
          <w:bCs/>
          <w:color w:val="005EB8"/>
          <w:sz w:val="56"/>
          <w:szCs w:val="56"/>
        </w:rPr>
        <w:t>lan</w:t>
      </w:r>
    </w:p>
    <w:p w14:paraId="023EF23E" w14:textId="37736213" w:rsidR="00012145" w:rsidRPr="00F57973" w:rsidRDefault="00012145" w:rsidP="00D65738">
      <w:pPr>
        <w:spacing w:after="120" w:line="240" w:lineRule="auto"/>
        <w:jc w:val="center"/>
        <w:rPr>
          <w:rFonts w:cs="Arial"/>
          <w:bCs/>
          <w:color w:val="005EB8"/>
          <w:sz w:val="56"/>
          <w:szCs w:val="56"/>
        </w:rPr>
      </w:pPr>
      <w:r w:rsidRPr="00F57973">
        <w:rPr>
          <w:rFonts w:cs="Arial"/>
          <w:b/>
          <w:bCs/>
          <w:color w:val="005EB8"/>
          <w:sz w:val="56"/>
          <w:szCs w:val="56"/>
        </w:rPr>
        <w:t>2025 - 2026</w:t>
      </w:r>
    </w:p>
    <w:p w14:paraId="0597B76D" w14:textId="13DCC5F5" w:rsidR="00012145" w:rsidRPr="00F57973" w:rsidRDefault="00012145" w:rsidP="00D65738">
      <w:pPr>
        <w:spacing w:after="120" w:line="240" w:lineRule="auto"/>
        <w:rPr>
          <w:rFonts w:cs="Arial"/>
          <w:bCs/>
          <w:sz w:val="24"/>
          <w:szCs w:val="24"/>
        </w:rPr>
      </w:pPr>
    </w:p>
    <w:p w14:paraId="44A147C8" w14:textId="77777777" w:rsidR="00BF778A" w:rsidRPr="00F57973" w:rsidRDefault="00BF778A" w:rsidP="00D65738">
      <w:pPr>
        <w:spacing w:after="120" w:line="240" w:lineRule="auto"/>
        <w:rPr>
          <w:rFonts w:cs="Arial"/>
          <w:bCs/>
          <w:sz w:val="24"/>
          <w:szCs w:val="24"/>
        </w:rPr>
      </w:pPr>
    </w:p>
    <w:p w14:paraId="456D694C" w14:textId="77D5155B" w:rsidR="00E37978" w:rsidRPr="00F57973" w:rsidRDefault="00E37978" w:rsidP="00D65738">
      <w:pPr>
        <w:spacing w:after="120" w:line="240" w:lineRule="auto"/>
        <w:rPr>
          <w:rFonts w:cs="Arial"/>
          <w:bCs/>
          <w:sz w:val="24"/>
          <w:szCs w:val="24"/>
        </w:rPr>
      </w:pPr>
      <w:r w:rsidRPr="00F57973">
        <w:rPr>
          <w:rFonts w:cs="Arial"/>
          <w:bCs/>
          <w:sz w:val="24"/>
          <w:szCs w:val="24"/>
        </w:rPr>
        <w:t>Effective date</w:t>
      </w:r>
      <w:r w:rsidR="00B9403D" w:rsidRPr="00F57973">
        <w:rPr>
          <w:rFonts w:cs="Arial"/>
          <w:bCs/>
          <w:sz w:val="24"/>
          <w:szCs w:val="24"/>
        </w:rPr>
        <w:t>:</w:t>
      </w:r>
      <w:r w:rsidR="0035335F" w:rsidRPr="00F57973">
        <w:rPr>
          <w:rFonts w:cs="Arial"/>
          <w:bCs/>
          <w:sz w:val="24"/>
          <w:szCs w:val="24"/>
        </w:rPr>
        <w:t xml:space="preserve"> </w:t>
      </w:r>
      <w:r w:rsidR="00012145" w:rsidRPr="00F57973">
        <w:rPr>
          <w:rFonts w:cs="Arial"/>
          <w:bCs/>
          <w:sz w:val="24"/>
          <w:szCs w:val="24"/>
        </w:rPr>
        <w:t>August 2025</w:t>
      </w:r>
    </w:p>
    <w:p w14:paraId="2798C9C9" w14:textId="7E62D673" w:rsidR="00B64F74" w:rsidRPr="00F57973" w:rsidRDefault="00B64F74" w:rsidP="00D65738">
      <w:pPr>
        <w:spacing w:after="120" w:line="240" w:lineRule="auto"/>
        <w:rPr>
          <w:rFonts w:cs="Arial"/>
          <w:bCs/>
          <w:sz w:val="24"/>
          <w:szCs w:val="24"/>
        </w:rPr>
      </w:pPr>
      <w:r w:rsidRPr="00F57973">
        <w:rPr>
          <w:rFonts w:cs="Arial"/>
          <w:bCs/>
          <w:sz w:val="24"/>
          <w:szCs w:val="24"/>
        </w:rPr>
        <w:t xml:space="preserve">Interim Review and Update: </w:t>
      </w:r>
      <w:r w:rsidR="00C149B9" w:rsidRPr="00F57973">
        <w:rPr>
          <w:rFonts w:cs="Arial"/>
          <w:bCs/>
          <w:sz w:val="24"/>
          <w:szCs w:val="24"/>
        </w:rPr>
        <w:t>December</w:t>
      </w:r>
      <w:r w:rsidRPr="00F57973">
        <w:rPr>
          <w:rFonts w:cs="Arial"/>
          <w:bCs/>
          <w:sz w:val="24"/>
          <w:szCs w:val="24"/>
        </w:rPr>
        <w:t xml:space="preserve"> 202</w:t>
      </w:r>
      <w:r w:rsidR="00012145" w:rsidRPr="00F57973">
        <w:rPr>
          <w:rFonts w:cs="Arial"/>
          <w:bCs/>
          <w:sz w:val="24"/>
          <w:szCs w:val="24"/>
        </w:rPr>
        <w:t>5</w:t>
      </w:r>
    </w:p>
    <w:p w14:paraId="709A3B42" w14:textId="1DE7718A" w:rsidR="000073A7" w:rsidRPr="00F57973" w:rsidRDefault="00012145" w:rsidP="00D65738">
      <w:pPr>
        <w:spacing w:after="120" w:line="240" w:lineRule="auto"/>
        <w:rPr>
          <w:rFonts w:cs="Arial"/>
          <w:bCs/>
          <w:sz w:val="24"/>
          <w:szCs w:val="24"/>
        </w:rPr>
      </w:pPr>
      <w:r w:rsidRPr="00F57973">
        <w:rPr>
          <w:rFonts w:cs="Arial"/>
          <w:bCs/>
          <w:sz w:val="24"/>
          <w:szCs w:val="24"/>
        </w:rPr>
        <w:t>Refresh date</w:t>
      </w:r>
      <w:r w:rsidR="00E37978" w:rsidRPr="00F57973">
        <w:rPr>
          <w:rFonts w:cs="Arial"/>
          <w:bCs/>
          <w:sz w:val="24"/>
          <w:szCs w:val="24"/>
        </w:rPr>
        <w:t>:</w:t>
      </w:r>
      <w:r w:rsidR="0035335F" w:rsidRPr="00F57973">
        <w:rPr>
          <w:rFonts w:cs="Arial"/>
          <w:bCs/>
          <w:sz w:val="24"/>
          <w:szCs w:val="24"/>
        </w:rPr>
        <w:t xml:space="preserve"> </w:t>
      </w:r>
      <w:r w:rsidR="007D001B">
        <w:rPr>
          <w:rFonts w:cs="Arial"/>
          <w:bCs/>
          <w:sz w:val="24"/>
          <w:szCs w:val="24"/>
        </w:rPr>
        <w:t>April</w:t>
      </w:r>
      <w:r w:rsidR="0035335F" w:rsidRPr="00F57973">
        <w:rPr>
          <w:rFonts w:cs="Arial"/>
          <w:bCs/>
          <w:sz w:val="24"/>
          <w:szCs w:val="24"/>
        </w:rPr>
        <w:t xml:space="preserve"> 2025</w:t>
      </w:r>
    </w:p>
    <w:p w14:paraId="43C8CD15" w14:textId="77777777" w:rsidR="00BF778A" w:rsidRPr="00F57973" w:rsidRDefault="00BF778A" w:rsidP="00D65738">
      <w:pPr>
        <w:spacing w:after="120" w:line="240" w:lineRule="auto"/>
        <w:rPr>
          <w:rFonts w:cs="Arial"/>
          <w:bCs/>
          <w:sz w:val="24"/>
          <w:szCs w:val="24"/>
        </w:rPr>
      </w:pPr>
    </w:p>
    <w:p w14:paraId="5C82FC2D" w14:textId="0BA80F5D" w:rsidR="00012145" w:rsidRPr="00F57973" w:rsidRDefault="00012145" w:rsidP="00D65738">
      <w:pPr>
        <w:spacing w:after="120" w:line="240" w:lineRule="auto"/>
        <w:rPr>
          <w:rFonts w:cs="Arial"/>
          <w:bCs/>
          <w:sz w:val="24"/>
          <w:szCs w:val="24"/>
        </w:rPr>
      </w:pPr>
    </w:p>
    <w:p w14:paraId="098FD023" w14:textId="77777777" w:rsidR="00BF778A" w:rsidRPr="00F57973" w:rsidRDefault="00BF778A" w:rsidP="00D65738">
      <w:pPr>
        <w:spacing w:after="120" w:line="240" w:lineRule="auto"/>
        <w:rPr>
          <w:rFonts w:cs="Arial"/>
        </w:rPr>
      </w:pPr>
      <w:r w:rsidRPr="00F57973">
        <w:rPr>
          <w:rFonts w:cs="Arial"/>
          <w:b/>
          <w:bCs/>
        </w:rPr>
        <w:br w:type="page"/>
      </w:r>
    </w:p>
    <w:sdt>
      <w:sdtPr>
        <w:rPr>
          <w:rFonts w:cs="Arial"/>
          <w:b/>
          <w:bCs/>
        </w:rPr>
        <w:id w:val="1554975032"/>
        <w:docPartObj>
          <w:docPartGallery w:val="Table of Contents"/>
          <w:docPartUnique/>
        </w:docPartObj>
      </w:sdtPr>
      <w:sdtEndPr>
        <w:rPr>
          <w:b w:val="0"/>
          <w:bCs w:val="0"/>
          <w:noProof/>
        </w:rPr>
      </w:sdtEndPr>
      <w:sdtContent>
        <w:p w14:paraId="2896029D" w14:textId="09707660" w:rsidR="000135CE" w:rsidRPr="00F57973" w:rsidRDefault="00FA021A" w:rsidP="00D65738">
          <w:pPr>
            <w:spacing w:line="240" w:lineRule="auto"/>
            <w:rPr>
              <w:rFonts w:cs="Arial"/>
              <w:b/>
              <w:color w:val="005EB8"/>
              <w:sz w:val="28"/>
              <w:szCs w:val="28"/>
              <w:lang w:val="en-US" w:eastAsia="ja-JP"/>
            </w:rPr>
          </w:pPr>
          <w:r w:rsidRPr="00F57973">
            <w:rPr>
              <w:rFonts w:cs="Arial"/>
              <w:b/>
              <w:color w:val="005EB8"/>
              <w:sz w:val="28"/>
              <w:szCs w:val="28"/>
            </w:rPr>
            <w:t>Contents</w:t>
          </w:r>
        </w:p>
        <w:p w14:paraId="25105D2D" w14:textId="559F5B65" w:rsidR="00FC48D9" w:rsidRDefault="00FA021A">
          <w:pPr>
            <w:pStyle w:val="TOC1"/>
            <w:tabs>
              <w:tab w:val="left" w:pos="440"/>
            </w:tabs>
            <w:rPr>
              <w:rFonts w:asciiTheme="minorHAnsi" w:eastAsiaTheme="minorEastAsia" w:hAnsiTheme="minorHAnsi"/>
              <w:sz w:val="22"/>
              <w:szCs w:val="22"/>
              <w:lang w:val="en-GB" w:eastAsia="en-GB"/>
            </w:rPr>
          </w:pPr>
          <w:r w:rsidRPr="00F57973">
            <w:rPr>
              <w:rFonts w:cs="Arial"/>
              <w:noProof w:val="0"/>
            </w:rPr>
            <w:fldChar w:fldCharType="begin"/>
          </w:r>
          <w:r w:rsidRPr="00F57973">
            <w:rPr>
              <w:rFonts w:cs="Arial"/>
            </w:rPr>
            <w:instrText xml:space="preserve"> TOC \o "1-3" \h \z \u </w:instrText>
          </w:r>
          <w:r w:rsidRPr="00F57973">
            <w:rPr>
              <w:rFonts w:cs="Arial"/>
              <w:noProof w:val="0"/>
            </w:rPr>
            <w:fldChar w:fldCharType="separate"/>
          </w:r>
          <w:hyperlink w:anchor="_Toc205755270" w:history="1">
            <w:r w:rsidR="00FC48D9" w:rsidRPr="005355CF">
              <w:rPr>
                <w:rStyle w:val="Hyperlink"/>
                <w:rFonts w:eastAsiaTheme="majorEastAsia"/>
              </w:rPr>
              <w:t>1.</w:t>
            </w:r>
            <w:r w:rsidR="00FC48D9">
              <w:rPr>
                <w:rFonts w:asciiTheme="minorHAnsi" w:eastAsiaTheme="minorEastAsia" w:hAnsiTheme="minorHAnsi"/>
                <w:sz w:val="22"/>
                <w:szCs w:val="22"/>
                <w:lang w:val="en-GB" w:eastAsia="en-GB"/>
              </w:rPr>
              <w:tab/>
            </w:r>
            <w:r w:rsidR="00FC48D9" w:rsidRPr="005355CF">
              <w:rPr>
                <w:rStyle w:val="Hyperlink"/>
                <w:rFonts w:eastAsiaTheme="majorEastAsia"/>
              </w:rPr>
              <w:t>Introduction</w:t>
            </w:r>
            <w:r w:rsidR="00FC48D9">
              <w:rPr>
                <w:webHidden/>
              </w:rPr>
              <w:tab/>
            </w:r>
            <w:r w:rsidR="00FC48D9">
              <w:rPr>
                <w:webHidden/>
              </w:rPr>
              <w:fldChar w:fldCharType="begin"/>
            </w:r>
            <w:r w:rsidR="00FC48D9">
              <w:rPr>
                <w:webHidden/>
              </w:rPr>
              <w:instrText xml:space="preserve"> PAGEREF _Toc205755270 \h </w:instrText>
            </w:r>
            <w:r w:rsidR="00FC48D9">
              <w:rPr>
                <w:webHidden/>
              </w:rPr>
            </w:r>
            <w:r w:rsidR="00FC48D9">
              <w:rPr>
                <w:webHidden/>
              </w:rPr>
              <w:fldChar w:fldCharType="separate"/>
            </w:r>
            <w:r w:rsidR="00762A3E">
              <w:rPr>
                <w:webHidden/>
              </w:rPr>
              <w:t>3</w:t>
            </w:r>
            <w:r w:rsidR="00FC48D9">
              <w:rPr>
                <w:webHidden/>
              </w:rPr>
              <w:fldChar w:fldCharType="end"/>
            </w:r>
          </w:hyperlink>
        </w:p>
        <w:p w14:paraId="7FD35B1D" w14:textId="633498BA" w:rsidR="00FC48D9" w:rsidRDefault="008E124B">
          <w:pPr>
            <w:pStyle w:val="TOC1"/>
            <w:tabs>
              <w:tab w:val="left" w:pos="440"/>
            </w:tabs>
            <w:rPr>
              <w:rFonts w:asciiTheme="minorHAnsi" w:eastAsiaTheme="minorEastAsia" w:hAnsiTheme="minorHAnsi"/>
              <w:sz w:val="22"/>
              <w:szCs w:val="22"/>
              <w:lang w:val="en-GB" w:eastAsia="en-GB"/>
            </w:rPr>
          </w:pPr>
          <w:hyperlink w:anchor="_Toc205755271" w:history="1">
            <w:r w:rsidR="00FC48D9" w:rsidRPr="005355CF">
              <w:rPr>
                <w:rStyle w:val="Hyperlink"/>
                <w:rFonts w:eastAsiaTheme="majorEastAsia" w:cs="Arial"/>
              </w:rPr>
              <w:t>2.</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Changes since our last Patient Safety Incident Response Plan</w:t>
            </w:r>
            <w:r w:rsidR="00FC48D9">
              <w:rPr>
                <w:webHidden/>
              </w:rPr>
              <w:tab/>
            </w:r>
            <w:r w:rsidR="00FC48D9">
              <w:rPr>
                <w:webHidden/>
              </w:rPr>
              <w:fldChar w:fldCharType="begin"/>
            </w:r>
            <w:r w:rsidR="00FC48D9">
              <w:rPr>
                <w:webHidden/>
              </w:rPr>
              <w:instrText xml:space="preserve"> PAGEREF _Toc205755271 \h </w:instrText>
            </w:r>
            <w:r w:rsidR="00FC48D9">
              <w:rPr>
                <w:webHidden/>
              </w:rPr>
            </w:r>
            <w:r w:rsidR="00FC48D9">
              <w:rPr>
                <w:webHidden/>
              </w:rPr>
              <w:fldChar w:fldCharType="separate"/>
            </w:r>
            <w:r w:rsidR="00762A3E">
              <w:rPr>
                <w:webHidden/>
              </w:rPr>
              <w:t>3</w:t>
            </w:r>
            <w:r w:rsidR="00FC48D9">
              <w:rPr>
                <w:webHidden/>
              </w:rPr>
              <w:fldChar w:fldCharType="end"/>
            </w:r>
          </w:hyperlink>
        </w:p>
        <w:p w14:paraId="6A5B6A95" w14:textId="2A3F1D00" w:rsidR="00FC48D9" w:rsidRDefault="008E124B">
          <w:pPr>
            <w:pStyle w:val="TOC1"/>
            <w:tabs>
              <w:tab w:val="left" w:pos="440"/>
            </w:tabs>
            <w:rPr>
              <w:rFonts w:asciiTheme="minorHAnsi" w:eastAsiaTheme="minorEastAsia" w:hAnsiTheme="minorHAnsi"/>
              <w:sz w:val="22"/>
              <w:szCs w:val="22"/>
              <w:lang w:val="en-GB" w:eastAsia="en-GB"/>
            </w:rPr>
          </w:pPr>
          <w:hyperlink w:anchor="_Toc205755272" w:history="1">
            <w:r w:rsidR="00FC48D9" w:rsidRPr="005355CF">
              <w:rPr>
                <w:rStyle w:val="Hyperlink"/>
                <w:rFonts w:eastAsiaTheme="majorEastAsia" w:cs="Arial"/>
              </w:rPr>
              <w:t>3.</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Our Services</w:t>
            </w:r>
            <w:r w:rsidR="00FC48D9">
              <w:rPr>
                <w:webHidden/>
              </w:rPr>
              <w:tab/>
            </w:r>
            <w:r w:rsidR="00FC48D9">
              <w:rPr>
                <w:webHidden/>
              </w:rPr>
              <w:fldChar w:fldCharType="begin"/>
            </w:r>
            <w:r w:rsidR="00FC48D9">
              <w:rPr>
                <w:webHidden/>
              </w:rPr>
              <w:instrText xml:space="preserve"> PAGEREF _Toc205755272 \h </w:instrText>
            </w:r>
            <w:r w:rsidR="00FC48D9">
              <w:rPr>
                <w:webHidden/>
              </w:rPr>
            </w:r>
            <w:r w:rsidR="00FC48D9">
              <w:rPr>
                <w:webHidden/>
              </w:rPr>
              <w:fldChar w:fldCharType="separate"/>
            </w:r>
            <w:r w:rsidR="00762A3E">
              <w:rPr>
                <w:webHidden/>
              </w:rPr>
              <w:t>4</w:t>
            </w:r>
            <w:r w:rsidR="00FC48D9">
              <w:rPr>
                <w:webHidden/>
              </w:rPr>
              <w:fldChar w:fldCharType="end"/>
            </w:r>
          </w:hyperlink>
        </w:p>
        <w:p w14:paraId="5014CA7E" w14:textId="3BF3BB93" w:rsidR="00FC48D9" w:rsidRDefault="008E124B">
          <w:pPr>
            <w:pStyle w:val="TOC1"/>
            <w:tabs>
              <w:tab w:val="left" w:pos="440"/>
            </w:tabs>
            <w:rPr>
              <w:rFonts w:asciiTheme="minorHAnsi" w:eastAsiaTheme="minorEastAsia" w:hAnsiTheme="minorHAnsi"/>
              <w:sz w:val="22"/>
              <w:szCs w:val="22"/>
              <w:lang w:val="en-GB" w:eastAsia="en-GB"/>
            </w:rPr>
          </w:pPr>
          <w:hyperlink w:anchor="_Toc205755273" w:history="1">
            <w:r w:rsidR="00FC48D9" w:rsidRPr="005355CF">
              <w:rPr>
                <w:rStyle w:val="Hyperlink"/>
                <w:rFonts w:eastAsiaTheme="majorEastAsia" w:cs="Arial"/>
              </w:rPr>
              <w:t>4.</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Our Hospitals</w:t>
            </w:r>
            <w:r w:rsidR="00FC48D9">
              <w:rPr>
                <w:webHidden/>
              </w:rPr>
              <w:tab/>
            </w:r>
            <w:r w:rsidR="00FC48D9">
              <w:rPr>
                <w:webHidden/>
              </w:rPr>
              <w:fldChar w:fldCharType="begin"/>
            </w:r>
            <w:r w:rsidR="00FC48D9">
              <w:rPr>
                <w:webHidden/>
              </w:rPr>
              <w:instrText xml:space="preserve"> PAGEREF _Toc205755273 \h </w:instrText>
            </w:r>
            <w:r w:rsidR="00FC48D9">
              <w:rPr>
                <w:webHidden/>
              </w:rPr>
            </w:r>
            <w:r w:rsidR="00FC48D9">
              <w:rPr>
                <w:webHidden/>
              </w:rPr>
              <w:fldChar w:fldCharType="separate"/>
            </w:r>
            <w:r w:rsidR="00762A3E">
              <w:rPr>
                <w:webHidden/>
              </w:rPr>
              <w:t>4</w:t>
            </w:r>
            <w:r w:rsidR="00FC48D9">
              <w:rPr>
                <w:webHidden/>
              </w:rPr>
              <w:fldChar w:fldCharType="end"/>
            </w:r>
          </w:hyperlink>
        </w:p>
        <w:p w14:paraId="48A920FC" w14:textId="2B2A7C7E" w:rsidR="00FC48D9" w:rsidRDefault="008E124B">
          <w:pPr>
            <w:pStyle w:val="TOC1"/>
            <w:tabs>
              <w:tab w:val="left" w:pos="440"/>
            </w:tabs>
            <w:rPr>
              <w:rFonts w:asciiTheme="minorHAnsi" w:eastAsiaTheme="minorEastAsia" w:hAnsiTheme="minorHAnsi"/>
              <w:sz w:val="22"/>
              <w:szCs w:val="22"/>
              <w:lang w:val="en-GB" w:eastAsia="en-GB"/>
            </w:rPr>
          </w:pPr>
          <w:hyperlink w:anchor="_Toc205755274" w:history="1">
            <w:r w:rsidR="00FC48D9" w:rsidRPr="005355CF">
              <w:rPr>
                <w:rStyle w:val="Hyperlink"/>
                <w:rFonts w:eastAsiaTheme="majorEastAsia" w:cs="Arial"/>
              </w:rPr>
              <w:t>5.</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Our Values</w:t>
            </w:r>
            <w:r w:rsidR="00FC48D9">
              <w:rPr>
                <w:webHidden/>
              </w:rPr>
              <w:tab/>
            </w:r>
            <w:r w:rsidR="00FC48D9">
              <w:rPr>
                <w:webHidden/>
              </w:rPr>
              <w:fldChar w:fldCharType="begin"/>
            </w:r>
            <w:r w:rsidR="00FC48D9">
              <w:rPr>
                <w:webHidden/>
              </w:rPr>
              <w:instrText xml:space="preserve"> PAGEREF _Toc205755274 \h </w:instrText>
            </w:r>
            <w:r w:rsidR="00FC48D9">
              <w:rPr>
                <w:webHidden/>
              </w:rPr>
            </w:r>
            <w:r w:rsidR="00FC48D9">
              <w:rPr>
                <w:webHidden/>
              </w:rPr>
              <w:fldChar w:fldCharType="separate"/>
            </w:r>
            <w:r w:rsidR="00762A3E">
              <w:rPr>
                <w:webHidden/>
              </w:rPr>
              <w:t>5</w:t>
            </w:r>
            <w:r w:rsidR="00FC48D9">
              <w:rPr>
                <w:webHidden/>
              </w:rPr>
              <w:fldChar w:fldCharType="end"/>
            </w:r>
          </w:hyperlink>
        </w:p>
        <w:p w14:paraId="1B633BE4" w14:textId="6E974343" w:rsidR="00FC48D9" w:rsidRDefault="008E124B">
          <w:pPr>
            <w:pStyle w:val="TOC1"/>
            <w:tabs>
              <w:tab w:val="left" w:pos="440"/>
            </w:tabs>
            <w:rPr>
              <w:rFonts w:asciiTheme="minorHAnsi" w:eastAsiaTheme="minorEastAsia" w:hAnsiTheme="minorHAnsi"/>
              <w:sz w:val="22"/>
              <w:szCs w:val="22"/>
              <w:lang w:val="en-GB" w:eastAsia="en-GB"/>
            </w:rPr>
          </w:pPr>
          <w:hyperlink w:anchor="_Toc205755275" w:history="1">
            <w:r w:rsidR="00FC48D9" w:rsidRPr="005355CF">
              <w:rPr>
                <w:rStyle w:val="Hyperlink"/>
                <w:rFonts w:eastAsiaTheme="majorEastAsia" w:cs="Arial"/>
              </w:rPr>
              <w:t>6.</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Our Vision</w:t>
            </w:r>
            <w:r w:rsidR="00FC48D9">
              <w:rPr>
                <w:webHidden/>
              </w:rPr>
              <w:tab/>
            </w:r>
            <w:r w:rsidR="00FC48D9">
              <w:rPr>
                <w:webHidden/>
              </w:rPr>
              <w:fldChar w:fldCharType="begin"/>
            </w:r>
            <w:r w:rsidR="00FC48D9">
              <w:rPr>
                <w:webHidden/>
              </w:rPr>
              <w:instrText xml:space="preserve"> PAGEREF _Toc205755275 \h </w:instrText>
            </w:r>
            <w:r w:rsidR="00FC48D9">
              <w:rPr>
                <w:webHidden/>
              </w:rPr>
            </w:r>
            <w:r w:rsidR="00FC48D9">
              <w:rPr>
                <w:webHidden/>
              </w:rPr>
              <w:fldChar w:fldCharType="separate"/>
            </w:r>
            <w:r w:rsidR="00762A3E">
              <w:rPr>
                <w:webHidden/>
              </w:rPr>
              <w:t>5</w:t>
            </w:r>
            <w:r w:rsidR="00FC48D9">
              <w:rPr>
                <w:webHidden/>
              </w:rPr>
              <w:fldChar w:fldCharType="end"/>
            </w:r>
          </w:hyperlink>
        </w:p>
        <w:p w14:paraId="48FD5339" w14:textId="579C5844" w:rsidR="00FC48D9" w:rsidRDefault="008E124B">
          <w:pPr>
            <w:pStyle w:val="TOC1"/>
            <w:tabs>
              <w:tab w:val="left" w:pos="440"/>
            </w:tabs>
            <w:rPr>
              <w:rFonts w:asciiTheme="minorHAnsi" w:eastAsiaTheme="minorEastAsia" w:hAnsiTheme="minorHAnsi"/>
              <w:sz w:val="22"/>
              <w:szCs w:val="22"/>
              <w:lang w:val="en-GB" w:eastAsia="en-GB"/>
            </w:rPr>
          </w:pPr>
          <w:hyperlink w:anchor="_Toc205755276" w:history="1">
            <w:r w:rsidR="00FC48D9" w:rsidRPr="005355CF">
              <w:rPr>
                <w:rStyle w:val="Hyperlink"/>
                <w:rFonts w:eastAsiaTheme="majorEastAsia" w:cs="Arial"/>
              </w:rPr>
              <w:t>7.</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Our Patient Safety Profile</w:t>
            </w:r>
            <w:r w:rsidR="00FC48D9">
              <w:rPr>
                <w:webHidden/>
              </w:rPr>
              <w:tab/>
            </w:r>
            <w:r w:rsidR="00FC48D9">
              <w:rPr>
                <w:webHidden/>
              </w:rPr>
              <w:fldChar w:fldCharType="begin"/>
            </w:r>
            <w:r w:rsidR="00FC48D9">
              <w:rPr>
                <w:webHidden/>
              </w:rPr>
              <w:instrText xml:space="preserve"> PAGEREF _Toc205755276 \h </w:instrText>
            </w:r>
            <w:r w:rsidR="00FC48D9">
              <w:rPr>
                <w:webHidden/>
              </w:rPr>
            </w:r>
            <w:r w:rsidR="00FC48D9">
              <w:rPr>
                <w:webHidden/>
              </w:rPr>
              <w:fldChar w:fldCharType="separate"/>
            </w:r>
            <w:r w:rsidR="00762A3E">
              <w:rPr>
                <w:webHidden/>
              </w:rPr>
              <w:t>6</w:t>
            </w:r>
            <w:r w:rsidR="00FC48D9">
              <w:rPr>
                <w:webHidden/>
              </w:rPr>
              <w:fldChar w:fldCharType="end"/>
            </w:r>
          </w:hyperlink>
        </w:p>
        <w:p w14:paraId="396E90CB" w14:textId="3DEEB212" w:rsidR="00FC48D9" w:rsidRDefault="008E124B">
          <w:pPr>
            <w:pStyle w:val="TOC1"/>
            <w:tabs>
              <w:tab w:val="left" w:pos="440"/>
            </w:tabs>
            <w:rPr>
              <w:rFonts w:asciiTheme="minorHAnsi" w:eastAsiaTheme="minorEastAsia" w:hAnsiTheme="minorHAnsi"/>
              <w:sz w:val="22"/>
              <w:szCs w:val="22"/>
              <w:lang w:val="en-GB" w:eastAsia="en-GB"/>
            </w:rPr>
          </w:pPr>
          <w:hyperlink w:anchor="_Toc205755277" w:history="1">
            <w:r w:rsidR="00FC48D9" w:rsidRPr="005355CF">
              <w:rPr>
                <w:rStyle w:val="Hyperlink"/>
                <w:rFonts w:eastAsiaTheme="majorEastAsia" w:cs="Arial"/>
              </w:rPr>
              <w:t>8.</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Patient safety improvement priorities</w:t>
            </w:r>
            <w:r w:rsidR="00FC48D9">
              <w:rPr>
                <w:webHidden/>
              </w:rPr>
              <w:tab/>
            </w:r>
            <w:r w:rsidR="00FC48D9">
              <w:rPr>
                <w:webHidden/>
              </w:rPr>
              <w:fldChar w:fldCharType="begin"/>
            </w:r>
            <w:r w:rsidR="00FC48D9">
              <w:rPr>
                <w:webHidden/>
              </w:rPr>
              <w:instrText xml:space="preserve"> PAGEREF _Toc205755277 \h </w:instrText>
            </w:r>
            <w:r w:rsidR="00FC48D9">
              <w:rPr>
                <w:webHidden/>
              </w:rPr>
            </w:r>
            <w:r w:rsidR="00FC48D9">
              <w:rPr>
                <w:webHidden/>
              </w:rPr>
              <w:fldChar w:fldCharType="separate"/>
            </w:r>
            <w:r w:rsidR="00762A3E">
              <w:rPr>
                <w:webHidden/>
              </w:rPr>
              <w:t>8</w:t>
            </w:r>
            <w:r w:rsidR="00FC48D9">
              <w:rPr>
                <w:webHidden/>
              </w:rPr>
              <w:fldChar w:fldCharType="end"/>
            </w:r>
          </w:hyperlink>
        </w:p>
        <w:p w14:paraId="61B5827A" w14:textId="67F8066A" w:rsidR="00FC48D9" w:rsidRDefault="008E124B">
          <w:pPr>
            <w:pStyle w:val="TOC1"/>
            <w:tabs>
              <w:tab w:val="left" w:pos="440"/>
            </w:tabs>
            <w:rPr>
              <w:rFonts w:asciiTheme="minorHAnsi" w:eastAsiaTheme="minorEastAsia" w:hAnsiTheme="minorHAnsi"/>
              <w:sz w:val="22"/>
              <w:szCs w:val="22"/>
              <w:lang w:val="en-GB" w:eastAsia="en-GB"/>
            </w:rPr>
          </w:pPr>
          <w:hyperlink w:anchor="_Toc205755278" w:history="1">
            <w:r w:rsidR="00FC48D9" w:rsidRPr="005355CF">
              <w:rPr>
                <w:rStyle w:val="Hyperlink"/>
                <w:rFonts w:eastAsiaTheme="majorEastAsia" w:cs="Arial"/>
              </w:rPr>
              <w:t>9.</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Our Patient Safety Incident Response Plan</w:t>
            </w:r>
            <w:r w:rsidR="00FC48D9">
              <w:rPr>
                <w:webHidden/>
              </w:rPr>
              <w:tab/>
            </w:r>
            <w:r w:rsidR="00FC48D9">
              <w:rPr>
                <w:webHidden/>
              </w:rPr>
              <w:fldChar w:fldCharType="begin"/>
            </w:r>
            <w:r w:rsidR="00FC48D9">
              <w:rPr>
                <w:webHidden/>
              </w:rPr>
              <w:instrText xml:space="preserve"> PAGEREF _Toc205755278 \h </w:instrText>
            </w:r>
            <w:r w:rsidR="00FC48D9">
              <w:rPr>
                <w:webHidden/>
              </w:rPr>
            </w:r>
            <w:r w:rsidR="00FC48D9">
              <w:rPr>
                <w:webHidden/>
              </w:rPr>
              <w:fldChar w:fldCharType="separate"/>
            </w:r>
            <w:r w:rsidR="00762A3E">
              <w:rPr>
                <w:webHidden/>
              </w:rPr>
              <w:t>9</w:t>
            </w:r>
            <w:r w:rsidR="00FC48D9">
              <w:rPr>
                <w:webHidden/>
              </w:rPr>
              <w:fldChar w:fldCharType="end"/>
            </w:r>
          </w:hyperlink>
        </w:p>
        <w:p w14:paraId="0B5B6E25" w14:textId="7437E07D" w:rsidR="00FC48D9" w:rsidRDefault="008E124B">
          <w:pPr>
            <w:pStyle w:val="TOC1"/>
            <w:tabs>
              <w:tab w:val="left" w:pos="660"/>
            </w:tabs>
            <w:rPr>
              <w:rFonts w:asciiTheme="minorHAnsi" w:eastAsiaTheme="minorEastAsia" w:hAnsiTheme="minorHAnsi"/>
              <w:sz w:val="22"/>
              <w:szCs w:val="22"/>
              <w:lang w:val="en-GB" w:eastAsia="en-GB"/>
            </w:rPr>
          </w:pPr>
          <w:hyperlink w:anchor="_Toc205755279" w:history="1">
            <w:r w:rsidR="00FC48D9" w:rsidRPr="005355CF">
              <w:rPr>
                <w:rStyle w:val="Hyperlink"/>
                <w:rFonts w:eastAsiaTheme="majorEastAsia" w:cs="Arial"/>
              </w:rPr>
              <w:t>10.</w:t>
            </w:r>
            <w:r w:rsidR="00FC48D9">
              <w:rPr>
                <w:rFonts w:asciiTheme="minorHAnsi" w:eastAsiaTheme="minorEastAsia" w:hAnsiTheme="minorHAnsi"/>
                <w:sz w:val="22"/>
                <w:szCs w:val="22"/>
                <w:lang w:val="en-GB" w:eastAsia="en-GB"/>
              </w:rPr>
              <w:tab/>
            </w:r>
            <w:r w:rsidR="00FC48D9" w:rsidRPr="005355CF">
              <w:rPr>
                <w:rStyle w:val="Hyperlink"/>
                <w:rFonts w:eastAsiaTheme="majorEastAsia" w:cs="Arial"/>
              </w:rPr>
              <w:t>Governance arrangements</w:t>
            </w:r>
            <w:r w:rsidR="00FC48D9">
              <w:rPr>
                <w:webHidden/>
              </w:rPr>
              <w:tab/>
            </w:r>
            <w:r w:rsidR="00FC48D9">
              <w:rPr>
                <w:webHidden/>
              </w:rPr>
              <w:fldChar w:fldCharType="begin"/>
            </w:r>
            <w:r w:rsidR="00FC48D9">
              <w:rPr>
                <w:webHidden/>
              </w:rPr>
              <w:instrText xml:space="preserve"> PAGEREF _Toc205755279 \h </w:instrText>
            </w:r>
            <w:r w:rsidR="00FC48D9">
              <w:rPr>
                <w:webHidden/>
              </w:rPr>
            </w:r>
            <w:r w:rsidR="00FC48D9">
              <w:rPr>
                <w:webHidden/>
              </w:rPr>
              <w:fldChar w:fldCharType="separate"/>
            </w:r>
            <w:r w:rsidR="00762A3E">
              <w:rPr>
                <w:webHidden/>
              </w:rPr>
              <w:t>14</w:t>
            </w:r>
            <w:r w:rsidR="00FC48D9">
              <w:rPr>
                <w:webHidden/>
              </w:rPr>
              <w:fldChar w:fldCharType="end"/>
            </w:r>
          </w:hyperlink>
        </w:p>
        <w:p w14:paraId="416880F6" w14:textId="46EA4971" w:rsidR="00FA021A" w:rsidRPr="00F57973" w:rsidRDefault="00FA021A" w:rsidP="00D65738">
          <w:pPr>
            <w:spacing w:after="120" w:line="240" w:lineRule="auto"/>
            <w:rPr>
              <w:rFonts w:cs="Arial"/>
            </w:rPr>
          </w:pPr>
          <w:r w:rsidRPr="00F57973">
            <w:rPr>
              <w:rFonts w:cs="Arial"/>
              <w:b/>
              <w:bCs/>
              <w:noProof/>
              <w:sz w:val="24"/>
              <w:szCs w:val="24"/>
            </w:rPr>
            <w:fldChar w:fldCharType="end"/>
          </w:r>
        </w:p>
      </w:sdtContent>
    </w:sdt>
    <w:p w14:paraId="1948A17A" w14:textId="77777777" w:rsidR="00BF778A" w:rsidRPr="00F57973" w:rsidRDefault="00BF778A" w:rsidP="00D65738">
      <w:pPr>
        <w:spacing w:after="120" w:line="240" w:lineRule="auto"/>
        <w:rPr>
          <w:rFonts w:eastAsia="Calibri" w:cs="Arial"/>
          <w:b/>
          <w:bCs/>
          <w:sz w:val="28"/>
          <w:szCs w:val="28"/>
        </w:rPr>
      </w:pPr>
      <w:r w:rsidRPr="00F57973">
        <w:rPr>
          <w:rFonts w:eastAsia="Calibri" w:cs="Arial"/>
          <w:sz w:val="28"/>
        </w:rPr>
        <w:br w:type="page"/>
      </w:r>
    </w:p>
    <w:p w14:paraId="71E82627" w14:textId="720C9044" w:rsidR="00BF778A" w:rsidRPr="00F57973" w:rsidRDefault="006806EF" w:rsidP="00FB253A">
      <w:pPr>
        <w:pStyle w:val="Heading1"/>
      </w:pPr>
      <w:bookmarkStart w:id="0" w:name="_Toc205755270"/>
      <w:r w:rsidRPr="00F57973">
        <w:lastRenderedPageBreak/>
        <w:t>Introduction</w:t>
      </w:r>
      <w:bookmarkEnd w:id="0"/>
    </w:p>
    <w:p w14:paraId="03BC2F39" w14:textId="660F5244" w:rsidR="00C412DE" w:rsidRPr="00FB253A" w:rsidRDefault="002C438B" w:rsidP="00FB253A">
      <w:pPr>
        <w:pStyle w:val="ListParagraph"/>
        <w:numPr>
          <w:ilvl w:val="1"/>
          <w:numId w:val="20"/>
        </w:numPr>
        <w:spacing w:after="120" w:line="240" w:lineRule="auto"/>
        <w:contextualSpacing w:val="0"/>
        <w:rPr>
          <w:rFonts w:cs="Arial"/>
          <w:sz w:val="24"/>
          <w:szCs w:val="24"/>
        </w:rPr>
      </w:pPr>
      <w:bookmarkStart w:id="1" w:name="_Toc47518812"/>
      <w:r w:rsidRPr="00FB253A">
        <w:rPr>
          <w:rFonts w:cs="Arial"/>
          <w:sz w:val="24"/>
          <w:szCs w:val="24"/>
        </w:rPr>
        <w:t xml:space="preserve">This Patient Safety Incident Response </w:t>
      </w:r>
      <w:r w:rsidR="00B26A11" w:rsidRPr="00FB253A">
        <w:rPr>
          <w:rFonts w:cs="Arial"/>
          <w:sz w:val="24"/>
          <w:szCs w:val="24"/>
        </w:rPr>
        <w:t xml:space="preserve">(PSIR) </w:t>
      </w:r>
      <w:r w:rsidRPr="00FB253A">
        <w:rPr>
          <w:rFonts w:cs="Arial"/>
          <w:sz w:val="24"/>
          <w:szCs w:val="24"/>
        </w:rPr>
        <w:t>Plan</w:t>
      </w:r>
      <w:r w:rsidR="00A101F0" w:rsidRPr="00FB253A">
        <w:rPr>
          <w:rFonts w:cs="Arial"/>
          <w:sz w:val="24"/>
          <w:szCs w:val="24"/>
        </w:rPr>
        <w:t xml:space="preserve"> </w:t>
      </w:r>
      <w:r w:rsidRPr="00FB253A">
        <w:rPr>
          <w:rFonts w:cs="Arial"/>
          <w:sz w:val="24"/>
          <w:szCs w:val="24"/>
        </w:rPr>
        <w:t xml:space="preserve">sets out how East Kent Hospitals </w:t>
      </w:r>
      <w:r w:rsidR="00D862F7" w:rsidRPr="00FB253A">
        <w:rPr>
          <w:rFonts w:cs="Arial"/>
          <w:sz w:val="24"/>
          <w:szCs w:val="24"/>
        </w:rPr>
        <w:t>University</w:t>
      </w:r>
      <w:r w:rsidR="00A101F0" w:rsidRPr="00FB253A">
        <w:rPr>
          <w:rFonts w:cs="Arial"/>
          <w:sz w:val="24"/>
          <w:szCs w:val="24"/>
        </w:rPr>
        <w:t xml:space="preserve"> </w:t>
      </w:r>
      <w:r w:rsidR="00B26A11" w:rsidRPr="00FB253A">
        <w:rPr>
          <w:rFonts w:cs="Arial"/>
          <w:sz w:val="24"/>
          <w:szCs w:val="24"/>
        </w:rPr>
        <w:t xml:space="preserve">NHS </w:t>
      </w:r>
      <w:r w:rsidRPr="00FB253A">
        <w:rPr>
          <w:rFonts w:cs="Arial"/>
          <w:sz w:val="24"/>
          <w:szCs w:val="24"/>
        </w:rPr>
        <w:t>Foundation Trust (</w:t>
      </w:r>
      <w:r w:rsidR="00C1651C" w:rsidRPr="00FB253A">
        <w:rPr>
          <w:rFonts w:cs="Arial"/>
          <w:sz w:val="24"/>
          <w:szCs w:val="24"/>
        </w:rPr>
        <w:t>‘</w:t>
      </w:r>
      <w:r w:rsidR="00C412DE" w:rsidRPr="00FB253A">
        <w:rPr>
          <w:rFonts w:cs="Arial"/>
          <w:sz w:val="24"/>
          <w:szCs w:val="24"/>
        </w:rPr>
        <w:t>the Trust</w:t>
      </w:r>
      <w:r w:rsidR="00C1651C" w:rsidRPr="00FB253A">
        <w:rPr>
          <w:rFonts w:cs="Arial"/>
          <w:sz w:val="24"/>
          <w:szCs w:val="24"/>
        </w:rPr>
        <w:t>’</w:t>
      </w:r>
      <w:r w:rsidRPr="00FB253A">
        <w:rPr>
          <w:rFonts w:cs="Arial"/>
          <w:sz w:val="24"/>
          <w:szCs w:val="24"/>
        </w:rPr>
        <w:t>)</w:t>
      </w:r>
      <w:r w:rsidRPr="00FB253A">
        <w:rPr>
          <w:rFonts w:cs="Arial"/>
          <w:b/>
          <w:bCs/>
          <w:sz w:val="24"/>
          <w:szCs w:val="24"/>
        </w:rPr>
        <w:t xml:space="preserve"> </w:t>
      </w:r>
      <w:r w:rsidRPr="00FB253A">
        <w:rPr>
          <w:rFonts w:cs="Arial"/>
          <w:sz w:val="24"/>
          <w:szCs w:val="24"/>
        </w:rPr>
        <w:t xml:space="preserve">intends to respond to patient safety incidents </w:t>
      </w:r>
      <w:r w:rsidR="00BF778A" w:rsidRPr="00FB253A">
        <w:rPr>
          <w:rFonts w:cs="Arial"/>
          <w:sz w:val="24"/>
          <w:szCs w:val="24"/>
        </w:rPr>
        <w:t>b</w:t>
      </w:r>
      <w:r w:rsidR="00C412DE" w:rsidRPr="00FB253A">
        <w:rPr>
          <w:rFonts w:cs="Arial"/>
          <w:sz w:val="24"/>
          <w:szCs w:val="24"/>
        </w:rPr>
        <w:t xml:space="preserve">etween August 2025 and </w:t>
      </w:r>
      <w:r w:rsidR="00F96AD0" w:rsidRPr="00FB253A">
        <w:rPr>
          <w:rFonts w:cs="Arial"/>
          <w:sz w:val="24"/>
          <w:szCs w:val="24"/>
        </w:rPr>
        <w:t>April</w:t>
      </w:r>
      <w:r w:rsidR="00C412DE" w:rsidRPr="00FB253A">
        <w:rPr>
          <w:rFonts w:cs="Arial"/>
          <w:sz w:val="24"/>
          <w:szCs w:val="24"/>
        </w:rPr>
        <w:t xml:space="preserve"> 2026</w:t>
      </w:r>
      <w:r w:rsidRPr="00FB253A">
        <w:rPr>
          <w:rFonts w:cs="Arial"/>
          <w:sz w:val="24"/>
          <w:szCs w:val="24"/>
        </w:rPr>
        <w:t xml:space="preserve">. </w:t>
      </w:r>
      <w:r w:rsidR="00C1651C" w:rsidRPr="00FB253A">
        <w:rPr>
          <w:rFonts w:cs="Arial"/>
          <w:sz w:val="24"/>
          <w:szCs w:val="24"/>
        </w:rPr>
        <w:t>This refreshed</w:t>
      </w:r>
      <w:r w:rsidR="00C412DE" w:rsidRPr="00FB253A">
        <w:rPr>
          <w:rFonts w:cs="Arial"/>
          <w:sz w:val="24"/>
          <w:szCs w:val="24"/>
        </w:rPr>
        <w:t xml:space="preserve"> plan</w:t>
      </w:r>
      <w:r w:rsidR="00446690" w:rsidRPr="00FB253A">
        <w:rPr>
          <w:rFonts w:cs="Arial"/>
          <w:sz w:val="24"/>
          <w:szCs w:val="24"/>
        </w:rPr>
        <w:t xml:space="preserve"> reflects what we have learnt about the PSIR Framework (PSIRF) requirements and </w:t>
      </w:r>
      <w:r w:rsidR="00F96AD0" w:rsidRPr="00FB253A">
        <w:rPr>
          <w:rFonts w:cs="Arial"/>
          <w:sz w:val="24"/>
          <w:szCs w:val="24"/>
        </w:rPr>
        <w:t xml:space="preserve">our </w:t>
      </w:r>
      <w:r w:rsidR="00446690" w:rsidRPr="00FB253A">
        <w:rPr>
          <w:rFonts w:cs="Arial"/>
          <w:sz w:val="24"/>
          <w:szCs w:val="24"/>
        </w:rPr>
        <w:t>processes in the last year.  It</w:t>
      </w:r>
      <w:r w:rsidR="003675C0" w:rsidRPr="00FB253A">
        <w:rPr>
          <w:rFonts w:cs="Arial"/>
          <w:sz w:val="24"/>
          <w:szCs w:val="24"/>
        </w:rPr>
        <w:t xml:space="preserve"> </w:t>
      </w:r>
      <w:r w:rsidR="00C412DE" w:rsidRPr="00FB253A">
        <w:rPr>
          <w:rFonts w:cs="Arial"/>
          <w:sz w:val="24"/>
          <w:szCs w:val="24"/>
        </w:rPr>
        <w:t>is not a permanent rule that cannot be changed.  It</w:t>
      </w:r>
      <w:r w:rsidRPr="00FB253A">
        <w:rPr>
          <w:rFonts w:cs="Arial"/>
          <w:sz w:val="24"/>
          <w:szCs w:val="24"/>
        </w:rPr>
        <w:t xml:space="preserve"> will remain flexible and consider the specific circumstances in which</w:t>
      </w:r>
      <w:r w:rsidR="00602F71">
        <w:rPr>
          <w:rFonts w:cs="Arial"/>
          <w:sz w:val="24"/>
          <w:szCs w:val="24"/>
        </w:rPr>
        <w:t xml:space="preserve"> the</w:t>
      </w:r>
      <w:r w:rsidRPr="00FB253A">
        <w:rPr>
          <w:rFonts w:cs="Arial"/>
          <w:sz w:val="24"/>
          <w:szCs w:val="24"/>
        </w:rPr>
        <w:t xml:space="preserve"> patient safety</w:t>
      </w:r>
      <w:r w:rsidR="00762A3E">
        <w:rPr>
          <w:rFonts w:cs="Arial"/>
          <w:sz w:val="24"/>
          <w:szCs w:val="24"/>
        </w:rPr>
        <w:t xml:space="preserve"> events</w:t>
      </w:r>
      <w:r w:rsidRPr="00FB253A">
        <w:rPr>
          <w:rFonts w:cs="Arial"/>
          <w:sz w:val="24"/>
          <w:szCs w:val="24"/>
        </w:rPr>
        <w:t xml:space="preserve"> occurred and the needs of those affected.</w:t>
      </w:r>
    </w:p>
    <w:p w14:paraId="098CD191" w14:textId="4BAF4C76" w:rsidR="00C412DE" w:rsidRPr="00F57973" w:rsidRDefault="00C412DE" w:rsidP="00FB253A">
      <w:pPr>
        <w:pStyle w:val="ListParagraph"/>
        <w:numPr>
          <w:ilvl w:val="1"/>
          <w:numId w:val="20"/>
        </w:numPr>
        <w:spacing w:after="120" w:line="240" w:lineRule="auto"/>
        <w:rPr>
          <w:rFonts w:cs="Arial"/>
          <w:sz w:val="24"/>
          <w:szCs w:val="24"/>
        </w:rPr>
      </w:pPr>
      <w:r w:rsidRPr="00F57973">
        <w:rPr>
          <w:rFonts w:cs="Arial"/>
          <w:sz w:val="24"/>
          <w:szCs w:val="24"/>
        </w:rPr>
        <w:t>The plan describes how the Trust will focus resources on the plan priorities:</w:t>
      </w:r>
    </w:p>
    <w:p w14:paraId="1F152F7B" w14:textId="737C9093" w:rsidR="00C412DE" w:rsidRPr="00F57973" w:rsidRDefault="00C412DE" w:rsidP="00762A3E">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Compassionate engagement and involvement of those affected by patient safety incidents.</w:t>
      </w:r>
    </w:p>
    <w:p w14:paraId="0CC33A9C" w14:textId="7F4589BD" w:rsidR="00C412DE" w:rsidRPr="00F57973" w:rsidRDefault="00C412DE" w:rsidP="00762A3E">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Considered and proportionate response to patient safety incidents.</w:t>
      </w:r>
    </w:p>
    <w:p w14:paraId="29C22101" w14:textId="4B23B952" w:rsidR="00C412DE" w:rsidRPr="00F57973" w:rsidRDefault="00C412DE" w:rsidP="00762A3E">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Application of a range of system-based approaches to learning from patient safety incidents.</w:t>
      </w:r>
    </w:p>
    <w:p w14:paraId="34896764" w14:textId="4F032B98" w:rsidR="00C412DE" w:rsidRPr="00F57973" w:rsidRDefault="00C412DE" w:rsidP="00762A3E">
      <w:pPr>
        <w:pStyle w:val="ListParagraph"/>
        <w:numPr>
          <w:ilvl w:val="3"/>
          <w:numId w:val="20"/>
        </w:numPr>
        <w:spacing w:after="120" w:line="240" w:lineRule="auto"/>
        <w:ind w:left="851" w:hanging="284"/>
        <w:contextualSpacing w:val="0"/>
        <w:rPr>
          <w:rFonts w:cs="Arial"/>
          <w:sz w:val="24"/>
          <w:szCs w:val="24"/>
        </w:rPr>
      </w:pPr>
      <w:r w:rsidRPr="00F57973">
        <w:rPr>
          <w:rFonts w:cs="Arial"/>
          <w:sz w:val="24"/>
          <w:szCs w:val="24"/>
        </w:rPr>
        <w:t>Supportive oversight focused on strengthening response system functioning and improvement.</w:t>
      </w:r>
    </w:p>
    <w:p w14:paraId="77331F6F" w14:textId="754ACFAC" w:rsidR="00C412DE" w:rsidRPr="00F57973" w:rsidRDefault="00F31164" w:rsidP="000C1343">
      <w:pPr>
        <w:pStyle w:val="ListParagraph"/>
        <w:numPr>
          <w:ilvl w:val="1"/>
          <w:numId w:val="20"/>
        </w:numPr>
        <w:spacing w:after="240" w:line="240" w:lineRule="auto"/>
        <w:contextualSpacing w:val="0"/>
        <w:rPr>
          <w:rFonts w:cs="Arial"/>
          <w:sz w:val="24"/>
          <w:szCs w:val="24"/>
        </w:rPr>
      </w:pPr>
      <w:r w:rsidRPr="00F57973">
        <w:rPr>
          <w:rFonts w:cs="Arial"/>
          <w:sz w:val="24"/>
          <w:szCs w:val="24"/>
        </w:rPr>
        <w:t>This plan should be read in conjunction with the Trust Patient Safety Incident Response Policy (2025) and the Patient Safety Incident Response Framework (NHS England, 2022).</w:t>
      </w:r>
    </w:p>
    <w:p w14:paraId="5062D214" w14:textId="446B7507" w:rsidR="00F31164" w:rsidRPr="00F57973" w:rsidRDefault="00F31164" w:rsidP="000C1343">
      <w:pPr>
        <w:pStyle w:val="Heading1"/>
        <w:spacing w:line="240" w:lineRule="auto"/>
        <w:rPr>
          <w:rFonts w:cs="Arial"/>
        </w:rPr>
      </w:pPr>
      <w:bookmarkStart w:id="2" w:name="_Toc205755271"/>
      <w:r w:rsidRPr="00F57973">
        <w:rPr>
          <w:rFonts w:cs="Arial"/>
        </w:rPr>
        <w:t>Changes since our last Patient Safety Incident Response Plan</w:t>
      </w:r>
      <w:bookmarkEnd w:id="2"/>
    </w:p>
    <w:p w14:paraId="69755A44" w14:textId="350212BD" w:rsidR="00F31164" w:rsidRPr="00F57973" w:rsidRDefault="00F31164" w:rsidP="00D65738">
      <w:pPr>
        <w:spacing w:after="120" w:line="240" w:lineRule="auto"/>
        <w:rPr>
          <w:rFonts w:cs="Arial"/>
          <w:sz w:val="24"/>
          <w:szCs w:val="24"/>
        </w:rPr>
      </w:pPr>
      <w:r w:rsidRPr="00F57973">
        <w:rPr>
          <w:rFonts w:cs="Arial"/>
          <w:sz w:val="24"/>
          <w:szCs w:val="24"/>
        </w:rPr>
        <w:t xml:space="preserve">The </w:t>
      </w:r>
      <w:r w:rsidR="00762A3E">
        <w:rPr>
          <w:rFonts w:cs="Arial"/>
          <w:sz w:val="24"/>
          <w:szCs w:val="24"/>
        </w:rPr>
        <w:t>main</w:t>
      </w:r>
      <w:r w:rsidRPr="00F57973">
        <w:rPr>
          <w:rFonts w:cs="Arial"/>
          <w:sz w:val="24"/>
          <w:szCs w:val="24"/>
        </w:rPr>
        <w:t xml:space="preserve"> changes to </w:t>
      </w:r>
      <w:r w:rsidR="00762A3E">
        <w:rPr>
          <w:rFonts w:cs="Arial"/>
          <w:sz w:val="24"/>
          <w:szCs w:val="24"/>
        </w:rPr>
        <w:t>the</w:t>
      </w:r>
      <w:r w:rsidRPr="00F57973">
        <w:rPr>
          <w:rFonts w:cs="Arial"/>
          <w:sz w:val="24"/>
          <w:szCs w:val="24"/>
        </w:rPr>
        <w:t xml:space="preserve"> plan since our first plan</w:t>
      </w:r>
      <w:r w:rsidR="00F96AD0">
        <w:rPr>
          <w:rFonts w:cs="Arial"/>
          <w:sz w:val="24"/>
          <w:szCs w:val="24"/>
        </w:rPr>
        <w:t xml:space="preserve"> was implemented</w:t>
      </w:r>
      <w:r w:rsidRPr="00F57973">
        <w:rPr>
          <w:rFonts w:cs="Arial"/>
          <w:sz w:val="24"/>
          <w:szCs w:val="24"/>
        </w:rPr>
        <w:t xml:space="preserve"> in </w:t>
      </w:r>
      <w:r w:rsidR="00F96AD0">
        <w:rPr>
          <w:rFonts w:cs="Arial"/>
          <w:sz w:val="24"/>
          <w:szCs w:val="24"/>
        </w:rPr>
        <w:t xml:space="preserve">June </w:t>
      </w:r>
      <w:r w:rsidRPr="00F57973">
        <w:rPr>
          <w:rFonts w:cs="Arial"/>
          <w:sz w:val="24"/>
          <w:szCs w:val="24"/>
        </w:rPr>
        <w:t>2024 are</w:t>
      </w:r>
      <w:r w:rsidR="009E4EB9">
        <w:rPr>
          <w:rFonts w:cs="Arial"/>
          <w:sz w:val="24"/>
          <w:szCs w:val="24"/>
        </w:rPr>
        <w:t xml:space="preserve"> outlined below.</w:t>
      </w:r>
    </w:p>
    <w:p w14:paraId="282FD399" w14:textId="4EDA4EF3" w:rsidR="00F31164" w:rsidRDefault="008E7559" w:rsidP="00FB253A">
      <w:pPr>
        <w:pStyle w:val="ListParagraph"/>
        <w:numPr>
          <w:ilvl w:val="1"/>
          <w:numId w:val="20"/>
        </w:numPr>
        <w:spacing w:after="120" w:line="240" w:lineRule="auto"/>
        <w:contextualSpacing w:val="0"/>
        <w:rPr>
          <w:rFonts w:cs="Arial"/>
          <w:sz w:val="24"/>
          <w:szCs w:val="24"/>
        </w:rPr>
      </w:pPr>
      <w:r w:rsidRPr="00F57973">
        <w:rPr>
          <w:rFonts w:cs="Arial"/>
          <w:sz w:val="24"/>
          <w:szCs w:val="24"/>
        </w:rPr>
        <w:t>Following our Trust</w:t>
      </w:r>
      <w:r w:rsidR="00C1651C" w:rsidRPr="00F57973">
        <w:rPr>
          <w:rFonts w:cs="Arial"/>
          <w:sz w:val="24"/>
          <w:szCs w:val="24"/>
        </w:rPr>
        <w:t>,</w:t>
      </w:r>
      <w:r w:rsidRPr="00F57973">
        <w:rPr>
          <w:rFonts w:cs="Arial"/>
          <w:sz w:val="24"/>
          <w:szCs w:val="24"/>
        </w:rPr>
        <w:t xml:space="preserve"> and other Trusts</w:t>
      </w:r>
      <w:r w:rsidR="00C1651C" w:rsidRPr="00F57973">
        <w:rPr>
          <w:rFonts w:cs="Arial"/>
          <w:sz w:val="24"/>
          <w:szCs w:val="24"/>
        </w:rPr>
        <w:t xml:space="preserve"> and healthcare providers,</w:t>
      </w:r>
      <w:r w:rsidRPr="00F57973">
        <w:rPr>
          <w:rFonts w:cs="Arial"/>
          <w:sz w:val="24"/>
          <w:szCs w:val="24"/>
        </w:rPr>
        <w:t xml:space="preserve"> highlighting high numbers of patients admitted to hospital with pre-existing pressure damage, </w:t>
      </w:r>
      <w:r w:rsidR="00C1651C" w:rsidRPr="00F57973">
        <w:rPr>
          <w:rFonts w:cs="Arial"/>
          <w:sz w:val="24"/>
          <w:szCs w:val="24"/>
        </w:rPr>
        <w:t>w</w:t>
      </w:r>
      <w:r w:rsidRPr="00F57973">
        <w:rPr>
          <w:rFonts w:cs="Arial"/>
          <w:sz w:val="24"/>
          <w:szCs w:val="24"/>
        </w:rPr>
        <w:t>e are now working with partners in a system wide group led by the Kent and Medway Integrated Care Board (ICB).  In light of this, our planned work within the pressure damage theme</w:t>
      </w:r>
      <w:r w:rsidR="00C1651C" w:rsidRPr="00F57973">
        <w:rPr>
          <w:rFonts w:cs="Arial"/>
          <w:sz w:val="24"/>
          <w:szCs w:val="24"/>
        </w:rPr>
        <w:t xml:space="preserve"> related to admitted with pressure ulcers</w:t>
      </w:r>
      <w:r w:rsidRPr="00F57973">
        <w:rPr>
          <w:rFonts w:cs="Arial"/>
          <w:sz w:val="24"/>
          <w:szCs w:val="24"/>
        </w:rPr>
        <w:t xml:space="preserve"> has been superseded by the ICB </w:t>
      </w:r>
      <w:r w:rsidR="00C1651C" w:rsidRPr="00F57973">
        <w:rPr>
          <w:rFonts w:cs="Arial"/>
          <w:sz w:val="24"/>
          <w:szCs w:val="24"/>
        </w:rPr>
        <w:t>led work.  We continue to actively contribute to this work.</w:t>
      </w:r>
    </w:p>
    <w:p w14:paraId="281394E0" w14:textId="6001D002" w:rsidR="009E4EB9" w:rsidRDefault="009E4EB9" w:rsidP="00FB253A">
      <w:pPr>
        <w:pStyle w:val="ListParagraph"/>
        <w:numPr>
          <w:ilvl w:val="1"/>
          <w:numId w:val="20"/>
        </w:numPr>
        <w:spacing w:after="120" w:line="240" w:lineRule="auto"/>
        <w:contextualSpacing w:val="0"/>
        <w:rPr>
          <w:rFonts w:cs="Arial"/>
          <w:sz w:val="24"/>
          <w:szCs w:val="24"/>
        </w:rPr>
      </w:pPr>
      <w:r>
        <w:rPr>
          <w:rFonts w:cs="Arial"/>
          <w:sz w:val="24"/>
          <w:szCs w:val="24"/>
        </w:rPr>
        <w:t xml:space="preserve">Stakeholder events for patient falls, pressure ulcers and nutrition and hydration have informed strengthening of the respective improvement plans.  Therefore, pressure ulcers has been discontinued as a theme, remaining as a </w:t>
      </w:r>
      <w:r w:rsidR="00602F71">
        <w:rPr>
          <w:rFonts w:cs="Arial"/>
          <w:sz w:val="24"/>
          <w:szCs w:val="24"/>
        </w:rPr>
        <w:t xml:space="preserve">Trust wide </w:t>
      </w:r>
      <w:r>
        <w:rPr>
          <w:rFonts w:cs="Arial"/>
          <w:sz w:val="24"/>
          <w:szCs w:val="24"/>
        </w:rPr>
        <w:t>continuous improvement.</w:t>
      </w:r>
    </w:p>
    <w:p w14:paraId="4095B5D1" w14:textId="042DD158" w:rsidR="00B445BA" w:rsidRDefault="00B445BA" w:rsidP="00FB253A">
      <w:pPr>
        <w:pStyle w:val="ListParagraph"/>
        <w:numPr>
          <w:ilvl w:val="1"/>
          <w:numId w:val="20"/>
        </w:numPr>
        <w:spacing w:after="120" w:line="240" w:lineRule="auto"/>
        <w:contextualSpacing w:val="0"/>
        <w:rPr>
          <w:rFonts w:cs="Arial"/>
          <w:sz w:val="24"/>
          <w:szCs w:val="24"/>
        </w:rPr>
      </w:pPr>
      <w:r>
        <w:rPr>
          <w:rFonts w:cs="Arial"/>
          <w:sz w:val="24"/>
          <w:szCs w:val="24"/>
        </w:rPr>
        <w:t>The dementia work now falls within the mental health workstreams within the Trust.</w:t>
      </w:r>
    </w:p>
    <w:p w14:paraId="00C3BBB1" w14:textId="49C0AF98" w:rsidR="00051E8B" w:rsidRDefault="00051E8B" w:rsidP="00FB253A">
      <w:pPr>
        <w:pStyle w:val="ListParagraph"/>
        <w:numPr>
          <w:ilvl w:val="1"/>
          <w:numId w:val="20"/>
        </w:numPr>
        <w:spacing w:after="120" w:line="240" w:lineRule="auto"/>
        <w:contextualSpacing w:val="0"/>
        <w:rPr>
          <w:rFonts w:cs="Arial"/>
          <w:sz w:val="24"/>
          <w:szCs w:val="24"/>
        </w:rPr>
      </w:pPr>
      <w:r>
        <w:rPr>
          <w:rFonts w:cs="Arial"/>
          <w:sz w:val="24"/>
          <w:szCs w:val="24"/>
        </w:rPr>
        <w:t xml:space="preserve">Addition of Safety Standards for Invasive Procedures as </w:t>
      </w:r>
      <w:r w:rsidR="003E233A">
        <w:rPr>
          <w:rFonts w:cs="Arial"/>
          <w:sz w:val="24"/>
          <w:szCs w:val="24"/>
        </w:rPr>
        <w:t>an</w:t>
      </w:r>
      <w:r>
        <w:rPr>
          <w:rFonts w:cs="Arial"/>
          <w:sz w:val="24"/>
          <w:szCs w:val="24"/>
        </w:rPr>
        <w:t xml:space="preserve"> improvement workstream</w:t>
      </w:r>
      <w:r w:rsidR="00A71E3F">
        <w:rPr>
          <w:rFonts w:cs="Arial"/>
          <w:sz w:val="24"/>
          <w:szCs w:val="24"/>
        </w:rPr>
        <w:t>.  An internal review of Never Events in 2024, initiated this workstream.</w:t>
      </w:r>
    </w:p>
    <w:p w14:paraId="452B9BC3" w14:textId="4CF9F7C0" w:rsidR="00AB049B" w:rsidRPr="00AB049B" w:rsidRDefault="00AB049B" w:rsidP="00FB253A">
      <w:pPr>
        <w:pStyle w:val="ListParagraph"/>
        <w:numPr>
          <w:ilvl w:val="1"/>
          <w:numId w:val="20"/>
        </w:numPr>
        <w:spacing w:after="120" w:line="240" w:lineRule="auto"/>
        <w:contextualSpacing w:val="0"/>
        <w:rPr>
          <w:rFonts w:cs="Arial"/>
          <w:sz w:val="24"/>
          <w:szCs w:val="24"/>
        </w:rPr>
      </w:pPr>
      <w:r w:rsidRPr="00AB049B">
        <w:rPr>
          <w:rFonts w:cs="Arial"/>
          <w:sz w:val="24"/>
          <w:szCs w:val="24"/>
        </w:rPr>
        <w:t xml:space="preserve">Within the delay/failure theme, we previously identified delays or omissions in following up test results (radiology and pathology) as a priority.  Our Chief Medical Officer is now leading a group </w:t>
      </w:r>
      <w:r w:rsidR="00602F71">
        <w:rPr>
          <w:rFonts w:cs="Arial"/>
          <w:sz w:val="24"/>
          <w:szCs w:val="24"/>
        </w:rPr>
        <w:t>aiming</w:t>
      </w:r>
      <w:r w:rsidRPr="00AB049B">
        <w:rPr>
          <w:rFonts w:cs="Arial"/>
          <w:sz w:val="24"/>
          <w:szCs w:val="24"/>
        </w:rPr>
        <w:t xml:space="preserve"> to strengthen the clinical IT systems to enable clinicians to identify and review results and manage onward referrals appropriately.  There has been a reduction in delay/failure incidents, however we continue to identify incidents relating to waiting lists</w:t>
      </w:r>
      <w:r w:rsidR="00602F71">
        <w:rPr>
          <w:rFonts w:cs="Arial"/>
          <w:sz w:val="24"/>
          <w:szCs w:val="24"/>
        </w:rPr>
        <w:t xml:space="preserve">.  </w:t>
      </w:r>
      <w:r w:rsidR="00602F71">
        <w:rPr>
          <w:rFonts w:cs="Arial"/>
          <w:sz w:val="24"/>
          <w:szCs w:val="24"/>
        </w:rPr>
        <w:lastRenderedPageBreak/>
        <w:t>T</w:t>
      </w:r>
      <w:r w:rsidRPr="00AB049B">
        <w:rPr>
          <w:rFonts w:cs="Arial"/>
          <w:sz w:val="24"/>
          <w:szCs w:val="24"/>
        </w:rPr>
        <w:t>hese are now mapped to identify whether a relevant improvement process is in place or is required for the specific speciality</w:t>
      </w:r>
      <w:r w:rsidR="00602F71">
        <w:rPr>
          <w:rFonts w:cs="Arial"/>
          <w:sz w:val="24"/>
          <w:szCs w:val="24"/>
        </w:rPr>
        <w:t xml:space="preserve"> e.g. Diabetes and Endocrinology now has an operational improvement plan; a Urology thematic review is underway.</w:t>
      </w:r>
      <w:r w:rsidRPr="00AB049B">
        <w:rPr>
          <w:rFonts w:cs="Arial"/>
          <w:sz w:val="24"/>
          <w:szCs w:val="24"/>
        </w:rPr>
        <w:t xml:space="preserve"> We have also implemented a Clinical Harm Review policy to identify potential and actual harm due to delays.  This is being used within the cancer pathway and emergency departments.  We will undertake a full review of the</w:t>
      </w:r>
      <w:r w:rsidR="00A71E3F">
        <w:rPr>
          <w:rFonts w:cs="Arial"/>
          <w:sz w:val="24"/>
          <w:szCs w:val="24"/>
        </w:rPr>
        <w:t xml:space="preserve"> data relating to</w:t>
      </w:r>
      <w:r w:rsidRPr="00AB049B">
        <w:rPr>
          <w:rFonts w:cs="Arial"/>
          <w:sz w:val="24"/>
          <w:szCs w:val="24"/>
        </w:rPr>
        <w:t xml:space="preserve"> delay/failure</w:t>
      </w:r>
      <w:r w:rsidR="00A71E3F">
        <w:rPr>
          <w:rFonts w:cs="Arial"/>
          <w:sz w:val="24"/>
          <w:szCs w:val="24"/>
        </w:rPr>
        <w:t xml:space="preserve"> and delays within Care and Treatment</w:t>
      </w:r>
      <w:r w:rsidRPr="00AB049B">
        <w:rPr>
          <w:rFonts w:cs="Arial"/>
          <w:sz w:val="24"/>
          <w:szCs w:val="24"/>
        </w:rPr>
        <w:t xml:space="preserve"> between January and March 2026.</w:t>
      </w:r>
    </w:p>
    <w:p w14:paraId="19CD7FE4" w14:textId="77777777" w:rsidR="00A1500C" w:rsidRDefault="00AB049B" w:rsidP="00FB253A">
      <w:pPr>
        <w:pStyle w:val="ListParagraph"/>
        <w:numPr>
          <w:ilvl w:val="1"/>
          <w:numId w:val="20"/>
        </w:numPr>
        <w:spacing w:after="120" w:line="240" w:lineRule="auto"/>
        <w:contextualSpacing w:val="0"/>
        <w:rPr>
          <w:rFonts w:cs="Arial"/>
          <w:sz w:val="24"/>
          <w:szCs w:val="24"/>
        </w:rPr>
      </w:pPr>
      <w:r>
        <w:rPr>
          <w:rFonts w:cs="Arial"/>
          <w:sz w:val="24"/>
          <w:szCs w:val="24"/>
        </w:rPr>
        <w:t xml:space="preserve">Within the medication theme, a review of </w:t>
      </w:r>
      <w:r w:rsidR="00691F8A">
        <w:rPr>
          <w:rFonts w:cs="Arial"/>
          <w:sz w:val="24"/>
          <w:szCs w:val="24"/>
        </w:rPr>
        <w:t>the</w:t>
      </w:r>
      <w:r>
        <w:rPr>
          <w:rFonts w:cs="Arial"/>
          <w:sz w:val="24"/>
          <w:szCs w:val="24"/>
        </w:rPr>
        <w:t xml:space="preserve"> electronic prescribing and medication administration (ePMA) system </w:t>
      </w:r>
      <w:r w:rsidR="00691F8A">
        <w:rPr>
          <w:rFonts w:cs="Arial"/>
          <w:sz w:val="24"/>
          <w:szCs w:val="24"/>
        </w:rPr>
        <w:t>focused on prescribing was completed</w:t>
      </w:r>
      <w:r>
        <w:rPr>
          <w:rFonts w:cs="Arial"/>
          <w:sz w:val="24"/>
          <w:szCs w:val="24"/>
        </w:rPr>
        <w:t>.  The recommendations</w:t>
      </w:r>
      <w:r w:rsidR="00691F8A">
        <w:rPr>
          <w:rFonts w:cs="Arial"/>
          <w:sz w:val="24"/>
          <w:szCs w:val="24"/>
        </w:rPr>
        <w:t xml:space="preserve"> clarify known issues and</w:t>
      </w:r>
      <w:r>
        <w:rPr>
          <w:rFonts w:cs="Arial"/>
          <w:sz w:val="24"/>
          <w:szCs w:val="24"/>
        </w:rPr>
        <w:t xml:space="preserve"> have been shared with the Director of Pharmacy and Chief Clinical Information Officer</w:t>
      </w:r>
      <w:r w:rsidR="00691F8A">
        <w:rPr>
          <w:rFonts w:cs="Arial"/>
          <w:sz w:val="24"/>
          <w:szCs w:val="24"/>
        </w:rPr>
        <w:t xml:space="preserve"> to inform planned updates to the system.  </w:t>
      </w:r>
    </w:p>
    <w:p w14:paraId="6D69688A" w14:textId="77777777" w:rsidR="00A1500C" w:rsidRDefault="00691F8A" w:rsidP="00FB253A">
      <w:pPr>
        <w:pStyle w:val="ListParagraph"/>
        <w:numPr>
          <w:ilvl w:val="1"/>
          <w:numId w:val="20"/>
        </w:numPr>
        <w:spacing w:after="120" w:line="240" w:lineRule="auto"/>
        <w:contextualSpacing w:val="0"/>
        <w:rPr>
          <w:rFonts w:cs="Arial"/>
          <w:sz w:val="24"/>
          <w:szCs w:val="24"/>
        </w:rPr>
      </w:pPr>
      <w:r>
        <w:rPr>
          <w:rFonts w:cs="Arial"/>
          <w:sz w:val="24"/>
          <w:szCs w:val="24"/>
        </w:rPr>
        <w:t>In relation to medication administration</w:t>
      </w:r>
      <w:r w:rsidR="00A1500C">
        <w:rPr>
          <w:rFonts w:cs="Arial"/>
          <w:sz w:val="24"/>
          <w:szCs w:val="24"/>
        </w:rPr>
        <w:t>:</w:t>
      </w:r>
    </w:p>
    <w:p w14:paraId="146E9C59" w14:textId="77777777" w:rsidR="00A1500C" w:rsidRDefault="00691F8A" w:rsidP="007E357A">
      <w:pPr>
        <w:pStyle w:val="ListParagraph"/>
        <w:numPr>
          <w:ilvl w:val="2"/>
          <w:numId w:val="20"/>
        </w:numPr>
        <w:spacing w:after="120" w:line="240" w:lineRule="auto"/>
        <w:ind w:left="1134" w:firstLine="0"/>
        <w:contextualSpacing w:val="0"/>
        <w:rPr>
          <w:rFonts w:cs="Arial"/>
          <w:sz w:val="24"/>
          <w:szCs w:val="24"/>
        </w:rPr>
      </w:pPr>
      <w:r>
        <w:rPr>
          <w:rFonts w:cs="Arial"/>
          <w:sz w:val="24"/>
          <w:szCs w:val="24"/>
        </w:rPr>
        <w:t>PSIIs completed</w:t>
      </w:r>
      <w:r w:rsidR="00A71E3F">
        <w:rPr>
          <w:rFonts w:cs="Arial"/>
          <w:sz w:val="24"/>
          <w:szCs w:val="24"/>
        </w:rPr>
        <w:t xml:space="preserve"> in the last year</w:t>
      </w:r>
      <w:r>
        <w:rPr>
          <w:rFonts w:cs="Arial"/>
          <w:sz w:val="24"/>
          <w:szCs w:val="24"/>
        </w:rPr>
        <w:t xml:space="preserve"> will inform Learning from Medication Errors policy currently under development.</w:t>
      </w:r>
      <w:r w:rsidR="00C44217">
        <w:rPr>
          <w:rFonts w:cs="Arial"/>
          <w:sz w:val="24"/>
          <w:szCs w:val="24"/>
        </w:rPr>
        <w:t xml:space="preserve"> </w:t>
      </w:r>
    </w:p>
    <w:p w14:paraId="4EB915BA" w14:textId="4ECE718A" w:rsidR="009910CF" w:rsidRPr="00F57973" w:rsidRDefault="00C44217" w:rsidP="007E357A">
      <w:pPr>
        <w:pStyle w:val="ListParagraph"/>
        <w:numPr>
          <w:ilvl w:val="2"/>
          <w:numId w:val="20"/>
        </w:numPr>
        <w:spacing w:after="120" w:line="240" w:lineRule="auto"/>
        <w:ind w:left="1134" w:firstLine="0"/>
        <w:contextualSpacing w:val="0"/>
        <w:rPr>
          <w:rFonts w:cs="Arial"/>
          <w:sz w:val="24"/>
          <w:szCs w:val="24"/>
        </w:rPr>
      </w:pPr>
      <w:r>
        <w:rPr>
          <w:rFonts w:cs="Arial"/>
          <w:sz w:val="24"/>
          <w:szCs w:val="24"/>
        </w:rPr>
        <w:t xml:space="preserve">A project has commenced </w:t>
      </w:r>
      <w:r w:rsidR="00A1500C">
        <w:rPr>
          <w:rFonts w:cs="Arial"/>
          <w:sz w:val="24"/>
          <w:szCs w:val="24"/>
        </w:rPr>
        <w:t>using SEIPS to understand systems issues contribution to missed dose incidents.</w:t>
      </w:r>
    </w:p>
    <w:p w14:paraId="073E4332" w14:textId="544D249F" w:rsidR="00446690" w:rsidRDefault="00602F71" w:rsidP="00FB253A">
      <w:pPr>
        <w:pStyle w:val="ListParagraph"/>
        <w:numPr>
          <w:ilvl w:val="1"/>
          <w:numId w:val="20"/>
        </w:numPr>
        <w:spacing w:after="120" w:line="240" w:lineRule="auto"/>
        <w:contextualSpacing w:val="0"/>
        <w:rPr>
          <w:rFonts w:cs="Arial"/>
          <w:sz w:val="24"/>
          <w:szCs w:val="24"/>
        </w:rPr>
      </w:pPr>
      <w:r>
        <w:rPr>
          <w:rFonts w:cs="Arial"/>
          <w:sz w:val="24"/>
          <w:szCs w:val="24"/>
        </w:rPr>
        <w:t xml:space="preserve">The national requirement in relation to </w:t>
      </w:r>
      <w:r w:rsidR="001B6A9C" w:rsidRPr="00F57973">
        <w:rPr>
          <w:rFonts w:cs="Arial"/>
          <w:sz w:val="24"/>
          <w:szCs w:val="24"/>
        </w:rPr>
        <w:t>Deaths in Custody, where health provision is provided by the NHS</w:t>
      </w:r>
      <w:r>
        <w:rPr>
          <w:rFonts w:cs="Arial"/>
          <w:sz w:val="24"/>
          <w:szCs w:val="24"/>
        </w:rPr>
        <w:t>, has been</w:t>
      </w:r>
      <w:r w:rsidR="001B6A9C" w:rsidRPr="00F57973">
        <w:rPr>
          <w:rFonts w:cs="Arial"/>
          <w:sz w:val="24"/>
          <w:szCs w:val="24"/>
        </w:rPr>
        <w:t xml:space="preserve"> removed </w:t>
      </w:r>
      <w:r w:rsidR="009910CF">
        <w:rPr>
          <w:rFonts w:cs="Arial"/>
          <w:sz w:val="24"/>
          <w:szCs w:val="24"/>
        </w:rPr>
        <w:t xml:space="preserve">from the plan </w:t>
      </w:r>
      <w:r w:rsidR="001B6A9C" w:rsidRPr="00F57973">
        <w:rPr>
          <w:rFonts w:cs="Arial"/>
          <w:sz w:val="24"/>
          <w:szCs w:val="24"/>
        </w:rPr>
        <w:t>as the Trust does not provide this service.</w:t>
      </w:r>
    </w:p>
    <w:p w14:paraId="3B925BD2" w14:textId="5737F7AF" w:rsidR="00CC2CC3" w:rsidRDefault="00CC2CC3" w:rsidP="00FB253A">
      <w:pPr>
        <w:pStyle w:val="ListParagraph"/>
        <w:numPr>
          <w:ilvl w:val="1"/>
          <w:numId w:val="20"/>
        </w:numPr>
        <w:spacing w:after="120" w:line="240" w:lineRule="auto"/>
        <w:contextualSpacing w:val="0"/>
        <w:rPr>
          <w:rFonts w:cs="Arial"/>
          <w:sz w:val="24"/>
          <w:szCs w:val="24"/>
        </w:rPr>
      </w:pPr>
      <w:r>
        <w:rPr>
          <w:rFonts w:cs="Arial"/>
          <w:sz w:val="24"/>
          <w:szCs w:val="24"/>
        </w:rPr>
        <w:t>Safeguardi</w:t>
      </w:r>
      <w:r w:rsidR="00602F71">
        <w:rPr>
          <w:rFonts w:cs="Arial"/>
          <w:sz w:val="24"/>
          <w:szCs w:val="24"/>
        </w:rPr>
        <w:t>ng has been</w:t>
      </w:r>
      <w:r>
        <w:rPr>
          <w:rFonts w:cs="Arial"/>
          <w:sz w:val="24"/>
          <w:szCs w:val="24"/>
        </w:rPr>
        <w:t xml:space="preserve"> removed as a specific workstream under this plan as this is a statutory (child) and regulatory requirement.  Safeguarding </w:t>
      </w:r>
      <w:r w:rsidR="00602F71">
        <w:rPr>
          <w:rFonts w:cs="Arial"/>
          <w:sz w:val="24"/>
          <w:szCs w:val="24"/>
        </w:rPr>
        <w:t xml:space="preserve">staff </w:t>
      </w:r>
      <w:r>
        <w:rPr>
          <w:rFonts w:cs="Arial"/>
          <w:sz w:val="24"/>
          <w:szCs w:val="24"/>
        </w:rPr>
        <w:t xml:space="preserve">are members of the PSIRF governance groups and </w:t>
      </w:r>
      <w:r w:rsidR="00820DB2">
        <w:rPr>
          <w:rFonts w:cs="Arial"/>
          <w:sz w:val="24"/>
          <w:szCs w:val="24"/>
        </w:rPr>
        <w:t xml:space="preserve">safeguarding, where applicable, is </w:t>
      </w:r>
      <w:r>
        <w:rPr>
          <w:rFonts w:cs="Arial"/>
          <w:sz w:val="24"/>
          <w:szCs w:val="24"/>
        </w:rPr>
        <w:t>considered within learning responses and investigations.</w:t>
      </w:r>
    </w:p>
    <w:p w14:paraId="3E8621D8" w14:textId="77777777" w:rsidR="00A71E3F" w:rsidRDefault="00B35401" w:rsidP="00A71E3F">
      <w:pPr>
        <w:pStyle w:val="ListParagraph"/>
        <w:numPr>
          <w:ilvl w:val="1"/>
          <w:numId w:val="20"/>
        </w:numPr>
        <w:spacing w:after="120" w:line="240" w:lineRule="auto"/>
        <w:contextualSpacing w:val="0"/>
        <w:rPr>
          <w:rFonts w:cs="Arial"/>
          <w:sz w:val="24"/>
          <w:szCs w:val="24"/>
        </w:rPr>
      </w:pPr>
      <w:r>
        <w:rPr>
          <w:rFonts w:cs="Arial"/>
          <w:sz w:val="24"/>
          <w:szCs w:val="24"/>
        </w:rPr>
        <w:t>The mechanisms to share learning have been added to the plan.</w:t>
      </w:r>
      <w:r w:rsidR="00A71E3F" w:rsidRPr="00A71E3F">
        <w:rPr>
          <w:rFonts w:cs="Arial"/>
          <w:sz w:val="24"/>
          <w:szCs w:val="24"/>
        </w:rPr>
        <w:t xml:space="preserve"> </w:t>
      </w:r>
    </w:p>
    <w:p w14:paraId="75A4AA19" w14:textId="6857DAE0" w:rsidR="00F31164" w:rsidRDefault="00A71E3F" w:rsidP="00A71E3F">
      <w:pPr>
        <w:pStyle w:val="ListParagraph"/>
        <w:numPr>
          <w:ilvl w:val="1"/>
          <w:numId w:val="20"/>
        </w:numPr>
        <w:spacing w:after="120" w:line="240" w:lineRule="auto"/>
        <w:contextualSpacing w:val="0"/>
        <w:rPr>
          <w:rFonts w:cs="Arial"/>
          <w:sz w:val="24"/>
          <w:szCs w:val="24"/>
        </w:rPr>
      </w:pPr>
      <w:r>
        <w:rPr>
          <w:rFonts w:cs="Arial"/>
          <w:sz w:val="24"/>
          <w:szCs w:val="24"/>
        </w:rPr>
        <w:t xml:space="preserve">This plan now explicitly aligns with </w:t>
      </w:r>
      <w:r w:rsidRPr="00F57973">
        <w:rPr>
          <w:rFonts w:cs="Arial"/>
          <w:sz w:val="24"/>
          <w:szCs w:val="24"/>
        </w:rPr>
        <w:t>the Trust quality and safety priorities and the annual Quality report timeframes.</w:t>
      </w:r>
    </w:p>
    <w:p w14:paraId="0D74A337" w14:textId="6AFFF3FF" w:rsidR="00A1500C" w:rsidRDefault="00A1500C" w:rsidP="00A71E3F">
      <w:pPr>
        <w:pStyle w:val="ListParagraph"/>
        <w:numPr>
          <w:ilvl w:val="1"/>
          <w:numId w:val="20"/>
        </w:numPr>
        <w:spacing w:after="120" w:line="240" w:lineRule="auto"/>
        <w:contextualSpacing w:val="0"/>
        <w:rPr>
          <w:rFonts w:cs="Arial"/>
          <w:sz w:val="24"/>
          <w:szCs w:val="24"/>
        </w:rPr>
      </w:pPr>
      <w:r>
        <w:rPr>
          <w:rFonts w:cs="Arial"/>
          <w:sz w:val="24"/>
          <w:szCs w:val="24"/>
        </w:rPr>
        <w:t>Our aim is to recruit to two Patient Safety Partner volunteer roles in Quarter 3 2025/26.</w:t>
      </w:r>
    </w:p>
    <w:p w14:paraId="78405CDE" w14:textId="77777777" w:rsidR="00A1500C" w:rsidRPr="00A71E3F" w:rsidRDefault="00A1500C" w:rsidP="00A1500C">
      <w:pPr>
        <w:pStyle w:val="ListParagraph"/>
        <w:spacing w:after="120" w:line="240" w:lineRule="auto"/>
        <w:ind w:left="567"/>
        <w:contextualSpacing w:val="0"/>
        <w:rPr>
          <w:rFonts w:cs="Arial"/>
          <w:sz w:val="24"/>
          <w:szCs w:val="24"/>
        </w:rPr>
      </w:pPr>
    </w:p>
    <w:p w14:paraId="746DDBF5" w14:textId="3286A9F0" w:rsidR="002B58AA" w:rsidRPr="00F57973" w:rsidRDefault="002B58AA" w:rsidP="000C1343">
      <w:pPr>
        <w:pStyle w:val="Heading1"/>
        <w:spacing w:line="240" w:lineRule="auto"/>
        <w:rPr>
          <w:rFonts w:cs="Arial"/>
        </w:rPr>
      </w:pPr>
      <w:bookmarkStart w:id="3" w:name="_Toc205755272"/>
      <w:bookmarkEnd w:id="1"/>
      <w:r w:rsidRPr="00F57973">
        <w:rPr>
          <w:rFonts w:cs="Arial"/>
        </w:rPr>
        <w:t>Our Services</w:t>
      </w:r>
      <w:bookmarkEnd w:id="3"/>
      <w:r w:rsidRPr="00F57973">
        <w:rPr>
          <w:rFonts w:cs="Arial"/>
        </w:rPr>
        <w:t xml:space="preserve"> </w:t>
      </w:r>
    </w:p>
    <w:p w14:paraId="359C296F" w14:textId="1197A242" w:rsidR="002B58AA" w:rsidRPr="00BF6B66" w:rsidRDefault="002B58AA" w:rsidP="00FB253A">
      <w:pPr>
        <w:pStyle w:val="ListParagraph"/>
        <w:numPr>
          <w:ilvl w:val="1"/>
          <w:numId w:val="20"/>
        </w:numPr>
        <w:spacing w:after="120" w:line="240" w:lineRule="auto"/>
        <w:contextualSpacing w:val="0"/>
        <w:rPr>
          <w:rFonts w:cs="Arial"/>
          <w:sz w:val="24"/>
          <w:szCs w:val="24"/>
        </w:rPr>
      </w:pPr>
      <w:r w:rsidRPr="00BF6B66">
        <w:rPr>
          <w:rFonts w:cs="Arial"/>
          <w:bCs/>
          <w:sz w:val="24"/>
          <w:szCs w:val="24"/>
          <w:lang w:val="en"/>
        </w:rPr>
        <w:t xml:space="preserve">We are a </w:t>
      </w:r>
      <w:r w:rsidRPr="00BF6B66">
        <w:rPr>
          <w:rFonts w:cs="Arial"/>
          <w:sz w:val="24"/>
          <w:szCs w:val="24"/>
        </w:rPr>
        <w:t xml:space="preserve">large hospital Trust, with five hospitals and several community clinics serving around 700,000 people in </w:t>
      </w:r>
      <w:r w:rsidR="00D76C04" w:rsidRPr="00BF6B66">
        <w:rPr>
          <w:rFonts w:cs="Arial"/>
          <w:sz w:val="24"/>
          <w:szCs w:val="24"/>
        </w:rPr>
        <w:t>e</w:t>
      </w:r>
      <w:r w:rsidRPr="00BF6B66">
        <w:rPr>
          <w:rFonts w:cs="Arial"/>
          <w:sz w:val="24"/>
          <w:szCs w:val="24"/>
        </w:rPr>
        <w:t xml:space="preserve">ast Kent. We also provide specialist services for a wider population of over a million. We provide several services in the community including home dialysis and </w:t>
      </w:r>
      <w:r w:rsidR="00D76C04" w:rsidRPr="00BF6B66">
        <w:rPr>
          <w:rFonts w:cs="Arial"/>
          <w:sz w:val="24"/>
          <w:szCs w:val="24"/>
        </w:rPr>
        <w:t xml:space="preserve">the </w:t>
      </w:r>
      <w:r w:rsidR="0079519F" w:rsidRPr="00BF6B66">
        <w:rPr>
          <w:rFonts w:cs="Arial"/>
          <w:sz w:val="24"/>
          <w:szCs w:val="24"/>
        </w:rPr>
        <w:t>Hospital at Home Team</w:t>
      </w:r>
      <w:r w:rsidRPr="00BF6B66">
        <w:rPr>
          <w:rFonts w:cs="Arial"/>
          <w:sz w:val="24"/>
          <w:szCs w:val="24"/>
        </w:rPr>
        <w:t xml:space="preserve">. </w:t>
      </w:r>
    </w:p>
    <w:p w14:paraId="7C25D4FE" w14:textId="77777777" w:rsidR="00F96AD0" w:rsidRPr="00FB253A" w:rsidRDefault="002B58AA" w:rsidP="00FB253A">
      <w:pPr>
        <w:pStyle w:val="ListParagraph"/>
        <w:numPr>
          <w:ilvl w:val="1"/>
          <w:numId w:val="20"/>
        </w:numPr>
        <w:spacing w:after="120" w:line="240" w:lineRule="auto"/>
        <w:contextualSpacing w:val="0"/>
        <w:rPr>
          <w:rFonts w:cs="Arial"/>
          <w:sz w:val="24"/>
          <w:szCs w:val="24"/>
        </w:rPr>
      </w:pPr>
      <w:r w:rsidRPr="00FB253A">
        <w:rPr>
          <w:rFonts w:cs="Arial"/>
          <w:sz w:val="24"/>
          <w:szCs w:val="24"/>
        </w:rPr>
        <w:t xml:space="preserve">As a teaching Trust, we play a vital role in the education and training of doctors, nurses, and other healthcare professionals, and are working in partnership with </w:t>
      </w:r>
      <w:r w:rsidR="00C1651C" w:rsidRPr="00FB253A">
        <w:rPr>
          <w:rFonts w:cs="Arial"/>
          <w:sz w:val="24"/>
          <w:szCs w:val="24"/>
        </w:rPr>
        <w:t>higher education institutions including the</w:t>
      </w:r>
      <w:r w:rsidRPr="00FB253A">
        <w:rPr>
          <w:rFonts w:cs="Arial"/>
          <w:sz w:val="24"/>
          <w:szCs w:val="24"/>
        </w:rPr>
        <w:t xml:space="preserve"> Kent and Medway Medical School. We will continue to work with our long-term partner</w:t>
      </w:r>
      <w:r w:rsidR="00C1651C" w:rsidRPr="00FB253A">
        <w:rPr>
          <w:rFonts w:cs="Arial"/>
          <w:sz w:val="24"/>
          <w:szCs w:val="24"/>
        </w:rPr>
        <w:t>s, Canterbury Christchurch University</w:t>
      </w:r>
      <w:r w:rsidRPr="00FB253A">
        <w:rPr>
          <w:rFonts w:cs="Arial"/>
          <w:sz w:val="24"/>
          <w:szCs w:val="24"/>
        </w:rPr>
        <w:t>, King’s College University in London and with St George’s Medical School.</w:t>
      </w:r>
      <w:r w:rsidR="00F64592" w:rsidRPr="00FB253A">
        <w:rPr>
          <w:rFonts w:cs="Arial"/>
          <w:sz w:val="24"/>
          <w:szCs w:val="24"/>
        </w:rPr>
        <w:t xml:space="preserve"> </w:t>
      </w:r>
    </w:p>
    <w:p w14:paraId="3F76B6F1" w14:textId="1424A296" w:rsidR="00602F71" w:rsidRPr="00A1500C" w:rsidRDefault="002B58AA" w:rsidP="000C1343">
      <w:pPr>
        <w:pStyle w:val="ListParagraph"/>
        <w:numPr>
          <w:ilvl w:val="1"/>
          <w:numId w:val="20"/>
        </w:numPr>
        <w:spacing w:after="240" w:line="240" w:lineRule="auto"/>
        <w:contextualSpacing w:val="0"/>
        <w:rPr>
          <w:rFonts w:cs="Arial"/>
          <w:sz w:val="24"/>
          <w:szCs w:val="24"/>
          <w:lang w:val="en"/>
        </w:rPr>
      </w:pPr>
      <w:r w:rsidRPr="00FB253A">
        <w:rPr>
          <w:rFonts w:cs="Arial"/>
          <w:sz w:val="24"/>
          <w:szCs w:val="24"/>
        </w:rPr>
        <w:lastRenderedPageBreak/>
        <w:t>We value participating in clinical research studies</w:t>
      </w:r>
      <w:r w:rsidR="00A101F0" w:rsidRPr="00FB253A">
        <w:rPr>
          <w:rFonts w:cs="Arial"/>
          <w:sz w:val="24"/>
          <w:szCs w:val="24"/>
        </w:rPr>
        <w:t xml:space="preserve"> and </w:t>
      </w:r>
      <w:r w:rsidRPr="00FB253A">
        <w:rPr>
          <w:rFonts w:cs="Arial"/>
          <w:sz w:val="24"/>
          <w:szCs w:val="24"/>
        </w:rPr>
        <w:t xml:space="preserve">we consistently recruit high numbers of </w:t>
      </w:r>
      <w:r w:rsidRPr="00A1500C">
        <w:rPr>
          <w:rFonts w:cs="Arial"/>
          <w:sz w:val="24"/>
          <w:szCs w:val="24"/>
        </w:rPr>
        <w:t>patients into research trials. Kent and Medway’s Clinical Trials Unit</w:t>
      </w:r>
      <w:r w:rsidR="00A101F0" w:rsidRPr="00A1500C">
        <w:rPr>
          <w:rFonts w:cs="Arial"/>
          <w:sz w:val="24"/>
          <w:szCs w:val="24"/>
        </w:rPr>
        <w:t>, which opened in 2022,</w:t>
      </w:r>
      <w:r w:rsidRPr="00A1500C">
        <w:rPr>
          <w:rFonts w:cs="Arial"/>
          <w:sz w:val="24"/>
          <w:szCs w:val="24"/>
        </w:rPr>
        <w:t xml:space="preserve"> is based in the Queen Elizabeth the Queen Mother Hospital, Margate.</w:t>
      </w:r>
    </w:p>
    <w:p w14:paraId="3FEFFB04" w14:textId="504D641E" w:rsidR="002B58AA" w:rsidRPr="00F57973" w:rsidRDefault="002B58AA" w:rsidP="000C1343">
      <w:pPr>
        <w:pStyle w:val="Heading1"/>
        <w:spacing w:line="240" w:lineRule="auto"/>
        <w:rPr>
          <w:rFonts w:cs="Arial"/>
        </w:rPr>
      </w:pPr>
      <w:bookmarkStart w:id="4" w:name="_Toc205755273"/>
      <w:r w:rsidRPr="00F57973">
        <w:rPr>
          <w:rFonts w:cs="Arial"/>
        </w:rPr>
        <w:t>Our Hospitals</w:t>
      </w:r>
      <w:bookmarkEnd w:id="4"/>
    </w:p>
    <w:p w14:paraId="747DA86F" w14:textId="77777777" w:rsidR="002B58AA" w:rsidRPr="00FB253A" w:rsidRDefault="002B58AA" w:rsidP="00FB253A">
      <w:pPr>
        <w:pStyle w:val="ListParagraph"/>
        <w:numPr>
          <w:ilvl w:val="1"/>
          <w:numId w:val="20"/>
        </w:numPr>
        <w:spacing w:after="120" w:line="240" w:lineRule="auto"/>
        <w:contextualSpacing w:val="0"/>
        <w:rPr>
          <w:rFonts w:cs="Arial"/>
          <w:sz w:val="24"/>
          <w:szCs w:val="24"/>
        </w:rPr>
      </w:pPr>
      <w:r w:rsidRPr="00FB253A">
        <w:rPr>
          <w:rFonts w:cs="Arial"/>
          <w:b/>
          <w:bCs/>
          <w:sz w:val="24"/>
          <w:szCs w:val="24"/>
        </w:rPr>
        <w:t xml:space="preserve">Kent and Canterbury Hospital </w:t>
      </w:r>
      <w:r w:rsidRPr="00FB253A">
        <w:rPr>
          <w:rFonts w:cs="Arial"/>
          <w:bCs/>
          <w:sz w:val="24"/>
          <w:szCs w:val="24"/>
        </w:rPr>
        <w:t>Canterbury,</w:t>
      </w:r>
      <w:r w:rsidRPr="00FB253A">
        <w:rPr>
          <w:rFonts w:cs="Arial"/>
          <w:sz w:val="24"/>
          <w:szCs w:val="24"/>
        </w:rPr>
        <w:t xml:space="preserve"> provides a range of surgical and medical services. It is a central base for many specialist services in east Kent such as elective orthopaedics, renal, vascular, interventional radiology, urology, dermatology, neurology, stroke and haemophilia services.</w:t>
      </w:r>
    </w:p>
    <w:p w14:paraId="6CCD43CB" w14:textId="48560BCD" w:rsidR="002B58AA" w:rsidRPr="00FB253A" w:rsidRDefault="002B58AA" w:rsidP="00FB253A">
      <w:pPr>
        <w:pStyle w:val="ListParagraph"/>
        <w:numPr>
          <w:ilvl w:val="1"/>
          <w:numId w:val="20"/>
        </w:numPr>
        <w:spacing w:after="120" w:line="240" w:lineRule="auto"/>
        <w:contextualSpacing w:val="0"/>
        <w:rPr>
          <w:rFonts w:cs="Arial"/>
          <w:sz w:val="24"/>
          <w:szCs w:val="24"/>
        </w:rPr>
      </w:pPr>
      <w:r w:rsidRPr="00FB253A">
        <w:rPr>
          <w:rFonts w:cs="Arial"/>
          <w:b/>
          <w:bCs/>
          <w:sz w:val="24"/>
          <w:szCs w:val="24"/>
        </w:rPr>
        <w:t xml:space="preserve">Queen Elizabeth The Queen Mother Hospital </w:t>
      </w:r>
      <w:r w:rsidRPr="00FB253A">
        <w:rPr>
          <w:rFonts w:cs="Arial"/>
          <w:bCs/>
          <w:sz w:val="24"/>
          <w:szCs w:val="24"/>
        </w:rPr>
        <w:t>Margate,</w:t>
      </w:r>
      <w:r w:rsidRPr="00FB253A">
        <w:rPr>
          <w:rFonts w:cs="Arial"/>
          <w:sz w:val="24"/>
          <w:szCs w:val="24"/>
        </w:rPr>
        <w:t xml:space="preserve"> provides a range of emergency and elective services including comprehensive trauma, obstetrics, general surgery, and paediatric services. It has a specialist centre for gynaecological cancer and modern operating theatres, </w:t>
      </w:r>
      <w:r w:rsidR="00D76C04" w:rsidRPr="00FB253A">
        <w:rPr>
          <w:rFonts w:cs="Arial"/>
          <w:sz w:val="24"/>
          <w:szCs w:val="24"/>
        </w:rPr>
        <w:t>intensive care</w:t>
      </w:r>
      <w:r w:rsidRPr="00FB253A">
        <w:rPr>
          <w:rFonts w:cs="Arial"/>
          <w:sz w:val="24"/>
          <w:szCs w:val="24"/>
        </w:rPr>
        <w:t xml:space="preserve"> facilities, children’s inpatient/outpatient facilities, and a Cardiac Catheter Laboratory.</w:t>
      </w:r>
    </w:p>
    <w:p w14:paraId="5D96F756" w14:textId="5654A464" w:rsidR="002B58AA" w:rsidRPr="00FB253A" w:rsidRDefault="002B58AA" w:rsidP="00FB253A">
      <w:pPr>
        <w:pStyle w:val="ListParagraph"/>
        <w:numPr>
          <w:ilvl w:val="1"/>
          <w:numId w:val="20"/>
        </w:numPr>
        <w:spacing w:after="120" w:line="240" w:lineRule="auto"/>
        <w:contextualSpacing w:val="0"/>
        <w:rPr>
          <w:rFonts w:cs="Arial"/>
          <w:sz w:val="24"/>
          <w:szCs w:val="24"/>
        </w:rPr>
      </w:pPr>
      <w:r w:rsidRPr="00FB253A">
        <w:rPr>
          <w:rFonts w:cs="Arial"/>
          <w:b/>
          <w:bCs/>
          <w:sz w:val="24"/>
          <w:szCs w:val="24"/>
        </w:rPr>
        <w:t>The William Harvey Hospital</w:t>
      </w:r>
      <w:r w:rsidRPr="00FB253A">
        <w:rPr>
          <w:rFonts w:cs="Arial"/>
          <w:sz w:val="24"/>
          <w:szCs w:val="24"/>
        </w:rPr>
        <w:t xml:space="preserve"> Ashford, provides a range of emergency and elective services including a trauma unit, as well as comprehensive maternity, paediatric and neonatal intensive care services. The hospital has a renal satellite service</w:t>
      </w:r>
      <w:r w:rsidR="00D76C04" w:rsidRPr="00FB253A">
        <w:rPr>
          <w:rFonts w:cs="Arial"/>
          <w:sz w:val="24"/>
          <w:szCs w:val="24"/>
        </w:rPr>
        <w:t xml:space="preserve"> and</w:t>
      </w:r>
      <w:r w:rsidRPr="00FB253A">
        <w:rPr>
          <w:rFonts w:cs="Arial"/>
          <w:sz w:val="24"/>
          <w:szCs w:val="24"/>
        </w:rPr>
        <w:t xml:space="preserve"> a specialist cardiology unit undertaking angiography and angioplasty.</w:t>
      </w:r>
    </w:p>
    <w:p w14:paraId="7E1E3203" w14:textId="3E729ECC" w:rsidR="002B58AA" w:rsidRPr="00FB253A" w:rsidRDefault="002B58AA" w:rsidP="00FB253A">
      <w:pPr>
        <w:pStyle w:val="ListParagraph"/>
        <w:numPr>
          <w:ilvl w:val="1"/>
          <w:numId w:val="20"/>
        </w:numPr>
        <w:spacing w:after="120" w:line="240" w:lineRule="auto"/>
        <w:contextualSpacing w:val="0"/>
        <w:rPr>
          <w:rFonts w:cs="Arial"/>
          <w:sz w:val="24"/>
          <w:szCs w:val="24"/>
        </w:rPr>
      </w:pPr>
      <w:r w:rsidRPr="00FB253A">
        <w:rPr>
          <w:rFonts w:cs="Arial"/>
          <w:b/>
          <w:bCs/>
          <w:sz w:val="24"/>
          <w:szCs w:val="24"/>
        </w:rPr>
        <w:t xml:space="preserve">The Royal Victoria Hospital </w:t>
      </w:r>
      <w:r w:rsidRPr="00FB253A">
        <w:rPr>
          <w:rFonts w:cs="Arial"/>
          <w:bCs/>
          <w:sz w:val="24"/>
          <w:szCs w:val="24"/>
        </w:rPr>
        <w:t xml:space="preserve">Folkestone, </w:t>
      </w:r>
      <w:r w:rsidRPr="00FB253A">
        <w:rPr>
          <w:rFonts w:cs="Arial"/>
          <w:sz w:val="24"/>
          <w:szCs w:val="24"/>
        </w:rPr>
        <w:t>provides a range of local services including an urgent care centre, a thriving outpatients department, the Derry Unit offering specialist gynaecological and urological outpatient procedures</w:t>
      </w:r>
      <w:r w:rsidR="00D76C04" w:rsidRPr="00FB253A">
        <w:rPr>
          <w:rFonts w:cs="Arial"/>
          <w:sz w:val="24"/>
          <w:szCs w:val="24"/>
        </w:rPr>
        <w:t xml:space="preserve"> and</w:t>
      </w:r>
      <w:r w:rsidRPr="00FB253A">
        <w:rPr>
          <w:rFonts w:cs="Arial"/>
          <w:sz w:val="24"/>
          <w:szCs w:val="24"/>
        </w:rPr>
        <w:t xml:space="preserve"> diagnostic services.</w:t>
      </w:r>
    </w:p>
    <w:p w14:paraId="0E1367C1" w14:textId="77777777" w:rsidR="002B58AA" w:rsidRPr="00FB253A" w:rsidRDefault="002B58AA" w:rsidP="00FB253A">
      <w:pPr>
        <w:pStyle w:val="ListParagraph"/>
        <w:numPr>
          <w:ilvl w:val="1"/>
          <w:numId w:val="20"/>
        </w:numPr>
        <w:spacing w:after="120" w:line="240" w:lineRule="auto"/>
        <w:contextualSpacing w:val="0"/>
        <w:rPr>
          <w:rFonts w:cs="Arial"/>
          <w:color w:val="000000" w:themeColor="text1"/>
          <w:sz w:val="24"/>
          <w:szCs w:val="24"/>
        </w:rPr>
      </w:pPr>
      <w:r w:rsidRPr="00FB253A">
        <w:rPr>
          <w:rFonts w:cs="Arial"/>
          <w:b/>
          <w:bCs/>
          <w:sz w:val="24"/>
          <w:szCs w:val="24"/>
        </w:rPr>
        <w:t xml:space="preserve">Buckland Hospital </w:t>
      </w:r>
      <w:r w:rsidRPr="00FB253A">
        <w:rPr>
          <w:rFonts w:cs="Arial"/>
          <w:bCs/>
          <w:sz w:val="24"/>
          <w:szCs w:val="24"/>
        </w:rPr>
        <w:t xml:space="preserve">Dover, </w:t>
      </w:r>
      <w:r w:rsidRPr="00FB253A">
        <w:rPr>
          <w:rFonts w:cs="Arial"/>
          <w:sz w:val="24"/>
          <w:szCs w:val="24"/>
        </w:rPr>
        <w:t xml:space="preserve">provides a range of local services. Its facilities include a minor injuries walk-in centre, outpatient facilities, renal satellite services, day hospital services, child health and child development services, ophthalmology </w:t>
      </w:r>
      <w:r w:rsidRPr="00FB253A">
        <w:rPr>
          <w:rFonts w:cs="Arial"/>
          <w:color w:val="000000" w:themeColor="text1"/>
          <w:sz w:val="24"/>
          <w:szCs w:val="24"/>
        </w:rPr>
        <w:t>surgery and a community diagnostic centre.</w:t>
      </w:r>
    </w:p>
    <w:p w14:paraId="5FDA3DD1" w14:textId="7E7950D5" w:rsidR="003A4DB9" w:rsidRPr="00FB253A" w:rsidRDefault="002B58AA" w:rsidP="000C1343">
      <w:pPr>
        <w:pStyle w:val="ListParagraph"/>
        <w:numPr>
          <w:ilvl w:val="1"/>
          <w:numId w:val="20"/>
        </w:numPr>
        <w:spacing w:after="240" w:line="240" w:lineRule="auto"/>
        <w:contextualSpacing w:val="0"/>
        <w:rPr>
          <w:rStyle w:val="Hyperlink"/>
          <w:rFonts w:cs="Arial"/>
          <w:iCs/>
          <w:color w:val="000000" w:themeColor="text1"/>
          <w:sz w:val="24"/>
          <w:szCs w:val="24"/>
          <w:u w:val="none"/>
        </w:rPr>
      </w:pPr>
      <w:r w:rsidRPr="00FB253A">
        <w:rPr>
          <w:rFonts w:cs="Arial"/>
          <w:color w:val="000000" w:themeColor="text1"/>
          <w:sz w:val="24"/>
          <w:szCs w:val="24"/>
        </w:rPr>
        <w:t xml:space="preserve">Further information on the services provided by each of our hospitals can be found on our </w:t>
      </w:r>
      <w:hyperlink r:id="rId11" w:history="1">
        <w:r w:rsidRPr="00FB253A">
          <w:rPr>
            <w:rStyle w:val="Hyperlink"/>
            <w:rFonts w:cs="Arial"/>
            <w:sz w:val="24"/>
            <w:szCs w:val="24"/>
          </w:rPr>
          <w:t xml:space="preserve">Trust </w:t>
        </w:r>
        <w:r w:rsidR="00FB253A" w:rsidRPr="00FB253A">
          <w:rPr>
            <w:rStyle w:val="Hyperlink"/>
            <w:rFonts w:cs="Arial"/>
            <w:sz w:val="24"/>
            <w:szCs w:val="24"/>
          </w:rPr>
          <w:t>w</w:t>
        </w:r>
        <w:r w:rsidRPr="00FB253A">
          <w:rPr>
            <w:rStyle w:val="Hyperlink"/>
            <w:rFonts w:cs="Arial"/>
            <w:sz w:val="24"/>
            <w:szCs w:val="24"/>
          </w:rPr>
          <w:t>ebsite</w:t>
        </w:r>
      </w:hyperlink>
      <w:r w:rsidR="00D76C04" w:rsidRPr="00FB253A">
        <w:rPr>
          <w:rFonts w:cs="Arial"/>
          <w:color w:val="000000" w:themeColor="text1"/>
          <w:sz w:val="24"/>
          <w:szCs w:val="24"/>
        </w:rPr>
        <w:t>.</w:t>
      </w:r>
      <w:r w:rsidR="00FB253A" w:rsidRPr="00FB253A">
        <w:rPr>
          <w:rFonts w:cs="Arial"/>
          <w:color w:val="000000" w:themeColor="text1"/>
          <w:sz w:val="24"/>
          <w:szCs w:val="24"/>
        </w:rPr>
        <w:t xml:space="preserve">  </w:t>
      </w:r>
      <w:r w:rsidR="00D76C04" w:rsidRPr="00FB253A">
        <w:rPr>
          <w:rFonts w:cs="Arial"/>
          <w:color w:val="000000" w:themeColor="text1"/>
          <w:sz w:val="24"/>
          <w:szCs w:val="24"/>
        </w:rPr>
        <w:t xml:space="preserve">Our Trust Structure is accessible </w:t>
      </w:r>
      <w:hyperlink r:id="rId12" w:history="1">
        <w:r w:rsidR="00D76C04" w:rsidRPr="00FB253A">
          <w:rPr>
            <w:rStyle w:val="Hyperlink"/>
            <w:rFonts w:cs="Arial"/>
            <w:sz w:val="24"/>
            <w:szCs w:val="24"/>
          </w:rPr>
          <w:t>here</w:t>
        </w:r>
      </w:hyperlink>
      <w:r w:rsidR="00D76C04" w:rsidRPr="00FB253A">
        <w:rPr>
          <w:rFonts w:cs="Arial"/>
          <w:color w:val="000000" w:themeColor="text1"/>
          <w:sz w:val="24"/>
          <w:szCs w:val="24"/>
        </w:rPr>
        <w:t>.</w:t>
      </w:r>
    </w:p>
    <w:p w14:paraId="18A46E6B" w14:textId="52691779" w:rsidR="00980092" w:rsidRPr="00F57973" w:rsidRDefault="003A4DB9" w:rsidP="000C1343">
      <w:pPr>
        <w:pStyle w:val="Heading1"/>
        <w:spacing w:line="240" w:lineRule="auto"/>
        <w:rPr>
          <w:rFonts w:cs="Arial"/>
        </w:rPr>
      </w:pPr>
      <w:bookmarkStart w:id="5" w:name="_Toc205755274"/>
      <w:r w:rsidRPr="00F57973">
        <w:rPr>
          <w:rFonts w:cs="Arial"/>
        </w:rPr>
        <w:t>Our Values</w:t>
      </w:r>
      <w:bookmarkEnd w:id="5"/>
    </w:p>
    <w:p w14:paraId="01D5C06D" w14:textId="00C4CACB" w:rsidR="00980092" w:rsidRPr="00F57973" w:rsidRDefault="00980092" w:rsidP="00A81FAB">
      <w:pPr>
        <w:pStyle w:val="ListParagraph"/>
        <w:numPr>
          <w:ilvl w:val="1"/>
          <w:numId w:val="20"/>
        </w:numPr>
        <w:spacing w:after="120" w:line="240" w:lineRule="auto"/>
        <w:contextualSpacing w:val="0"/>
        <w:rPr>
          <w:rFonts w:cs="Arial"/>
          <w:sz w:val="24"/>
          <w:szCs w:val="24"/>
        </w:rPr>
      </w:pPr>
      <w:bookmarkStart w:id="6" w:name="_Toc160631421"/>
      <w:r w:rsidRPr="00F57973">
        <w:rPr>
          <w:rFonts w:cs="Arial"/>
          <w:sz w:val="24"/>
          <w:szCs w:val="24"/>
        </w:rPr>
        <w:t>We are committed to improving how it feels to be a patient being cared for in our Trust, and how it feels to work here.</w:t>
      </w:r>
      <w:bookmarkEnd w:id="6"/>
    </w:p>
    <w:p w14:paraId="2E6D72FB" w14:textId="14FAE3FD" w:rsidR="000135CE" w:rsidRPr="00F57973" w:rsidRDefault="00980092"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t>Our values were developed using feedback from staff, patients and stakeholders to support us to deliver the culture we aspire to. They apply to every one of us, irrespective of role, seniority or base.</w:t>
      </w:r>
    </w:p>
    <w:p w14:paraId="05C44DD3" w14:textId="6C543070" w:rsidR="00E655FF" w:rsidRPr="000C1343" w:rsidRDefault="00E655FF" w:rsidP="000C1343">
      <w:pPr>
        <w:pStyle w:val="ListParagraph"/>
        <w:numPr>
          <w:ilvl w:val="1"/>
          <w:numId w:val="20"/>
        </w:numPr>
        <w:spacing w:after="240" w:line="240" w:lineRule="auto"/>
        <w:contextualSpacing w:val="0"/>
        <w:rPr>
          <w:rFonts w:cs="Arial"/>
          <w:sz w:val="24"/>
          <w:szCs w:val="24"/>
        </w:rPr>
      </w:pPr>
      <w:r w:rsidRPr="00F57973">
        <w:rPr>
          <w:rFonts w:cs="Arial"/>
          <w:sz w:val="24"/>
          <w:szCs w:val="24"/>
        </w:rPr>
        <w:t xml:space="preserve">Everything we do is underpinned by our values: </w:t>
      </w:r>
      <w:r w:rsidR="00F96AD0">
        <w:rPr>
          <w:rFonts w:cs="Arial"/>
          <w:sz w:val="24"/>
          <w:szCs w:val="24"/>
        </w:rPr>
        <w:t>p</w:t>
      </w:r>
      <w:r w:rsidRPr="00F57973">
        <w:rPr>
          <w:rFonts w:cs="Arial"/>
          <w:sz w:val="24"/>
          <w:szCs w:val="24"/>
        </w:rPr>
        <w:t>eople feel cared for, safe, respected and confident we are making a difference.</w:t>
      </w:r>
    </w:p>
    <w:p w14:paraId="61555D98" w14:textId="76762B71" w:rsidR="00980092" w:rsidRPr="00F57973" w:rsidRDefault="00980092" w:rsidP="000C1343">
      <w:pPr>
        <w:pStyle w:val="Heading1"/>
        <w:spacing w:line="240" w:lineRule="auto"/>
        <w:rPr>
          <w:rFonts w:cs="Arial"/>
        </w:rPr>
      </w:pPr>
      <w:bookmarkStart w:id="7" w:name="_Toc205755275"/>
      <w:r w:rsidRPr="00F57973">
        <w:rPr>
          <w:rFonts w:cs="Arial"/>
        </w:rPr>
        <w:t>Our Vision</w:t>
      </w:r>
      <w:bookmarkEnd w:id="7"/>
    </w:p>
    <w:p w14:paraId="22F46E1B" w14:textId="6289437D" w:rsidR="00980092" w:rsidRPr="00F57973" w:rsidRDefault="00980092" w:rsidP="00A81FAB">
      <w:pPr>
        <w:pStyle w:val="ListParagraph"/>
        <w:numPr>
          <w:ilvl w:val="1"/>
          <w:numId w:val="20"/>
        </w:numPr>
        <w:spacing w:after="120" w:line="240" w:lineRule="auto"/>
        <w:contextualSpacing w:val="0"/>
        <w:rPr>
          <w:rFonts w:cs="Arial"/>
          <w:sz w:val="24"/>
          <w:szCs w:val="24"/>
        </w:rPr>
      </w:pPr>
      <w:bookmarkStart w:id="8" w:name="_Hlk160539832"/>
      <w:r w:rsidRPr="00F57973">
        <w:rPr>
          <w:rFonts w:cs="Arial"/>
          <w:sz w:val="24"/>
          <w:szCs w:val="24"/>
        </w:rPr>
        <w:t xml:space="preserve">Our mission is improving health and wellbeing and our vision is to deliver </w:t>
      </w:r>
      <w:r w:rsidR="00F96AD0">
        <w:rPr>
          <w:rFonts w:cs="Arial"/>
          <w:sz w:val="24"/>
          <w:szCs w:val="24"/>
        </w:rPr>
        <w:t>“</w:t>
      </w:r>
      <w:r w:rsidRPr="00F57973">
        <w:rPr>
          <w:rFonts w:cs="Arial"/>
          <w:sz w:val="24"/>
          <w:szCs w:val="24"/>
        </w:rPr>
        <w:t>great healthcare from great people</w:t>
      </w:r>
      <w:r w:rsidR="00F96AD0">
        <w:rPr>
          <w:rFonts w:cs="Arial"/>
          <w:sz w:val="24"/>
          <w:szCs w:val="24"/>
        </w:rPr>
        <w:t>”</w:t>
      </w:r>
      <w:r w:rsidRPr="00F57973">
        <w:rPr>
          <w:rFonts w:cs="Arial"/>
          <w:sz w:val="24"/>
          <w:szCs w:val="24"/>
        </w:rPr>
        <w:t>.</w:t>
      </w:r>
    </w:p>
    <w:p w14:paraId="43C96823" w14:textId="520163BD" w:rsidR="00172D67" w:rsidRPr="00F57973" w:rsidRDefault="00172D67"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lastRenderedPageBreak/>
        <w:t>Our strategic themes are Quality and Safety, Patients, People, Partnerships, Sustainability and Research.</w:t>
      </w:r>
    </w:p>
    <w:p w14:paraId="6E16498F" w14:textId="184DD0E9" w:rsidR="00172D67" w:rsidRDefault="00172D67" w:rsidP="00377581">
      <w:pPr>
        <w:pStyle w:val="ListParagraph"/>
        <w:numPr>
          <w:ilvl w:val="1"/>
          <w:numId w:val="20"/>
        </w:numPr>
        <w:spacing w:after="240" w:line="240" w:lineRule="auto"/>
        <w:contextualSpacing w:val="0"/>
        <w:rPr>
          <w:rFonts w:cs="Arial"/>
          <w:sz w:val="24"/>
          <w:szCs w:val="24"/>
        </w:rPr>
      </w:pPr>
      <w:r w:rsidRPr="00F57973">
        <w:rPr>
          <w:rFonts w:cs="Arial"/>
          <w:sz w:val="24"/>
          <w:szCs w:val="24"/>
        </w:rPr>
        <w:t xml:space="preserve">Our pillars of change and strategic objectives are driven by our response to </w:t>
      </w:r>
      <w:r w:rsidR="00E655FF" w:rsidRPr="00F57973">
        <w:rPr>
          <w:rFonts w:cs="Arial"/>
          <w:sz w:val="24"/>
          <w:szCs w:val="24"/>
        </w:rPr>
        <w:t>the</w:t>
      </w:r>
      <w:r w:rsidRPr="00F57973">
        <w:rPr>
          <w:rFonts w:cs="Arial"/>
          <w:sz w:val="24"/>
          <w:szCs w:val="24"/>
        </w:rPr>
        <w:t xml:space="preserve"> Reading the Signals</w:t>
      </w:r>
      <w:r w:rsidR="00E655FF" w:rsidRPr="00F57973">
        <w:rPr>
          <w:rFonts w:cs="Arial"/>
          <w:sz w:val="24"/>
          <w:szCs w:val="24"/>
        </w:rPr>
        <w:t xml:space="preserve"> report (Kirkup, 2022)</w:t>
      </w:r>
      <w:r w:rsidRPr="00F57973">
        <w:rPr>
          <w:rFonts w:cs="Arial"/>
          <w:sz w:val="24"/>
          <w:szCs w:val="24"/>
        </w:rPr>
        <w:t>, the importance of meeting national standards for planned, cancer and emergency care, learning from our annual Staff Survey results and Culture and Leadership Programme, and the need to be financially sustainable by providing better care and reducing waste.</w:t>
      </w:r>
    </w:p>
    <w:p w14:paraId="7C5428F2" w14:textId="77777777" w:rsidR="00A1500C" w:rsidRPr="00377581" w:rsidRDefault="00A1500C" w:rsidP="00A1500C">
      <w:pPr>
        <w:pStyle w:val="ListParagraph"/>
        <w:spacing w:after="240" w:line="240" w:lineRule="auto"/>
        <w:ind w:left="567"/>
        <w:contextualSpacing w:val="0"/>
        <w:rPr>
          <w:rFonts w:cs="Arial"/>
          <w:sz w:val="24"/>
          <w:szCs w:val="24"/>
        </w:rPr>
      </w:pPr>
    </w:p>
    <w:p w14:paraId="78C89A9C" w14:textId="371CE3F9" w:rsidR="004B2A05" w:rsidRPr="00F57973" w:rsidRDefault="00C55760" w:rsidP="00377581">
      <w:pPr>
        <w:pStyle w:val="Heading1"/>
        <w:spacing w:line="240" w:lineRule="auto"/>
        <w:rPr>
          <w:rFonts w:cs="Arial"/>
        </w:rPr>
      </w:pPr>
      <w:bookmarkStart w:id="9" w:name="_Toc205755276"/>
      <w:bookmarkEnd w:id="8"/>
      <w:r w:rsidRPr="00F57973">
        <w:rPr>
          <w:rFonts w:cs="Arial"/>
        </w:rPr>
        <w:t>O</w:t>
      </w:r>
      <w:r w:rsidR="00116B91" w:rsidRPr="00F57973">
        <w:rPr>
          <w:rFonts w:cs="Arial"/>
        </w:rPr>
        <w:t xml:space="preserve">ur </w:t>
      </w:r>
      <w:r w:rsidR="00FA021A" w:rsidRPr="00F57973">
        <w:rPr>
          <w:rFonts w:cs="Arial"/>
        </w:rPr>
        <w:t>P</w:t>
      </w:r>
      <w:r w:rsidR="00116B91" w:rsidRPr="00F57973">
        <w:rPr>
          <w:rFonts w:cs="Arial"/>
        </w:rPr>
        <w:t xml:space="preserve">atient </w:t>
      </w:r>
      <w:r w:rsidR="00FA021A" w:rsidRPr="00F57973">
        <w:rPr>
          <w:rFonts w:cs="Arial"/>
        </w:rPr>
        <w:t>S</w:t>
      </w:r>
      <w:r w:rsidR="00116B91" w:rsidRPr="00F57973">
        <w:rPr>
          <w:rFonts w:cs="Arial"/>
        </w:rPr>
        <w:t>afety</w:t>
      </w:r>
      <w:r w:rsidR="00E8083E" w:rsidRPr="00F57973">
        <w:rPr>
          <w:rFonts w:cs="Arial"/>
        </w:rPr>
        <w:t xml:space="preserve"> </w:t>
      </w:r>
      <w:r w:rsidR="00FA021A" w:rsidRPr="00F57973">
        <w:rPr>
          <w:rFonts w:cs="Arial"/>
        </w:rPr>
        <w:t>P</w:t>
      </w:r>
      <w:r w:rsidR="00E8083E" w:rsidRPr="00F57973">
        <w:rPr>
          <w:rFonts w:cs="Arial"/>
        </w:rPr>
        <w:t>rofile</w:t>
      </w:r>
      <w:bookmarkEnd w:id="9"/>
    </w:p>
    <w:p w14:paraId="15448CFA" w14:textId="467CFC9A" w:rsidR="00A87AE2" w:rsidRPr="00F57973" w:rsidRDefault="008E7559"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t xml:space="preserve">Analysis of our incident data indicates the </w:t>
      </w:r>
      <w:r w:rsidR="00EE2758" w:rsidRPr="00F57973">
        <w:rPr>
          <w:rFonts w:cs="Arial"/>
          <w:sz w:val="24"/>
          <w:szCs w:val="24"/>
        </w:rPr>
        <w:t xml:space="preserve">top five </w:t>
      </w:r>
      <w:r w:rsidRPr="00F57973">
        <w:rPr>
          <w:rFonts w:cs="Arial"/>
          <w:sz w:val="24"/>
          <w:szCs w:val="24"/>
        </w:rPr>
        <w:t xml:space="preserve">commonest types of incidents remains unchanged since we implemented our </w:t>
      </w:r>
      <w:r w:rsidR="00C1651C" w:rsidRPr="00F57973">
        <w:rPr>
          <w:rFonts w:cs="Arial"/>
          <w:sz w:val="24"/>
          <w:szCs w:val="24"/>
        </w:rPr>
        <w:t xml:space="preserve">original </w:t>
      </w:r>
      <w:r w:rsidRPr="00F57973">
        <w:rPr>
          <w:rFonts w:cs="Arial"/>
          <w:sz w:val="24"/>
          <w:szCs w:val="24"/>
        </w:rPr>
        <w:t>plan in June 2024</w:t>
      </w:r>
      <w:r w:rsidR="00F96AD0">
        <w:rPr>
          <w:rFonts w:cs="Arial"/>
          <w:sz w:val="24"/>
          <w:szCs w:val="24"/>
        </w:rPr>
        <w:t xml:space="preserve"> (Table 1)</w:t>
      </w:r>
      <w:r w:rsidRPr="00F57973">
        <w:rPr>
          <w:rFonts w:cs="Arial"/>
          <w:sz w:val="24"/>
          <w:szCs w:val="24"/>
        </w:rPr>
        <w:t xml:space="preserve">.  </w:t>
      </w:r>
      <w:r w:rsidR="00A87AE2" w:rsidRPr="00F57973">
        <w:rPr>
          <w:rFonts w:cs="Arial"/>
          <w:sz w:val="24"/>
          <w:szCs w:val="24"/>
        </w:rPr>
        <w:t xml:space="preserve">The Trust reports approximately 20 </w:t>
      </w:r>
      <w:r w:rsidR="00C1651C" w:rsidRPr="00F57973">
        <w:rPr>
          <w:rFonts w:cs="Arial"/>
          <w:sz w:val="24"/>
          <w:szCs w:val="24"/>
        </w:rPr>
        <w:t>to</w:t>
      </w:r>
      <w:r w:rsidR="00A87AE2" w:rsidRPr="00F57973">
        <w:rPr>
          <w:rFonts w:cs="Arial"/>
          <w:sz w:val="24"/>
          <w:szCs w:val="24"/>
        </w:rPr>
        <w:t xml:space="preserve"> 25 thousand incidents per year. </w:t>
      </w:r>
    </w:p>
    <w:tbl>
      <w:tblPr>
        <w:tblStyle w:val="TableGrid"/>
        <w:tblW w:w="8222" w:type="dxa"/>
        <w:tblInd w:w="562" w:type="dxa"/>
        <w:tblCellMar>
          <w:top w:w="57" w:type="dxa"/>
          <w:bottom w:w="57" w:type="dxa"/>
        </w:tblCellMar>
        <w:tblLook w:val="04A0" w:firstRow="1" w:lastRow="0" w:firstColumn="1" w:lastColumn="0" w:noHBand="0" w:noVBand="1"/>
      </w:tblPr>
      <w:tblGrid>
        <w:gridCol w:w="4169"/>
        <w:gridCol w:w="1351"/>
        <w:gridCol w:w="1351"/>
        <w:gridCol w:w="1351"/>
      </w:tblGrid>
      <w:tr w:rsidR="00EE2758" w:rsidRPr="00F57973" w14:paraId="50C19CF8" w14:textId="7272609E" w:rsidTr="00A81FAB">
        <w:trPr>
          <w:trHeight w:val="20"/>
        </w:trPr>
        <w:tc>
          <w:tcPr>
            <w:tcW w:w="4169" w:type="dxa"/>
            <w:shd w:val="clear" w:color="auto" w:fill="DDEEFF"/>
          </w:tcPr>
          <w:p w14:paraId="3116C1C8" w14:textId="77777777" w:rsidR="00EE2758" w:rsidRPr="00F57973" w:rsidRDefault="00EE2758" w:rsidP="00D65738">
            <w:pPr>
              <w:rPr>
                <w:rFonts w:cs="Arial"/>
                <w:b/>
                <w:bCs/>
                <w:sz w:val="24"/>
                <w:szCs w:val="24"/>
              </w:rPr>
            </w:pPr>
            <w:r w:rsidRPr="00F57973">
              <w:rPr>
                <w:rFonts w:cs="Arial"/>
                <w:b/>
                <w:bCs/>
                <w:sz w:val="24"/>
                <w:szCs w:val="24"/>
              </w:rPr>
              <w:t>Patient Safety Incident Type</w:t>
            </w:r>
          </w:p>
        </w:tc>
        <w:tc>
          <w:tcPr>
            <w:tcW w:w="1351" w:type="dxa"/>
            <w:shd w:val="clear" w:color="auto" w:fill="DDEEFF"/>
            <w:vAlign w:val="center"/>
          </w:tcPr>
          <w:p w14:paraId="2851EE0C" w14:textId="77777777" w:rsidR="00EE2758" w:rsidRPr="00F57973" w:rsidRDefault="00EE2758" w:rsidP="00D65738">
            <w:pPr>
              <w:jc w:val="center"/>
              <w:rPr>
                <w:rFonts w:cs="Arial"/>
                <w:b/>
                <w:bCs/>
                <w:sz w:val="24"/>
                <w:szCs w:val="24"/>
              </w:rPr>
            </w:pPr>
            <w:r w:rsidRPr="00F57973">
              <w:rPr>
                <w:rFonts w:cs="Arial"/>
                <w:b/>
                <w:bCs/>
                <w:sz w:val="24"/>
                <w:szCs w:val="24"/>
              </w:rPr>
              <w:t>2022/2023</w:t>
            </w:r>
          </w:p>
        </w:tc>
        <w:tc>
          <w:tcPr>
            <w:tcW w:w="1351" w:type="dxa"/>
            <w:shd w:val="clear" w:color="auto" w:fill="DDEEFF"/>
            <w:vAlign w:val="center"/>
          </w:tcPr>
          <w:p w14:paraId="1EB8B475" w14:textId="7A843087" w:rsidR="00EE2758" w:rsidRPr="00F57973" w:rsidRDefault="00EE2758" w:rsidP="00D65738">
            <w:pPr>
              <w:jc w:val="center"/>
              <w:rPr>
                <w:rFonts w:cs="Arial"/>
                <w:b/>
                <w:bCs/>
                <w:sz w:val="24"/>
                <w:szCs w:val="24"/>
              </w:rPr>
            </w:pPr>
            <w:r w:rsidRPr="00F57973">
              <w:rPr>
                <w:rFonts w:cs="Arial"/>
                <w:b/>
                <w:bCs/>
                <w:sz w:val="24"/>
                <w:szCs w:val="24"/>
              </w:rPr>
              <w:t>2023/2024</w:t>
            </w:r>
          </w:p>
        </w:tc>
        <w:tc>
          <w:tcPr>
            <w:tcW w:w="1351" w:type="dxa"/>
            <w:shd w:val="clear" w:color="auto" w:fill="DDEEFF"/>
            <w:vAlign w:val="center"/>
          </w:tcPr>
          <w:p w14:paraId="28F18D74" w14:textId="1124FB76" w:rsidR="00EE2758" w:rsidRPr="00F57973" w:rsidRDefault="00EE2758" w:rsidP="00D65738">
            <w:pPr>
              <w:jc w:val="center"/>
              <w:rPr>
                <w:rFonts w:cs="Arial"/>
                <w:b/>
                <w:bCs/>
                <w:sz w:val="24"/>
                <w:szCs w:val="24"/>
              </w:rPr>
            </w:pPr>
            <w:r w:rsidRPr="00F57973">
              <w:rPr>
                <w:rFonts w:cs="Arial"/>
                <w:b/>
                <w:bCs/>
                <w:sz w:val="24"/>
                <w:szCs w:val="24"/>
              </w:rPr>
              <w:t>2024/2025</w:t>
            </w:r>
          </w:p>
        </w:tc>
      </w:tr>
      <w:tr w:rsidR="00EE2758" w:rsidRPr="00F57973" w14:paraId="1F9EFF0D" w14:textId="2F211918" w:rsidTr="00A81FAB">
        <w:trPr>
          <w:trHeight w:val="20"/>
        </w:trPr>
        <w:tc>
          <w:tcPr>
            <w:tcW w:w="4169" w:type="dxa"/>
          </w:tcPr>
          <w:p w14:paraId="64976781" w14:textId="11B5872C" w:rsidR="00EE2758" w:rsidRPr="00F57973" w:rsidRDefault="00EE2758" w:rsidP="00D65738">
            <w:pPr>
              <w:rPr>
                <w:rFonts w:cs="Arial"/>
                <w:bCs/>
                <w:sz w:val="24"/>
                <w:szCs w:val="24"/>
              </w:rPr>
            </w:pPr>
            <w:r w:rsidRPr="00F57973">
              <w:rPr>
                <w:rFonts w:cs="Arial"/>
                <w:bCs/>
                <w:sz w:val="24"/>
                <w:szCs w:val="24"/>
              </w:rPr>
              <w:t>Tissue viability (including admitted with pressure damage)</w:t>
            </w:r>
          </w:p>
        </w:tc>
        <w:tc>
          <w:tcPr>
            <w:tcW w:w="1351" w:type="dxa"/>
            <w:vAlign w:val="center"/>
          </w:tcPr>
          <w:p w14:paraId="5C2F0B2B" w14:textId="77777777" w:rsidR="00EE2758" w:rsidRPr="00F57973" w:rsidRDefault="00EE2758" w:rsidP="00D65738">
            <w:pPr>
              <w:jc w:val="center"/>
              <w:rPr>
                <w:rFonts w:cs="Arial"/>
                <w:bCs/>
                <w:sz w:val="24"/>
                <w:szCs w:val="24"/>
              </w:rPr>
            </w:pPr>
            <w:r w:rsidRPr="00F57973">
              <w:rPr>
                <w:rFonts w:cs="Arial"/>
                <w:bCs/>
                <w:sz w:val="24"/>
                <w:szCs w:val="24"/>
              </w:rPr>
              <w:t>5184</w:t>
            </w:r>
          </w:p>
        </w:tc>
        <w:tc>
          <w:tcPr>
            <w:tcW w:w="1351" w:type="dxa"/>
            <w:vAlign w:val="center"/>
          </w:tcPr>
          <w:p w14:paraId="39D4AD12" w14:textId="33D31702" w:rsidR="00EE2758" w:rsidRPr="00F57973" w:rsidRDefault="00EE2758" w:rsidP="00D65738">
            <w:pPr>
              <w:jc w:val="center"/>
              <w:rPr>
                <w:rFonts w:cs="Arial"/>
                <w:bCs/>
                <w:sz w:val="24"/>
                <w:szCs w:val="24"/>
              </w:rPr>
            </w:pPr>
            <w:r w:rsidRPr="00F57973">
              <w:rPr>
                <w:rFonts w:cs="Arial"/>
                <w:bCs/>
                <w:sz w:val="24"/>
                <w:szCs w:val="24"/>
              </w:rPr>
              <w:t>5663</w:t>
            </w:r>
          </w:p>
        </w:tc>
        <w:tc>
          <w:tcPr>
            <w:tcW w:w="1351" w:type="dxa"/>
            <w:vAlign w:val="center"/>
          </w:tcPr>
          <w:p w14:paraId="23CC80E4" w14:textId="41CAF310" w:rsidR="00EE2758" w:rsidRPr="00F57973" w:rsidRDefault="00EE2758" w:rsidP="00D65738">
            <w:pPr>
              <w:jc w:val="center"/>
              <w:rPr>
                <w:rFonts w:cs="Arial"/>
                <w:bCs/>
                <w:sz w:val="24"/>
                <w:szCs w:val="24"/>
              </w:rPr>
            </w:pPr>
            <w:r w:rsidRPr="00F57973">
              <w:rPr>
                <w:rFonts w:cs="Arial"/>
                <w:bCs/>
                <w:sz w:val="24"/>
                <w:szCs w:val="24"/>
              </w:rPr>
              <w:t>5735</w:t>
            </w:r>
          </w:p>
        </w:tc>
      </w:tr>
      <w:tr w:rsidR="00EE2758" w:rsidRPr="00F57973" w14:paraId="5BDA385A" w14:textId="77777777" w:rsidTr="00A81FAB">
        <w:trPr>
          <w:trHeight w:val="20"/>
        </w:trPr>
        <w:tc>
          <w:tcPr>
            <w:tcW w:w="4169" w:type="dxa"/>
          </w:tcPr>
          <w:p w14:paraId="5EC29CFA" w14:textId="77777777" w:rsidR="00EE2758" w:rsidRPr="00F57973" w:rsidRDefault="00EE2758" w:rsidP="00D65738">
            <w:pPr>
              <w:rPr>
                <w:rFonts w:cs="Arial"/>
                <w:bCs/>
                <w:sz w:val="24"/>
                <w:szCs w:val="24"/>
              </w:rPr>
            </w:pPr>
            <w:r w:rsidRPr="00F57973">
              <w:rPr>
                <w:rFonts w:cs="Arial"/>
                <w:bCs/>
                <w:sz w:val="24"/>
                <w:szCs w:val="24"/>
              </w:rPr>
              <w:t xml:space="preserve">Delay / Failure </w:t>
            </w:r>
          </w:p>
        </w:tc>
        <w:tc>
          <w:tcPr>
            <w:tcW w:w="1351" w:type="dxa"/>
            <w:vAlign w:val="center"/>
          </w:tcPr>
          <w:p w14:paraId="6FF486A5" w14:textId="7EA9BC40" w:rsidR="00EE2758" w:rsidRPr="00F57973" w:rsidRDefault="00EE2758" w:rsidP="00D65738">
            <w:pPr>
              <w:jc w:val="center"/>
              <w:rPr>
                <w:rFonts w:cs="Arial"/>
                <w:bCs/>
                <w:sz w:val="24"/>
                <w:szCs w:val="24"/>
              </w:rPr>
            </w:pPr>
            <w:r w:rsidRPr="00F57973">
              <w:rPr>
                <w:rFonts w:cs="Arial"/>
                <w:bCs/>
                <w:sz w:val="24"/>
                <w:szCs w:val="24"/>
              </w:rPr>
              <w:t>4108</w:t>
            </w:r>
          </w:p>
        </w:tc>
        <w:tc>
          <w:tcPr>
            <w:tcW w:w="1351" w:type="dxa"/>
            <w:vAlign w:val="center"/>
          </w:tcPr>
          <w:p w14:paraId="12DE5EDB" w14:textId="566B0E34" w:rsidR="00EE2758" w:rsidRPr="00F57973" w:rsidRDefault="00EE2758" w:rsidP="00D65738">
            <w:pPr>
              <w:jc w:val="center"/>
              <w:rPr>
                <w:rFonts w:cs="Arial"/>
                <w:bCs/>
                <w:sz w:val="24"/>
                <w:szCs w:val="24"/>
              </w:rPr>
            </w:pPr>
            <w:r w:rsidRPr="00F57973">
              <w:rPr>
                <w:rFonts w:cs="Arial"/>
                <w:bCs/>
                <w:sz w:val="24"/>
                <w:szCs w:val="24"/>
              </w:rPr>
              <w:t>3833</w:t>
            </w:r>
          </w:p>
        </w:tc>
        <w:tc>
          <w:tcPr>
            <w:tcW w:w="1351" w:type="dxa"/>
            <w:vAlign w:val="center"/>
          </w:tcPr>
          <w:p w14:paraId="77E9B539" w14:textId="6F0899A8" w:rsidR="00EE2758" w:rsidRPr="00F57973" w:rsidRDefault="00EE2758" w:rsidP="00D65738">
            <w:pPr>
              <w:jc w:val="center"/>
              <w:rPr>
                <w:rFonts w:cs="Arial"/>
                <w:bCs/>
                <w:sz w:val="24"/>
                <w:szCs w:val="24"/>
              </w:rPr>
            </w:pPr>
            <w:r w:rsidRPr="00F57973">
              <w:rPr>
                <w:rFonts w:cs="Arial"/>
                <w:bCs/>
                <w:sz w:val="24"/>
                <w:szCs w:val="24"/>
              </w:rPr>
              <w:t>2766</w:t>
            </w:r>
          </w:p>
        </w:tc>
      </w:tr>
      <w:tr w:rsidR="00EE2758" w:rsidRPr="00F57973" w14:paraId="49C471F0" w14:textId="77797621" w:rsidTr="00A81FAB">
        <w:trPr>
          <w:trHeight w:val="20"/>
        </w:trPr>
        <w:tc>
          <w:tcPr>
            <w:tcW w:w="4169" w:type="dxa"/>
          </w:tcPr>
          <w:p w14:paraId="31AB4C92" w14:textId="77777777" w:rsidR="00EE2758" w:rsidRPr="00F57973" w:rsidRDefault="00EE2758" w:rsidP="00D65738">
            <w:pPr>
              <w:rPr>
                <w:rFonts w:cs="Arial"/>
                <w:bCs/>
                <w:sz w:val="24"/>
                <w:szCs w:val="24"/>
              </w:rPr>
            </w:pPr>
            <w:r w:rsidRPr="00F57973">
              <w:rPr>
                <w:rFonts w:cs="Arial"/>
                <w:bCs/>
                <w:sz w:val="24"/>
                <w:szCs w:val="24"/>
              </w:rPr>
              <w:t xml:space="preserve">Care and Treatment </w:t>
            </w:r>
          </w:p>
        </w:tc>
        <w:tc>
          <w:tcPr>
            <w:tcW w:w="1351" w:type="dxa"/>
            <w:vAlign w:val="center"/>
          </w:tcPr>
          <w:p w14:paraId="48C949FF" w14:textId="77777777" w:rsidR="00EE2758" w:rsidRPr="00F57973" w:rsidRDefault="00EE2758" w:rsidP="00D65738">
            <w:pPr>
              <w:jc w:val="center"/>
              <w:rPr>
                <w:rFonts w:cs="Arial"/>
                <w:bCs/>
                <w:sz w:val="24"/>
                <w:szCs w:val="24"/>
              </w:rPr>
            </w:pPr>
            <w:r w:rsidRPr="00F57973">
              <w:rPr>
                <w:rFonts w:cs="Arial"/>
                <w:bCs/>
                <w:sz w:val="24"/>
                <w:szCs w:val="24"/>
              </w:rPr>
              <w:t>2496</w:t>
            </w:r>
          </w:p>
        </w:tc>
        <w:tc>
          <w:tcPr>
            <w:tcW w:w="1351" w:type="dxa"/>
            <w:vAlign w:val="center"/>
          </w:tcPr>
          <w:p w14:paraId="3C2CF832" w14:textId="5180F77B" w:rsidR="00EE2758" w:rsidRPr="00F57973" w:rsidRDefault="00EE2758" w:rsidP="00D65738">
            <w:pPr>
              <w:jc w:val="center"/>
              <w:rPr>
                <w:rFonts w:cs="Arial"/>
                <w:bCs/>
                <w:sz w:val="24"/>
                <w:szCs w:val="24"/>
              </w:rPr>
            </w:pPr>
            <w:r w:rsidRPr="00F57973">
              <w:rPr>
                <w:rFonts w:cs="Arial"/>
                <w:bCs/>
                <w:sz w:val="24"/>
                <w:szCs w:val="24"/>
              </w:rPr>
              <w:t>3098</w:t>
            </w:r>
          </w:p>
        </w:tc>
        <w:tc>
          <w:tcPr>
            <w:tcW w:w="1351" w:type="dxa"/>
            <w:vAlign w:val="center"/>
          </w:tcPr>
          <w:p w14:paraId="09B5BEE3" w14:textId="2857E42B" w:rsidR="00EE2758" w:rsidRPr="00F57973" w:rsidRDefault="00EE2758" w:rsidP="00D65738">
            <w:pPr>
              <w:jc w:val="center"/>
              <w:rPr>
                <w:rFonts w:cs="Arial"/>
                <w:bCs/>
                <w:sz w:val="24"/>
                <w:szCs w:val="24"/>
              </w:rPr>
            </w:pPr>
            <w:r w:rsidRPr="00F57973">
              <w:rPr>
                <w:rFonts w:cs="Arial"/>
                <w:bCs/>
                <w:sz w:val="24"/>
                <w:szCs w:val="24"/>
              </w:rPr>
              <w:t>3539</w:t>
            </w:r>
          </w:p>
        </w:tc>
      </w:tr>
      <w:tr w:rsidR="00EE2758" w:rsidRPr="00F57973" w14:paraId="564E2BD7" w14:textId="1C68B759" w:rsidTr="00A81FAB">
        <w:trPr>
          <w:trHeight w:val="20"/>
        </w:trPr>
        <w:tc>
          <w:tcPr>
            <w:tcW w:w="4169" w:type="dxa"/>
          </w:tcPr>
          <w:p w14:paraId="1053F003" w14:textId="77777777" w:rsidR="00EE2758" w:rsidRPr="00F57973" w:rsidRDefault="00EE2758" w:rsidP="00D65738">
            <w:pPr>
              <w:rPr>
                <w:rFonts w:cs="Arial"/>
                <w:bCs/>
                <w:sz w:val="24"/>
                <w:szCs w:val="24"/>
              </w:rPr>
            </w:pPr>
            <w:r w:rsidRPr="00F57973">
              <w:rPr>
                <w:rFonts w:cs="Arial"/>
                <w:bCs/>
                <w:sz w:val="24"/>
                <w:szCs w:val="24"/>
              </w:rPr>
              <w:t xml:space="preserve">Medication </w:t>
            </w:r>
          </w:p>
        </w:tc>
        <w:tc>
          <w:tcPr>
            <w:tcW w:w="1351" w:type="dxa"/>
            <w:vAlign w:val="center"/>
          </w:tcPr>
          <w:p w14:paraId="3ED55121" w14:textId="77777777" w:rsidR="00EE2758" w:rsidRPr="00F57973" w:rsidRDefault="00EE2758" w:rsidP="00D65738">
            <w:pPr>
              <w:jc w:val="center"/>
              <w:rPr>
                <w:rFonts w:cs="Arial"/>
                <w:bCs/>
                <w:sz w:val="24"/>
                <w:szCs w:val="24"/>
              </w:rPr>
            </w:pPr>
            <w:r w:rsidRPr="00F57973">
              <w:rPr>
                <w:rFonts w:cs="Arial"/>
                <w:bCs/>
                <w:sz w:val="24"/>
                <w:szCs w:val="24"/>
              </w:rPr>
              <w:t>2115</w:t>
            </w:r>
          </w:p>
        </w:tc>
        <w:tc>
          <w:tcPr>
            <w:tcW w:w="1351" w:type="dxa"/>
            <w:vAlign w:val="center"/>
          </w:tcPr>
          <w:p w14:paraId="72043B3B" w14:textId="501A0CE6" w:rsidR="00EE2758" w:rsidRPr="00F57973" w:rsidRDefault="00EE2758" w:rsidP="00D65738">
            <w:pPr>
              <w:jc w:val="center"/>
              <w:rPr>
                <w:rFonts w:cs="Arial"/>
                <w:bCs/>
                <w:sz w:val="24"/>
                <w:szCs w:val="24"/>
              </w:rPr>
            </w:pPr>
            <w:r w:rsidRPr="00F57973">
              <w:rPr>
                <w:rFonts w:cs="Arial"/>
                <w:bCs/>
                <w:sz w:val="24"/>
                <w:szCs w:val="24"/>
              </w:rPr>
              <w:t>2277</w:t>
            </w:r>
          </w:p>
        </w:tc>
        <w:tc>
          <w:tcPr>
            <w:tcW w:w="1351" w:type="dxa"/>
            <w:vAlign w:val="center"/>
          </w:tcPr>
          <w:p w14:paraId="784EA39A" w14:textId="472679AB" w:rsidR="00EE2758" w:rsidRPr="00F57973" w:rsidRDefault="00EE2758" w:rsidP="00D65738">
            <w:pPr>
              <w:jc w:val="center"/>
              <w:rPr>
                <w:rFonts w:cs="Arial"/>
                <w:bCs/>
                <w:sz w:val="24"/>
                <w:szCs w:val="24"/>
              </w:rPr>
            </w:pPr>
            <w:r w:rsidRPr="00F57973">
              <w:rPr>
                <w:rFonts w:cs="Arial"/>
                <w:bCs/>
                <w:sz w:val="24"/>
                <w:szCs w:val="24"/>
              </w:rPr>
              <w:t>1951</w:t>
            </w:r>
          </w:p>
        </w:tc>
      </w:tr>
      <w:tr w:rsidR="00EE2758" w:rsidRPr="00F57973" w14:paraId="2A975859" w14:textId="7BE735B7" w:rsidTr="00A81FAB">
        <w:trPr>
          <w:trHeight w:val="20"/>
        </w:trPr>
        <w:tc>
          <w:tcPr>
            <w:tcW w:w="4169" w:type="dxa"/>
          </w:tcPr>
          <w:p w14:paraId="0FF4C8ED" w14:textId="77777777" w:rsidR="00EE2758" w:rsidRPr="00F57973" w:rsidRDefault="00EE2758" w:rsidP="00D65738">
            <w:pPr>
              <w:rPr>
                <w:rFonts w:cs="Arial"/>
                <w:bCs/>
                <w:sz w:val="24"/>
                <w:szCs w:val="24"/>
              </w:rPr>
            </w:pPr>
            <w:r w:rsidRPr="00F57973">
              <w:rPr>
                <w:rFonts w:cs="Arial"/>
                <w:bCs/>
                <w:sz w:val="24"/>
                <w:szCs w:val="24"/>
              </w:rPr>
              <w:t>Patient Falls</w:t>
            </w:r>
          </w:p>
        </w:tc>
        <w:tc>
          <w:tcPr>
            <w:tcW w:w="1351" w:type="dxa"/>
            <w:vAlign w:val="center"/>
          </w:tcPr>
          <w:p w14:paraId="1A2881E5" w14:textId="77777777" w:rsidR="00EE2758" w:rsidRPr="00F57973" w:rsidRDefault="00EE2758" w:rsidP="00D65738">
            <w:pPr>
              <w:jc w:val="center"/>
              <w:rPr>
                <w:rFonts w:cs="Arial"/>
                <w:bCs/>
                <w:sz w:val="24"/>
                <w:szCs w:val="24"/>
              </w:rPr>
            </w:pPr>
            <w:r w:rsidRPr="00F57973">
              <w:rPr>
                <w:rFonts w:cs="Arial"/>
                <w:bCs/>
                <w:sz w:val="24"/>
                <w:szCs w:val="24"/>
              </w:rPr>
              <w:t>2066</w:t>
            </w:r>
          </w:p>
        </w:tc>
        <w:tc>
          <w:tcPr>
            <w:tcW w:w="1351" w:type="dxa"/>
            <w:vAlign w:val="center"/>
          </w:tcPr>
          <w:p w14:paraId="562837B1" w14:textId="785FCA4F" w:rsidR="00EE2758" w:rsidRPr="00F57973" w:rsidRDefault="00EE2758" w:rsidP="00D65738">
            <w:pPr>
              <w:jc w:val="center"/>
              <w:rPr>
                <w:rFonts w:cs="Arial"/>
                <w:bCs/>
                <w:sz w:val="24"/>
                <w:szCs w:val="24"/>
              </w:rPr>
            </w:pPr>
            <w:r w:rsidRPr="00F57973">
              <w:rPr>
                <w:rFonts w:cs="Arial"/>
                <w:bCs/>
                <w:sz w:val="24"/>
                <w:szCs w:val="24"/>
              </w:rPr>
              <w:t>1946</w:t>
            </w:r>
          </w:p>
        </w:tc>
        <w:tc>
          <w:tcPr>
            <w:tcW w:w="1351" w:type="dxa"/>
            <w:vAlign w:val="center"/>
          </w:tcPr>
          <w:p w14:paraId="7004A789" w14:textId="18F887CB" w:rsidR="00EE2758" w:rsidRPr="00F57973" w:rsidRDefault="00EE2758" w:rsidP="00D65738">
            <w:pPr>
              <w:jc w:val="center"/>
              <w:rPr>
                <w:rFonts w:cs="Arial"/>
                <w:bCs/>
                <w:sz w:val="24"/>
                <w:szCs w:val="24"/>
              </w:rPr>
            </w:pPr>
            <w:r w:rsidRPr="00F57973">
              <w:rPr>
                <w:rFonts w:cs="Arial"/>
                <w:bCs/>
                <w:sz w:val="24"/>
                <w:szCs w:val="24"/>
              </w:rPr>
              <w:t>1932</w:t>
            </w:r>
          </w:p>
        </w:tc>
      </w:tr>
    </w:tbl>
    <w:p w14:paraId="7FFCBA8D" w14:textId="2835F708" w:rsidR="00C747B5" w:rsidRPr="00F02F7D" w:rsidRDefault="00EE2758" w:rsidP="00A81FAB">
      <w:pPr>
        <w:spacing w:after="120" w:line="240" w:lineRule="auto"/>
        <w:ind w:left="567"/>
        <w:rPr>
          <w:rFonts w:cs="Arial"/>
          <w:bCs/>
          <w:sz w:val="20"/>
          <w:szCs w:val="20"/>
        </w:rPr>
      </w:pPr>
      <w:r w:rsidRPr="00F02F7D">
        <w:rPr>
          <w:rFonts w:cs="Arial"/>
          <w:bCs/>
          <w:sz w:val="20"/>
          <w:szCs w:val="20"/>
        </w:rPr>
        <w:t xml:space="preserve">Table 1. </w:t>
      </w:r>
      <w:r w:rsidR="00F96AD0" w:rsidRPr="00F02F7D">
        <w:rPr>
          <w:rFonts w:cs="Arial"/>
          <w:bCs/>
          <w:sz w:val="20"/>
          <w:szCs w:val="20"/>
        </w:rPr>
        <w:t>Top five commonest types of incident reported in the past three years</w:t>
      </w:r>
    </w:p>
    <w:p w14:paraId="7770D0FE" w14:textId="6DE3F8AD" w:rsidR="00F96AD0" w:rsidRDefault="00B83ECC"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t>The profiles of each care group</w:t>
      </w:r>
      <w:r w:rsidR="00F96AD0">
        <w:rPr>
          <w:rFonts w:cs="Arial"/>
          <w:sz w:val="24"/>
          <w:szCs w:val="24"/>
        </w:rPr>
        <w:t xml:space="preserve"> and the relative position of the Trust top five commonest types of incident</w:t>
      </w:r>
      <w:r w:rsidRPr="00F57973">
        <w:rPr>
          <w:rFonts w:cs="Arial"/>
          <w:sz w:val="24"/>
          <w:szCs w:val="24"/>
        </w:rPr>
        <w:t xml:space="preserve"> vary</w:t>
      </w:r>
      <w:r w:rsidR="00F96AD0">
        <w:rPr>
          <w:rFonts w:cs="Arial"/>
          <w:sz w:val="24"/>
          <w:szCs w:val="24"/>
        </w:rPr>
        <w:t xml:space="preserve"> (Table 2).</w:t>
      </w:r>
    </w:p>
    <w:tbl>
      <w:tblPr>
        <w:tblStyle w:val="TableGrid"/>
        <w:tblW w:w="0" w:type="auto"/>
        <w:tblInd w:w="562" w:type="dxa"/>
        <w:tblCellMar>
          <w:top w:w="57" w:type="dxa"/>
          <w:bottom w:w="57" w:type="dxa"/>
        </w:tblCellMar>
        <w:tblLook w:val="04A0" w:firstRow="1" w:lastRow="0" w:firstColumn="1" w:lastColumn="0" w:noHBand="0" w:noVBand="1"/>
      </w:tblPr>
      <w:tblGrid>
        <w:gridCol w:w="1123"/>
        <w:gridCol w:w="1397"/>
        <w:gridCol w:w="1378"/>
        <w:gridCol w:w="1444"/>
        <w:gridCol w:w="1470"/>
        <w:gridCol w:w="1381"/>
      </w:tblGrid>
      <w:tr w:rsidR="00B83ECC" w:rsidRPr="00F57973" w14:paraId="07CD0857" w14:textId="77777777" w:rsidTr="00051E8B">
        <w:tc>
          <w:tcPr>
            <w:tcW w:w="897" w:type="dxa"/>
            <w:shd w:val="clear" w:color="auto" w:fill="DDEEFF"/>
          </w:tcPr>
          <w:p w14:paraId="2102F1FE" w14:textId="77777777" w:rsidR="00B83ECC" w:rsidRPr="00F57973" w:rsidRDefault="00B83ECC" w:rsidP="00D65738">
            <w:pPr>
              <w:rPr>
                <w:rFonts w:cs="Arial"/>
                <w:sz w:val="24"/>
                <w:szCs w:val="24"/>
              </w:rPr>
            </w:pPr>
          </w:p>
        </w:tc>
        <w:tc>
          <w:tcPr>
            <w:tcW w:w="1459" w:type="dxa"/>
            <w:shd w:val="clear" w:color="auto" w:fill="DDEEFF"/>
            <w:vAlign w:val="center"/>
          </w:tcPr>
          <w:p w14:paraId="090A6A3A" w14:textId="2EBCE47B" w:rsidR="00B83ECC" w:rsidRPr="00FC48D9" w:rsidRDefault="00B83ECC" w:rsidP="00051E8B">
            <w:pPr>
              <w:jc w:val="center"/>
              <w:rPr>
                <w:rFonts w:cs="Arial"/>
                <w:b/>
                <w:sz w:val="24"/>
                <w:szCs w:val="24"/>
              </w:rPr>
            </w:pPr>
            <w:r w:rsidRPr="00FC48D9">
              <w:rPr>
                <w:rFonts w:cs="Arial"/>
                <w:b/>
                <w:sz w:val="24"/>
                <w:szCs w:val="24"/>
              </w:rPr>
              <w:t>Tissue viability</w:t>
            </w:r>
          </w:p>
        </w:tc>
        <w:tc>
          <w:tcPr>
            <w:tcW w:w="1459" w:type="dxa"/>
            <w:shd w:val="clear" w:color="auto" w:fill="DDEEFF"/>
            <w:vAlign w:val="center"/>
          </w:tcPr>
          <w:p w14:paraId="6F99FB73" w14:textId="02FF4E93" w:rsidR="00B83ECC" w:rsidRPr="00FC48D9" w:rsidRDefault="00B83ECC" w:rsidP="00051E8B">
            <w:pPr>
              <w:jc w:val="center"/>
              <w:rPr>
                <w:rFonts w:cs="Arial"/>
                <w:b/>
                <w:sz w:val="24"/>
                <w:szCs w:val="24"/>
              </w:rPr>
            </w:pPr>
            <w:r w:rsidRPr="00FC48D9">
              <w:rPr>
                <w:rFonts w:cs="Arial"/>
                <w:b/>
                <w:sz w:val="24"/>
                <w:szCs w:val="24"/>
              </w:rPr>
              <w:t>Delay / Failure</w:t>
            </w:r>
          </w:p>
        </w:tc>
        <w:tc>
          <w:tcPr>
            <w:tcW w:w="1459" w:type="dxa"/>
            <w:shd w:val="clear" w:color="auto" w:fill="DDEEFF"/>
            <w:vAlign w:val="center"/>
          </w:tcPr>
          <w:p w14:paraId="01505674" w14:textId="35B9D1D0" w:rsidR="00B83ECC" w:rsidRPr="00FC48D9" w:rsidRDefault="00B83ECC" w:rsidP="00051E8B">
            <w:pPr>
              <w:jc w:val="center"/>
              <w:rPr>
                <w:rFonts w:cs="Arial"/>
                <w:b/>
                <w:sz w:val="24"/>
                <w:szCs w:val="24"/>
              </w:rPr>
            </w:pPr>
            <w:r w:rsidRPr="00FC48D9">
              <w:rPr>
                <w:rFonts w:cs="Arial"/>
                <w:b/>
                <w:sz w:val="24"/>
                <w:szCs w:val="24"/>
              </w:rPr>
              <w:t>Care and Treatment</w:t>
            </w:r>
          </w:p>
        </w:tc>
        <w:tc>
          <w:tcPr>
            <w:tcW w:w="1459" w:type="dxa"/>
            <w:shd w:val="clear" w:color="auto" w:fill="DDEEFF"/>
            <w:vAlign w:val="center"/>
          </w:tcPr>
          <w:p w14:paraId="0211545F" w14:textId="1F77AD11" w:rsidR="00B83ECC" w:rsidRPr="00FC48D9" w:rsidRDefault="00B83ECC" w:rsidP="00051E8B">
            <w:pPr>
              <w:jc w:val="center"/>
              <w:rPr>
                <w:rFonts w:cs="Arial"/>
                <w:b/>
                <w:sz w:val="24"/>
                <w:szCs w:val="24"/>
              </w:rPr>
            </w:pPr>
            <w:r w:rsidRPr="00FC48D9">
              <w:rPr>
                <w:rFonts w:cs="Arial"/>
                <w:b/>
                <w:sz w:val="24"/>
                <w:szCs w:val="24"/>
              </w:rPr>
              <w:t>Medication</w:t>
            </w:r>
          </w:p>
        </w:tc>
        <w:tc>
          <w:tcPr>
            <w:tcW w:w="1460" w:type="dxa"/>
            <w:shd w:val="clear" w:color="auto" w:fill="DDEEFF"/>
            <w:vAlign w:val="center"/>
          </w:tcPr>
          <w:p w14:paraId="6DDE64C7" w14:textId="1D0B94A9" w:rsidR="00B83ECC" w:rsidRPr="00FC48D9" w:rsidRDefault="00B83ECC" w:rsidP="00051E8B">
            <w:pPr>
              <w:jc w:val="center"/>
              <w:rPr>
                <w:rFonts w:cs="Arial"/>
                <w:b/>
                <w:sz w:val="24"/>
                <w:szCs w:val="24"/>
              </w:rPr>
            </w:pPr>
            <w:r w:rsidRPr="00FC48D9">
              <w:rPr>
                <w:rFonts w:cs="Arial"/>
                <w:b/>
                <w:sz w:val="24"/>
                <w:szCs w:val="24"/>
              </w:rPr>
              <w:t>Patient Falls</w:t>
            </w:r>
          </w:p>
        </w:tc>
      </w:tr>
      <w:tr w:rsidR="00B83ECC" w:rsidRPr="00F57973" w14:paraId="42A815EF" w14:textId="77777777" w:rsidTr="00051E8B">
        <w:tc>
          <w:tcPr>
            <w:tcW w:w="897" w:type="dxa"/>
            <w:shd w:val="clear" w:color="auto" w:fill="DDEEFF"/>
          </w:tcPr>
          <w:p w14:paraId="5FC594E5" w14:textId="1A8A9453" w:rsidR="00B83ECC" w:rsidRPr="00FC48D9" w:rsidRDefault="00523F44" w:rsidP="00D65738">
            <w:pPr>
              <w:rPr>
                <w:rFonts w:cs="Arial"/>
                <w:b/>
                <w:sz w:val="24"/>
                <w:szCs w:val="24"/>
              </w:rPr>
            </w:pPr>
            <w:r w:rsidRPr="00FC48D9">
              <w:rPr>
                <w:rFonts w:cs="Arial"/>
                <w:b/>
                <w:sz w:val="24"/>
                <w:szCs w:val="24"/>
              </w:rPr>
              <w:t>CCASS</w:t>
            </w:r>
          </w:p>
        </w:tc>
        <w:tc>
          <w:tcPr>
            <w:tcW w:w="1459" w:type="dxa"/>
            <w:vAlign w:val="center"/>
          </w:tcPr>
          <w:p w14:paraId="39EE043C" w14:textId="5DC10903" w:rsidR="00B83ECC" w:rsidRPr="00F57973" w:rsidRDefault="00B83ECC" w:rsidP="00051E8B">
            <w:pPr>
              <w:jc w:val="center"/>
              <w:rPr>
                <w:rFonts w:cs="Arial"/>
                <w:sz w:val="24"/>
                <w:szCs w:val="24"/>
              </w:rPr>
            </w:pPr>
            <w:r w:rsidRPr="00F57973">
              <w:rPr>
                <w:rFonts w:cs="Arial"/>
                <w:sz w:val="24"/>
                <w:szCs w:val="24"/>
              </w:rPr>
              <w:t>1</w:t>
            </w:r>
          </w:p>
        </w:tc>
        <w:tc>
          <w:tcPr>
            <w:tcW w:w="1459" w:type="dxa"/>
            <w:vAlign w:val="center"/>
          </w:tcPr>
          <w:p w14:paraId="7B2552FA" w14:textId="1782AB64" w:rsidR="00B83ECC" w:rsidRPr="00F57973" w:rsidRDefault="00B83ECC" w:rsidP="00051E8B">
            <w:pPr>
              <w:jc w:val="center"/>
              <w:rPr>
                <w:rFonts w:cs="Arial"/>
                <w:sz w:val="24"/>
                <w:szCs w:val="24"/>
              </w:rPr>
            </w:pPr>
            <w:r w:rsidRPr="00F57973">
              <w:rPr>
                <w:rFonts w:cs="Arial"/>
                <w:sz w:val="24"/>
                <w:szCs w:val="24"/>
              </w:rPr>
              <w:t>4</w:t>
            </w:r>
          </w:p>
        </w:tc>
        <w:tc>
          <w:tcPr>
            <w:tcW w:w="1459" w:type="dxa"/>
            <w:vAlign w:val="center"/>
          </w:tcPr>
          <w:p w14:paraId="61ED3136" w14:textId="5183A5EF" w:rsidR="00B83ECC" w:rsidRPr="00F57973" w:rsidRDefault="00B83ECC" w:rsidP="00051E8B">
            <w:pPr>
              <w:jc w:val="center"/>
              <w:rPr>
                <w:rFonts w:cs="Arial"/>
                <w:sz w:val="24"/>
                <w:szCs w:val="24"/>
              </w:rPr>
            </w:pPr>
            <w:r w:rsidRPr="00F57973">
              <w:rPr>
                <w:rFonts w:cs="Arial"/>
                <w:sz w:val="24"/>
                <w:szCs w:val="24"/>
              </w:rPr>
              <w:t>2</w:t>
            </w:r>
          </w:p>
        </w:tc>
        <w:tc>
          <w:tcPr>
            <w:tcW w:w="1459" w:type="dxa"/>
            <w:vAlign w:val="center"/>
          </w:tcPr>
          <w:p w14:paraId="6385D023" w14:textId="0AF5D388" w:rsidR="00B83ECC" w:rsidRPr="00F57973" w:rsidRDefault="00B83ECC" w:rsidP="00051E8B">
            <w:pPr>
              <w:jc w:val="center"/>
              <w:rPr>
                <w:rFonts w:cs="Arial"/>
                <w:sz w:val="24"/>
                <w:szCs w:val="24"/>
              </w:rPr>
            </w:pPr>
            <w:r w:rsidRPr="00F57973">
              <w:rPr>
                <w:rFonts w:cs="Arial"/>
                <w:sz w:val="24"/>
                <w:szCs w:val="24"/>
              </w:rPr>
              <w:t>5</w:t>
            </w:r>
          </w:p>
        </w:tc>
        <w:tc>
          <w:tcPr>
            <w:tcW w:w="1460" w:type="dxa"/>
            <w:vAlign w:val="center"/>
          </w:tcPr>
          <w:p w14:paraId="1F8EC1A8" w14:textId="6BDC44DD" w:rsidR="00B83ECC" w:rsidRPr="00F57973" w:rsidRDefault="00811E66" w:rsidP="00051E8B">
            <w:pPr>
              <w:jc w:val="center"/>
              <w:rPr>
                <w:rFonts w:cs="Arial"/>
                <w:sz w:val="24"/>
                <w:szCs w:val="24"/>
              </w:rPr>
            </w:pPr>
            <w:r w:rsidRPr="00F57973">
              <w:rPr>
                <w:rFonts w:cs="Arial"/>
                <w:sz w:val="24"/>
                <w:szCs w:val="24"/>
              </w:rPr>
              <w:t>-</w:t>
            </w:r>
          </w:p>
        </w:tc>
      </w:tr>
      <w:tr w:rsidR="00B83ECC" w:rsidRPr="00F57973" w14:paraId="51E94C13" w14:textId="77777777" w:rsidTr="00051E8B">
        <w:tc>
          <w:tcPr>
            <w:tcW w:w="897" w:type="dxa"/>
            <w:shd w:val="clear" w:color="auto" w:fill="DDEEFF"/>
          </w:tcPr>
          <w:p w14:paraId="455E4BBD" w14:textId="662139E0" w:rsidR="00B83ECC" w:rsidRPr="00FC48D9" w:rsidRDefault="00523F44" w:rsidP="00D65738">
            <w:pPr>
              <w:rPr>
                <w:rFonts w:cs="Arial"/>
                <w:b/>
                <w:sz w:val="24"/>
                <w:szCs w:val="24"/>
              </w:rPr>
            </w:pPr>
            <w:r w:rsidRPr="00FC48D9">
              <w:rPr>
                <w:rFonts w:cs="Arial"/>
                <w:b/>
                <w:sz w:val="24"/>
                <w:szCs w:val="24"/>
              </w:rPr>
              <w:t>WCYP</w:t>
            </w:r>
          </w:p>
        </w:tc>
        <w:tc>
          <w:tcPr>
            <w:tcW w:w="1459" w:type="dxa"/>
            <w:vAlign w:val="center"/>
          </w:tcPr>
          <w:p w14:paraId="4D8C6A4D" w14:textId="71161781" w:rsidR="00B83ECC" w:rsidRPr="00F57973" w:rsidRDefault="00811E66" w:rsidP="00051E8B">
            <w:pPr>
              <w:jc w:val="center"/>
              <w:rPr>
                <w:rFonts w:cs="Arial"/>
                <w:sz w:val="24"/>
                <w:szCs w:val="24"/>
              </w:rPr>
            </w:pPr>
            <w:r w:rsidRPr="00F57973">
              <w:rPr>
                <w:rFonts w:cs="Arial"/>
                <w:sz w:val="24"/>
                <w:szCs w:val="24"/>
              </w:rPr>
              <w:t>-</w:t>
            </w:r>
          </w:p>
        </w:tc>
        <w:tc>
          <w:tcPr>
            <w:tcW w:w="1459" w:type="dxa"/>
            <w:vAlign w:val="center"/>
          </w:tcPr>
          <w:p w14:paraId="1ED6E13E" w14:textId="5D8276D8" w:rsidR="00B83ECC" w:rsidRPr="00F57973" w:rsidRDefault="00811E66" w:rsidP="00051E8B">
            <w:pPr>
              <w:jc w:val="center"/>
              <w:rPr>
                <w:rFonts w:cs="Arial"/>
                <w:sz w:val="24"/>
                <w:szCs w:val="24"/>
              </w:rPr>
            </w:pPr>
            <w:r w:rsidRPr="00F57973">
              <w:rPr>
                <w:rFonts w:cs="Arial"/>
                <w:sz w:val="24"/>
                <w:szCs w:val="24"/>
              </w:rPr>
              <w:t>5</w:t>
            </w:r>
          </w:p>
        </w:tc>
        <w:tc>
          <w:tcPr>
            <w:tcW w:w="1459" w:type="dxa"/>
            <w:vAlign w:val="center"/>
          </w:tcPr>
          <w:p w14:paraId="348BD620" w14:textId="7C4AD2B5" w:rsidR="00B83ECC" w:rsidRPr="00F57973" w:rsidRDefault="00811E66" w:rsidP="00051E8B">
            <w:pPr>
              <w:jc w:val="center"/>
              <w:rPr>
                <w:rFonts w:cs="Arial"/>
                <w:sz w:val="24"/>
                <w:szCs w:val="24"/>
              </w:rPr>
            </w:pPr>
            <w:r w:rsidRPr="00F57973">
              <w:rPr>
                <w:rFonts w:cs="Arial"/>
                <w:sz w:val="24"/>
                <w:szCs w:val="24"/>
              </w:rPr>
              <w:t>1</w:t>
            </w:r>
          </w:p>
        </w:tc>
        <w:tc>
          <w:tcPr>
            <w:tcW w:w="1459" w:type="dxa"/>
            <w:vAlign w:val="center"/>
          </w:tcPr>
          <w:p w14:paraId="73A251DA" w14:textId="7790A44C" w:rsidR="00B83ECC" w:rsidRPr="00F57973" w:rsidRDefault="00811E66" w:rsidP="00051E8B">
            <w:pPr>
              <w:jc w:val="center"/>
              <w:rPr>
                <w:rFonts w:cs="Arial"/>
                <w:sz w:val="24"/>
                <w:szCs w:val="24"/>
              </w:rPr>
            </w:pPr>
            <w:r w:rsidRPr="00F57973">
              <w:rPr>
                <w:rFonts w:cs="Arial"/>
                <w:sz w:val="24"/>
                <w:szCs w:val="24"/>
              </w:rPr>
              <w:t>-</w:t>
            </w:r>
          </w:p>
        </w:tc>
        <w:tc>
          <w:tcPr>
            <w:tcW w:w="1460" w:type="dxa"/>
            <w:vAlign w:val="center"/>
          </w:tcPr>
          <w:p w14:paraId="352B1C4B" w14:textId="02FC024E" w:rsidR="00B83ECC" w:rsidRPr="00F57973" w:rsidRDefault="00811E66" w:rsidP="00051E8B">
            <w:pPr>
              <w:jc w:val="center"/>
              <w:rPr>
                <w:rFonts w:cs="Arial"/>
                <w:sz w:val="24"/>
                <w:szCs w:val="24"/>
              </w:rPr>
            </w:pPr>
            <w:r w:rsidRPr="00F57973">
              <w:rPr>
                <w:rFonts w:cs="Arial"/>
                <w:sz w:val="24"/>
                <w:szCs w:val="24"/>
              </w:rPr>
              <w:t>-</w:t>
            </w:r>
          </w:p>
        </w:tc>
      </w:tr>
      <w:tr w:rsidR="00B83ECC" w:rsidRPr="00F57973" w14:paraId="54C33E39" w14:textId="77777777" w:rsidTr="00051E8B">
        <w:tc>
          <w:tcPr>
            <w:tcW w:w="897" w:type="dxa"/>
            <w:shd w:val="clear" w:color="auto" w:fill="DDEEFF"/>
          </w:tcPr>
          <w:p w14:paraId="7E186524" w14:textId="2B519167" w:rsidR="00B83ECC" w:rsidRPr="00FC48D9" w:rsidRDefault="00F96AD0" w:rsidP="00D65738">
            <w:pPr>
              <w:rPr>
                <w:rFonts w:cs="Arial"/>
                <w:b/>
                <w:sz w:val="24"/>
                <w:szCs w:val="24"/>
              </w:rPr>
            </w:pPr>
            <w:r w:rsidRPr="00FC48D9">
              <w:rPr>
                <w:rFonts w:cs="Arial"/>
                <w:b/>
                <w:sz w:val="24"/>
                <w:szCs w:val="24"/>
              </w:rPr>
              <w:t>KCVH</w:t>
            </w:r>
          </w:p>
        </w:tc>
        <w:tc>
          <w:tcPr>
            <w:tcW w:w="1459" w:type="dxa"/>
            <w:vAlign w:val="center"/>
          </w:tcPr>
          <w:p w14:paraId="08ED1A08" w14:textId="5D6A7533" w:rsidR="00B83ECC" w:rsidRPr="00F57973" w:rsidRDefault="00756D52" w:rsidP="00051E8B">
            <w:pPr>
              <w:jc w:val="center"/>
              <w:rPr>
                <w:rFonts w:cs="Arial"/>
                <w:sz w:val="24"/>
                <w:szCs w:val="24"/>
              </w:rPr>
            </w:pPr>
            <w:r>
              <w:rPr>
                <w:rFonts w:cs="Arial"/>
                <w:sz w:val="24"/>
                <w:szCs w:val="24"/>
              </w:rPr>
              <w:t>1</w:t>
            </w:r>
          </w:p>
        </w:tc>
        <w:tc>
          <w:tcPr>
            <w:tcW w:w="1459" w:type="dxa"/>
            <w:vAlign w:val="center"/>
          </w:tcPr>
          <w:p w14:paraId="0B0C5371" w14:textId="39655D3E" w:rsidR="00B83ECC" w:rsidRPr="00F57973" w:rsidRDefault="00756D52" w:rsidP="00051E8B">
            <w:pPr>
              <w:jc w:val="center"/>
              <w:rPr>
                <w:rFonts w:cs="Arial"/>
                <w:sz w:val="24"/>
                <w:szCs w:val="24"/>
              </w:rPr>
            </w:pPr>
            <w:r>
              <w:rPr>
                <w:rFonts w:cs="Arial"/>
                <w:sz w:val="24"/>
                <w:szCs w:val="24"/>
              </w:rPr>
              <w:t>3</w:t>
            </w:r>
          </w:p>
        </w:tc>
        <w:tc>
          <w:tcPr>
            <w:tcW w:w="1459" w:type="dxa"/>
            <w:vAlign w:val="center"/>
          </w:tcPr>
          <w:p w14:paraId="72E9C1CE" w14:textId="00B6E234" w:rsidR="00B83ECC" w:rsidRPr="00F57973" w:rsidRDefault="00756D52" w:rsidP="00051E8B">
            <w:pPr>
              <w:jc w:val="center"/>
              <w:rPr>
                <w:rFonts w:cs="Arial"/>
                <w:sz w:val="24"/>
                <w:szCs w:val="24"/>
              </w:rPr>
            </w:pPr>
            <w:r>
              <w:rPr>
                <w:rFonts w:cs="Arial"/>
                <w:sz w:val="24"/>
                <w:szCs w:val="24"/>
              </w:rPr>
              <w:t>4</w:t>
            </w:r>
          </w:p>
        </w:tc>
        <w:tc>
          <w:tcPr>
            <w:tcW w:w="1459" w:type="dxa"/>
            <w:vAlign w:val="center"/>
          </w:tcPr>
          <w:p w14:paraId="0CBCFF0A" w14:textId="03108DBB" w:rsidR="00B83ECC" w:rsidRPr="00F57973" w:rsidRDefault="00756D52" w:rsidP="00051E8B">
            <w:pPr>
              <w:jc w:val="center"/>
              <w:rPr>
                <w:rFonts w:cs="Arial"/>
                <w:sz w:val="24"/>
                <w:szCs w:val="24"/>
              </w:rPr>
            </w:pPr>
            <w:r>
              <w:rPr>
                <w:rFonts w:cs="Arial"/>
                <w:sz w:val="24"/>
                <w:szCs w:val="24"/>
              </w:rPr>
              <w:t>-</w:t>
            </w:r>
          </w:p>
        </w:tc>
        <w:tc>
          <w:tcPr>
            <w:tcW w:w="1460" w:type="dxa"/>
            <w:vAlign w:val="center"/>
          </w:tcPr>
          <w:p w14:paraId="4990D835" w14:textId="581F073C" w:rsidR="00B83ECC" w:rsidRPr="00F57973" w:rsidRDefault="00756D52" w:rsidP="00051E8B">
            <w:pPr>
              <w:jc w:val="center"/>
              <w:rPr>
                <w:rFonts w:cs="Arial"/>
                <w:sz w:val="24"/>
                <w:szCs w:val="24"/>
              </w:rPr>
            </w:pPr>
            <w:r>
              <w:rPr>
                <w:rFonts w:cs="Arial"/>
                <w:sz w:val="24"/>
                <w:szCs w:val="24"/>
              </w:rPr>
              <w:t>2</w:t>
            </w:r>
          </w:p>
        </w:tc>
      </w:tr>
      <w:tr w:rsidR="00B83ECC" w:rsidRPr="00F57973" w14:paraId="64AE2E5F" w14:textId="77777777" w:rsidTr="00051E8B">
        <w:tc>
          <w:tcPr>
            <w:tcW w:w="897" w:type="dxa"/>
            <w:shd w:val="clear" w:color="auto" w:fill="DDEEFF"/>
          </w:tcPr>
          <w:p w14:paraId="6136E9CC" w14:textId="65852344" w:rsidR="00B83ECC" w:rsidRPr="00FC48D9" w:rsidRDefault="00F96AD0" w:rsidP="00D65738">
            <w:pPr>
              <w:rPr>
                <w:rFonts w:cs="Arial"/>
                <w:b/>
                <w:sz w:val="24"/>
                <w:szCs w:val="24"/>
              </w:rPr>
            </w:pPr>
            <w:r w:rsidRPr="00FC48D9">
              <w:rPr>
                <w:rFonts w:cs="Arial"/>
                <w:b/>
                <w:sz w:val="24"/>
                <w:szCs w:val="24"/>
              </w:rPr>
              <w:t>WHH</w:t>
            </w:r>
          </w:p>
        </w:tc>
        <w:tc>
          <w:tcPr>
            <w:tcW w:w="1459" w:type="dxa"/>
            <w:vAlign w:val="center"/>
          </w:tcPr>
          <w:p w14:paraId="12B40FD4" w14:textId="1483450D" w:rsidR="00B83ECC" w:rsidRPr="00F57973" w:rsidRDefault="00D45783" w:rsidP="00051E8B">
            <w:pPr>
              <w:jc w:val="center"/>
              <w:rPr>
                <w:rFonts w:cs="Arial"/>
                <w:sz w:val="24"/>
                <w:szCs w:val="24"/>
              </w:rPr>
            </w:pPr>
            <w:r>
              <w:rPr>
                <w:rFonts w:cs="Arial"/>
                <w:sz w:val="24"/>
                <w:szCs w:val="24"/>
              </w:rPr>
              <w:t>1</w:t>
            </w:r>
          </w:p>
        </w:tc>
        <w:tc>
          <w:tcPr>
            <w:tcW w:w="1459" w:type="dxa"/>
            <w:vAlign w:val="center"/>
          </w:tcPr>
          <w:p w14:paraId="20CFEDE4" w14:textId="7A877E1E" w:rsidR="00B83ECC" w:rsidRPr="00F57973" w:rsidRDefault="00D45783" w:rsidP="00051E8B">
            <w:pPr>
              <w:jc w:val="center"/>
              <w:rPr>
                <w:rFonts w:cs="Arial"/>
                <w:sz w:val="24"/>
                <w:szCs w:val="24"/>
              </w:rPr>
            </w:pPr>
            <w:r>
              <w:rPr>
                <w:rFonts w:cs="Arial"/>
                <w:sz w:val="24"/>
                <w:szCs w:val="24"/>
              </w:rPr>
              <w:t>4</w:t>
            </w:r>
          </w:p>
        </w:tc>
        <w:tc>
          <w:tcPr>
            <w:tcW w:w="1459" w:type="dxa"/>
            <w:vAlign w:val="center"/>
          </w:tcPr>
          <w:p w14:paraId="63E60E4E" w14:textId="0AFCB661" w:rsidR="00B83ECC" w:rsidRPr="00F57973" w:rsidRDefault="00D45783" w:rsidP="00051E8B">
            <w:pPr>
              <w:jc w:val="center"/>
              <w:rPr>
                <w:rFonts w:cs="Arial"/>
                <w:sz w:val="24"/>
                <w:szCs w:val="24"/>
              </w:rPr>
            </w:pPr>
            <w:r>
              <w:rPr>
                <w:rFonts w:cs="Arial"/>
                <w:sz w:val="24"/>
                <w:szCs w:val="24"/>
              </w:rPr>
              <w:t>2</w:t>
            </w:r>
          </w:p>
        </w:tc>
        <w:tc>
          <w:tcPr>
            <w:tcW w:w="1459" w:type="dxa"/>
            <w:vAlign w:val="center"/>
          </w:tcPr>
          <w:p w14:paraId="0BBFB54F" w14:textId="3AFE355E" w:rsidR="00B83ECC" w:rsidRPr="00F57973" w:rsidRDefault="00D45783" w:rsidP="00051E8B">
            <w:pPr>
              <w:jc w:val="center"/>
              <w:rPr>
                <w:rFonts w:cs="Arial"/>
                <w:sz w:val="24"/>
                <w:szCs w:val="24"/>
              </w:rPr>
            </w:pPr>
            <w:r>
              <w:rPr>
                <w:rFonts w:cs="Arial"/>
                <w:sz w:val="24"/>
                <w:szCs w:val="24"/>
              </w:rPr>
              <w:t>-</w:t>
            </w:r>
          </w:p>
        </w:tc>
        <w:tc>
          <w:tcPr>
            <w:tcW w:w="1460" w:type="dxa"/>
            <w:vAlign w:val="center"/>
          </w:tcPr>
          <w:p w14:paraId="549B4B8C" w14:textId="1BED52A0" w:rsidR="00B83ECC" w:rsidRPr="00F57973" w:rsidRDefault="00D45783" w:rsidP="00051E8B">
            <w:pPr>
              <w:jc w:val="center"/>
              <w:rPr>
                <w:rFonts w:cs="Arial"/>
                <w:sz w:val="24"/>
                <w:szCs w:val="24"/>
              </w:rPr>
            </w:pPr>
            <w:r>
              <w:rPr>
                <w:rFonts w:cs="Arial"/>
                <w:sz w:val="24"/>
                <w:szCs w:val="24"/>
              </w:rPr>
              <w:t>3</w:t>
            </w:r>
          </w:p>
        </w:tc>
      </w:tr>
      <w:tr w:rsidR="00B83ECC" w:rsidRPr="00F57973" w14:paraId="3A9880CA" w14:textId="77777777" w:rsidTr="00051E8B">
        <w:tc>
          <w:tcPr>
            <w:tcW w:w="897" w:type="dxa"/>
            <w:shd w:val="clear" w:color="auto" w:fill="DDEEFF"/>
          </w:tcPr>
          <w:p w14:paraId="0935DDAA" w14:textId="01FB8ABF" w:rsidR="00B83ECC" w:rsidRPr="00FC48D9" w:rsidRDefault="00952FA3" w:rsidP="00D65738">
            <w:pPr>
              <w:rPr>
                <w:rFonts w:cs="Arial"/>
                <w:b/>
                <w:sz w:val="24"/>
                <w:szCs w:val="24"/>
              </w:rPr>
            </w:pPr>
            <w:r w:rsidRPr="00FC48D9">
              <w:rPr>
                <w:rFonts w:cs="Arial"/>
                <w:b/>
                <w:sz w:val="24"/>
                <w:szCs w:val="24"/>
              </w:rPr>
              <w:t>QEQMH</w:t>
            </w:r>
          </w:p>
        </w:tc>
        <w:tc>
          <w:tcPr>
            <w:tcW w:w="1459" w:type="dxa"/>
            <w:vAlign w:val="center"/>
          </w:tcPr>
          <w:p w14:paraId="72856C7D" w14:textId="4552235A" w:rsidR="00B83ECC" w:rsidRPr="00F57973" w:rsidRDefault="00D45783" w:rsidP="00051E8B">
            <w:pPr>
              <w:jc w:val="center"/>
              <w:rPr>
                <w:rFonts w:cs="Arial"/>
                <w:sz w:val="24"/>
                <w:szCs w:val="24"/>
              </w:rPr>
            </w:pPr>
            <w:r>
              <w:rPr>
                <w:rFonts w:cs="Arial"/>
                <w:sz w:val="24"/>
                <w:szCs w:val="24"/>
              </w:rPr>
              <w:t>1</w:t>
            </w:r>
          </w:p>
        </w:tc>
        <w:tc>
          <w:tcPr>
            <w:tcW w:w="1459" w:type="dxa"/>
            <w:vAlign w:val="center"/>
          </w:tcPr>
          <w:p w14:paraId="039FFE49" w14:textId="4B53D3B6" w:rsidR="00B83ECC" w:rsidRPr="00F57973" w:rsidRDefault="00D45783" w:rsidP="00051E8B">
            <w:pPr>
              <w:jc w:val="center"/>
              <w:rPr>
                <w:rFonts w:cs="Arial"/>
                <w:sz w:val="24"/>
                <w:szCs w:val="24"/>
              </w:rPr>
            </w:pPr>
            <w:r>
              <w:rPr>
                <w:rFonts w:cs="Arial"/>
                <w:sz w:val="24"/>
                <w:szCs w:val="24"/>
              </w:rPr>
              <w:t>5</w:t>
            </w:r>
          </w:p>
        </w:tc>
        <w:tc>
          <w:tcPr>
            <w:tcW w:w="1459" w:type="dxa"/>
            <w:vAlign w:val="center"/>
          </w:tcPr>
          <w:p w14:paraId="2BEAE833" w14:textId="7B23031E" w:rsidR="00B83ECC" w:rsidRPr="00F57973" w:rsidRDefault="00D45783" w:rsidP="00051E8B">
            <w:pPr>
              <w:jc w:val="center"/>
              <w:rPr>
                <w:rFonts w:cs="Arial"/>
                <w:sz w:val="24"/>
                <w:szCs w:val="24"/>
              </w:rPr>
            </w:pPr>
            <w:r>
              <w:rPr>
                <w:rFonts w:cs="Arial"/>
                <w:sz w:val="24"/>
                <w:szCs w:val="24"/>
              </w:rPr>
              <w:t>2</w:t>
            </w:r>
          </w:p>
        </w:tc>
        <w:tc>
          <w:tcPr>
            <w:tcW w:w="1459" w:type="dxa"/>
            <w:vAlign w:val="center"/>
          </w:tcPr>
          <w:p w14:paraId="6DDAB069" w14:textId="69EDDAF6" w:rsidR="00B83ECC" w:rsidRPr="00F57973" w:rsidRDefault="00D45783" w:rsidP="00051E8B">
            <w:pPr>
              <w:jc w:val="center"/>
              <w:rPr>
                <w:rFonts w:cs="Arial"/>
                <w:sz w:val="24"/>
                <w:szCs w:val="24"/>
              </w:rPr>
            </w:pPr>
            <w:r>
              <w:rPr>
                <w:rFonts w:cs="Arial"/>
                <w:sz w:val="24"/>
                <w:szCs w:val="24"/>
              </w:rPr>
              <w:t>-</w:t>
            </w:r>
          </w:p>
        </w:tc>
        <w:tc>
          <w:tcPr>
            <w:tcW w:w="1460" w:type="dxa"/>
            <w:vAlign w:val="center"/>
          </w:tcPr>
          <w:p w14:paraId="79AE9BB6" w14:textId="093B846C" w:rsidR="00B83ECC" w:rsidRPr="00F57973" w:rsidRDefault="00D45783" w:rsidP="00051E8B">
            <w:pPr>
              <w:jc w:val="center"/>
              <w:rPr>
                <w:rFonts w:cs="Arial"/>
                <w:sz w:val="24"/>
                <w:szCs w:val="24"/>
              </w:rPr>
            </w:pPr>
            <w:r>
              <w:rPr>
                <w:rFonts w:cs="Arial"/>
                <w:sz w:val="24"/>
                <w:szCs w:val="24"/>
              </w:rPr>
              <w:t>4</w:t>
            </w:r>
          </w:p>
        </w:tc>
      </w:tr>
      <w:tr w:rsidR="00B83ECC" w:rsidRPr="00F57973" w14:paraId="32DA82C7" w14:textId="77777777" w:rsidTr="00051E8B">
        <w:tc>
          <w:tcPr>
            <w:tcW w:w="897" w:type="dxa"/>
            <w:shd w:val="clear" w:color="auto" w:fill="DDEEFF"/>
          </w:tcPr>
          <w:p w14:paraId="07919FFA" w14:textId="7702835E" w:rsidR="00B83ECC" w:rsidRPr="00FC48D9" w:rsidRDefault="00952FA3" w:rsidP="00D65738">
            <w:pPr>
              <w:rPr>
                <w:rFonts w:cs="Arial"/>
                <w:b/>
                <w:sz w:val="24"/>
                <w:szCs w:val="24"/>
              </w:rPr>
            </w:pPr>
            <w:r w:rsidRPr="00FC48D9">
              <w:rPr>
                <w:rFonts w:cs="Arial"/>
                <w:b/>
                <w:sz w:val="24"/>
                <w:szCs w:val="24"/>
              </w:rPr>
              <w:t>DCB</w:t>
            </w:r>
          </w:p>
        </w:tc>
        <w:tc>
          <w:tcPr>
            <w:tcW w:w="1459" w:type="dxa"/>
            <w:vAlign w:val="center"/>
          </w:tcPr>
          <w:p w14:paraId="78B2DE15" w14:textId="7EC6D9D6" w:rsidR="00B83ECC" w:rsidRPr="00F57973" w:rsidRDefault="00D45783" w:rsidP="00051E8B">
            <w:pPr>
              <w:jc w:val="center"/>
              <w:rPr>
                <w:rFonts w:cs="Arial"/>
                <w:sz w:val="24"/>
                <w:szCs w:val="24"/>
              </w:rPr>
            </w:pPr>
            <w:r>
              <w:rPr>
                <w:rFonts w:cs="Arial"/>
                <w:sz w:val="24"/>
                <w:szCs w:val="24"/>
              </w:rPr>
              <w:t>-</w:t>
            </w:r>
          </w:p>
        </w:tc>
        <w:tc>
          <w:tcPr>
            <w:tcW w:w="1459" w:type="dxa"/>
            <w:vAlign w:val="center"/>
          </w:tcPr>
          <w:p w14:paraId="00FEC88A" w14:textId="64F5F425" w:rsidR="00B83ECC" w:rsidRPr="00F57973" w:rsidRDefault="00D45783" w:rsidP="00051E8B">
            <w:pPr>
              <w:jc w:val="center"/>
              <w:rPr>
                <w:rFonts w:cs="Arial"/>
                <w:sz w:val="24"/>
                <w:szCs w:val="24"/>
              </w:rPr>
            </w:pPr>
            <w:r>
              <w:rPr>
                <w:rFonts w:cs="Arial"/>
                <w:sz w:val="24"/>
                <w:szCs w:val="24"/>
              </w:rPr>
              <w:t>1</w:t>
            </w:r>
          </w:p>
        </w:tc>
        <w:tc>
          <w:tcPr>
            <w:tcW w:w="1459" w:type="dxa"/>
            <w:vAlign w:val="center"/>
          </w:tcPr>
          <w:p w14:paraId="496001D1" w14:textId="4AA4150B" w:rsidR="00B83ECC" w:rsidRPr="00F57973" w:rsidRDefault="00D45783" w:rsidP="00051E8B">
            <w:pPr>
              <w:jc w:val="center"/>
              <w:rPr>
                <w:rFonts w:cs="Arial"/>
                <w:sz w:val="24"/>
                <w:szCs w:val="24"/>
              </w:rPr>
            </w:pPr>
            <w:r>
              <w:rPr>
                <w:rFonts w:cs="Arial"/>
                <w:sz w:val="24"/>
                <w:szCs w:val="24"/>
              </w:rPr>
              <w:t>2</w:t>
            </w:r>
          </w:p>
        </w:tc>
        <w:tc>
          <w:tcPr>
            <w:tcW w:w="1459" w:type="dxa"/>
            <w:vAlign w:val="center"/>
          </w:tcPr>
          <w:p w14:paraId="033284CC" w14:textId="13C82C87" w:rsidR="00B83ECC" w:rsidRPr="00F57973" w:rsidRDefault="00D45783" w:rsidP="00051E8B">
            <w:pPr>
              <w:jc w:val="center"/>
              <w:rPr>
                <w:rFonts w:cs="Arial"/>
                <w:sz w:val="24"/>
                <w:szCs w:val="24"/>
              </w:rPr>
            </w:pPr>
            <w:r>
              <w:rPr>
                <w:rFonts w:cs="Arial"/>
                <w:sz w:val="24"/>
                <w:szCs w:val="24"/>
              </w:rPr>
              <w:t>4</w:t>
            </w:r>
          </w:p>
        </w:tc>
        <w:tc>
          <w:tcPr>
            <w:tcW w:w="1460" w:type="dxa"/>
            <w:vAlign w:val="center"/>
          </w:tcPr>
          <w:p w14:paraId="441D4B31" w14:textId="0160EF3E" w:rsidR="00B83ECC" w:rsidRPr="00F57973" w:rsidRDefault="00D45783" w:rsidP="00051E8B">
            <w:pPr>
              <w:jc w:val="center"/>
              <w:rPr>
                <w:rFonts w:cs="Arial"/>
                <w:sz w:val="24"/>
                <w:szCs w:val="24"/>
              </w:rPr>
            </w:pPr>
            <w:r>
              <w:rPr>
                <w:rFonts w:cs="Arial"/>
                <w:sz w:val="24"/>
                <w:szCs w:val="24"/>
              </w:rPr>
              <w:t>-</w:t>
            </w:r>
          </w:p>
        </w:tc>
      </w:tr>
    </w:tbl>
    <w:p w14:paraId="7F974D46" w14:textId="733C695D" w:rsidR="00B83ECC" w:rsidRPr="00F02F7D" w:rsidRDefault="00B83ECC" w:rsidP="00A81FAB">
      <w:pPr>
        <w:spacing w:after="120" w:line="240" w:lineRule="auto"/>
        <w:ind w:left="567"/>
        <w:rPr>
          <w:rFonts w:cs="Arial"/>
          <w:bCs/>
          <w:sz w:val="20"/>
          <w:szCs w:val="20"/>
        </w:rPr>
      </w:pPr>
      <w:r w:rsidRPr="00F02F7D">
        <w:rPr>
          <w:rFonts w:cs="Arial"/>
          <w:bCs/>
          <w:sz w:val="20"/>
          <w:szCs w:val="20"/>
        </w:rPr>
        <w:t xml:space="preserve"> </w:t>
      </w:r>
      <w:r w:rsidR="00811E66" w:rsidRPr="00F02F7D">
        <w:rPr>
          <w:rFonts w:cs="Arial"/>
          <w:bCs/>
          <w:sz w:val="20"/>
          <w:szCs w:val="20"/>
        </w:rPr>
        <w:t xml:space="preserve">Table 2: </w:t>
      </w:r>
      <w:r w:rsidR="00F96AD0" w:rsidRPr="00F02F7D">
        <w:rPr>
          <w:rFonts w:cs="Arial"/>
          <w:bCs/>
          <w:sz w:val="20"/>
          <w:szCs w:val="20"/>
        </w:rPr>
        <w:t>Care group relative position of Trust top five commonest types of incident</w:t>
      </w:r>
    </w:p>
    <w:p w14:paraId="2D8EB270" w14:textId="3F52458F" w:rsidR="00811E66" w:rsidRPr="00F57973" w:rsidRDefault="00811E66" w:rsidP="00A81FAB">
      <w:pPr>
        <w:spacing w:after="0" w:line="240" w:lineRule="auto"/>
        <w:ind w:left="567"/>
        <w:rPr>
          <w:rFonts w:cs="Arial"/>
          <w:sz w:val="16"/>
          <w:szCs w:val="16"/>
        </w:rPr>
      </w:pPr>
      <w:r w:rsidRPr="00F57973">
        <w:rPr>
          <w:rFonts w:cs="Arial"/>
          <w:sz w:val="16"/>
          <w:szCs w:val="16"/>
        </w:rPr>
        <w:t>CCASS – Critical Care</w:t>
      </w:r>
      <w:r w:rsidR="00051E8B">
        <w:rPr>
          <w:rFonts w:cs="Arial"/>
          <w:sz w:val="16"/>
          <w:szCs w:val="16"/>
        </w:rPr>
        <w:t xml:space="preserve">, Anaesthetics and </w:t>
      </w:r>
      <w:r w:rsidRPr="00F57973">
        <w:rPr>
          <w:rFonts w:cs="Arial"/>
          <w:sz w:val="16"/>
          <w:szCs w:val="16"/>
        </w:rPr>
        <w:t>Surgical Services</w:t>
      </w:r>
    </w:p>
    <w:p w14:paraId="447967F3" w14:textId="59CA9704" w:rsidR="00811E66" w:rsidRPr="00F57973" w:rsidRDefault="00811E66" w:rsidP="00A81FAB">
      <w:pPr>
        <w:spacing w:after="0" w:line="240" w:lineRule="auto"/>
        <w:ind w:left="567"/>
        <w:rPr>
          <w:rFonts w:cs="Arial"/>
          <w:sz w:val="16"/>
          <w:szCs w:val="16"/>
        </w:rPr>
      </w:pPr>
      <w:r w:rsidRPr="00F57973">
        <w:rPr>
          <w:rFonts w:cs="Arial"/>
          <w:sz w:val="16"/>
          <w:szCs w:val="16"/>
        </w:rPr>
        <w:t>WCYP – Women, Children and Young People</w:t>
      </w:r>
    </w:p>
    <w:p w14:paraId="4C105EED" w14:textId="2FA90A8C" w:rsidR="00811E66" w:rsidRPr="00F57973" w:rsidRDefault="00811E66" w:rsidP="00A81FAB">
      <w:pPr>
        <w:spacing w:after="0" w:line="240" w:lineRule="auto"/>
        <w:ind w:left="567"/>
        <w:rPr>
          <w:rFonts w:cs="Arial"/>
          <w:sz w:val="16"/>
          <w:szCs w:val="16"/>
        </w:rPr>
      </w:pPr>
      <w:r w:rsidRPr="00F57973">
        <w:rPr>
          <w:rFonts w:cs="Arial"/>
          <w:sz w:val="16"/>
          <w:szCs w:val="16"/>
        </w:rPr>
        <w:t>KCVH</w:t>
      </w:r>
      <w:r w:rsidR="00051E8B">
        <w:rPr>
          <w:rFonts w:cs="Arial"/>
          <w:sz w:val="16"/>
          <w:szCs w:val="16"/>
        </w:rPr>
        <w:t xml:space="preserve"> </w:t>
      </w:r>
      <w:r w:rsidR="00051E8B" w:rsidRPr="00F57973">
        <w:rPr>
          <w:rFonts w:cs="Arial"/>
          <w:sz w:val="16"/>
          <w:szCs w:val="16"/>
        </w:rPr>
        <w:t>–</w:t>
      </w:r>
      <w:r w:rsidR="00051E8B">
        <w:rPr>
          <w:rFonts w:cs="Arial"/>
          <w:sz w:val="16"/>
          <w:szCs w:val="16"/>
        </w:rPr>
        <w:t xml:space="preserve"> </w:t>
      </w:r>
      <w:r w:rsidRPr="00F57973">
        <w:rPr>
          <w:rFonts w:cs="Arial"/>
          <w:sz w:val="16"/>
          <w:szCs w:val="16"/>
        </w:rPr>
        <w:t>Kent and Canterbury and Royal Victoria Hospitals</w:t>
      </w:r>
    </w:p>
    <w:p w14:paraId="4A21CC26" w14:textId="43904B4B" w:rsidR="00811E66" w:rsidRPr="00F57973" w:rsidRDefault="00811E66" w:rsidP="00A81FAB">
      <w:pPr>
        <w:spacing w:after="0" w:line="240" w:lineRule="auto"/>
        <w:ind w:left="567"/>
        <w:rPr>
          <w:rFonts w:cs="Arial"/>
          <w:sz w:val="16"/>
          <w:szCs w:val="16"/>
        </w:rPr>
      </w:pPr>
      <w:r w:rsidRPr="00F57973">
        <w:rPr>
          <w:rFonts w:cs="Arial"/>
          <w:sz w:val="16"/>
          <w:szCs w:val="16"/>
        </w:rPr>
        <w:t>WHH – William Harvey Hospital</w:t>
      </w:r>
    </w:p>
    <w:p w14:paraId="11A561C7" w14:textId="1184B06E" w:rsidR="00811E66" w:rsidRPr="00F57973" w:rsidRDefault="00811E66" w:rsidP="00A81FAB">
      <w:pPr>
        <w:spacing w:after="0" w:line="240" w:lineRule="auto"/>
        <w:ind w:left="567"/>
        <w:rPr>
          <w:rFonts w:cs="Arial"/>
          <w:sz w:val="16"/>
          <w:szCs w:val="16"/>
        </w:rPr>
      </w:pPr>
      <w:r w:rsidRPr="00F57973">
        <w:rPr>
          <w:rFonts w:cs="Arial"/>
          <w:sz w:val="16"/>
          <w:szCs w:val="16"/>
        </w:rPr>
        <w:t>DCB – Diagnostics, Cancer and Buckland Hospital</w:t>
      </w:r>
    </w:p>
    <w:p w14:paraId="2A7125E2" w14:textId="2A0663A1" w:rsidR="00811E66" w:rsidRPr="00F57973" w:rsidRDefault="00811E66" w:rsidP="00A81FAB">
      <w:pPr>
        <w:spacing w:after="120" w:line="240" w:lineRule="auto"/>
        <w:ind w:left="567"/>
        <w:rPr>
          <w:rFonts w:cs="Arial"/>
          <w:sz w:val="16"/>
          <w:szCs w:val="16"/>
        </w:rPr>
      </w:pPr>
      <w:r w:rsidRPr="00F57973">
        <w:rPr>
          <w:rFonts w:cs="Arial"/>
          <w:sz w:val="16"/>
          <w:szCs w:val="16"/>
        </w:rPr>
        <w:t>QEQM</w:t>
      </w:r>
      <w:r w:rsidR="00952FA3">
        <w:rPr>
          <w:rFonts w:cs="Arial"/>
          <w:sz w:val="16"/>
          <w:szCs w:val="16"/>
        </w:rPr>
        <w:t>H</w:t>
      </w:r>
      <w:r w:rsidRPr="00F57973">
        <w:rPr>
          <w:rFonts w:cs="Arial"/>
          <w:sz w:val="16"/>
          <w:szCs w:val="16"/>
        </w:rPr>
        <w:t xml:space="preserve"> – Queen Elizabeth the Queen Mother Hospital</w:t>
      </w:r>
    </w:p>
    <w:p w14:paraId="532C9DA6" w14:textId="39A8C5FC" w:rsidR="00A1500C" w:rsidRDefault="00446690"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t xml:space="preserve">An analysis of our completed Patient Safety Incident Investigations (PSIIs) </w:t>
      </w:r>
      <w:r w:rsidR="00F02F50" w:rsidRPr="00F57973">
        <w:rPr>
          <w:rFonts w:cs="Arial"/>
          <w:sz w:val="24"/>
          <w:szCs w:val="24"/>
        </w:rPr>
        <w:t>since June 2024 (eleven in total)</w:t>
      </w:r>
      <w:r w:rsidRPr="00F57973">
        <w:rPr>
          <w:rFonts w:cs="Arial"/>
          <w:sz w:val="24"/>
          <w:szCs w:val="24"/>
        </w:rPr>
        <w:t xml:space="preserve"> </w:t>
      </w:r>
      <w:r w:rsidR="00F02F50" w:rsidRPr="00F57973">
        <w:rPr>
          <w:rFonts w:cs="Arial"/>
          <w:sz w:val="24"/>
          <w:szCs w:val="24"/>
        </w:rPr>
        <w:t xml:space="preserve">identified common contributory factors </w:t>
      </w:r>
      <w:r w:rsidR="0013514A">
        <w:rPr>
          <w:rFonts w:cs="Arial"/>
          <w:sz w:val="24"/>
          <w:szCs w:val="24"/>
        </w:rPr>
        <w:lastRenderedPageBreak/>
        <w:t xml:space="preserve">(Table 3) </w:t>
      </w:r>
      <w:r w:rsidR="00F02F50" w:rsidRPr="00F57973">
        <w:rPr>
          <w:rFonts w:cs="Arial"/>
          <w:sz w:val="24"/>
          <w:szCs w:val="24"/>
        </w:rPr>
        <w:t>which were also reflect</w:t>
      </w:r>
      <w:r w:rsidR="00952FA3">
        <w:rPr>
          <w:rFonts w:cs="Arial"/>
          <w:sz w:val="24"/>
          <w:szCs w:val="24"/>
        </w:rPr>
        <w:t xml:space="preserve">ed within the </w:t>
      </w:r>
      <w:r w:rsidR="00F02F50" w:rsidRPr="00F57973">
        <w:rPr>
          <w:rFonts w:cs="Arial"/>
          <w:sz w:val="24"/>
          <w:szCs w:val="24"/>
        </w:rPr>
        <w:t xml:space="preserve">findings of </w:t>
      </w:r>
      <w:r w:rsidR="00952FA3">
        <w:rPr>
          <w:rFonts w:cs="Arial"/>
          <w:sz w:val="24"/>
          <w:szCs w:val="24"/>
        </w:rPr>
        <w:t xml:space="preserve">completed </w:t>
      </w:r>
      <w:r w:rsidR="00F02F50" w:rsidRPr="00F57973">
        <w:rPr>
          <w:rFonts w:cs="Arial"/>
          <w:sz w:val="24"/>
          <w:szCs w:val="24"/>
        </w:rPr>
        <w:t>After Action Reviews (AARs).</w:t>
      </w:r>
    </w:p>
    <w:tbl>
      <w:tblPr>
        <w:tblStyle w:val="TableGrid"/>
        <w:tblW w:w="0" w:type="auto"/>
        <w:tblInd w:w="562" w:type="dxa"/>
        <w:tblCellMar>
          <w:top w:w="57" w:type="dxa"/>
          <w:bottom w:w="57" w:type="dxa"/>
        </w:tblCellMar>
        <w:tblLook w:val="04A0" w:firstRow="1" w:lastRow="0" w:firstColumn="1" w:lastColumn="0" w:noHBand="0" w:noVBand="1"/>
      </w:tblPr>
      <w:tblGrid>
        <w:gridCol w:w="2268"/>
        <w:gridCol w:w="5925"/>
      </w:tblGrid>
      <w:tr w:rsidR="00F02F50" w:rsidRPr="00F57973" w14:paraId="6860B8CC" w14:textId="77777777" w:rsidTr="00FC48D9">
        <w:trPr>
          <w:tblHeader/>
        </w:trPr>
        <w:tc>
          <w:tcPr>
            <w:tcW w:w="2268" w:type="dxa"/>
            <w:shd w:val="clear" w:color="auto" w:fill="DDEEFF"/>
          </w:tcPr>
          <w:p w14:paraId="4C6DA3DF" w14:textId="69575AFC" w:rsidR="00F02F50" w:rsidRPr="00F57973" w:rsidRDefault="00F02F50" w:rsidP="00D65738">
            <w:pPr>
              <w:rPr>
                <w:rFonts w:cs="Arial"/>
                <w:b/>
                <w:sz w:val="24"/>
                <w:szCs w:val="24"/>
              </w:rPr>
            </w:pPr>
            <w:r w:rsidRPr="00F57973">
              <w:rPr>
                <w:rFonts w:cs="Arial"/>
                <w:b/>
                <w:sz w:val="24"/>
                <w:szCs w:val="24"/>
              </w:rPr>
              <w:t>System Factor</w:t>
            </w:r>
          </w:p>
        </w:tc>
        <w:tc>
          <w:tcPr>
            <w:tcW w:w="5925" w:type="dxa"/>
            <w:shd w:val="clear" w:color="auto" w:fill="DDEEFF"/>
          </w:tcPr>
          <w:p w14:paraId="2534745C" w14:textId="6FA84654" w:rsidR="00F02F50" w:rsidRPr="00F57973" w:rsidRDefault="00F02F50" w:rsidP="00D65738">
            <w:pPr>
              <w:rPr>
                <w:rFonts w:cs="Arial"/>
                <w:b/>
                <w:sz w:val="24"/>
                <w:szCs w:val="24"/>
              </w:rPr>
            </w:pPr>
            <w:r w:rsidRPr="00F57973">
              <w:rPr>
                <w:rFonts w:cs="Arial"/>
                <w:b/>
                <w:sz w:val="24"/>
                <w:szCs w:val="24"/>
              </w:rPr>
              <w:t>Contributory factor theme</w:t>
            </w:r>
          </w:p>
        </w:tc>
      </w:tr>
      <w:tr w:rsidR="00F02F50" w:rsidRPr="00F57973" w14:paraId="5F6E00C6" w14:textId="77777777" w:rsidTr="00A81FAB">
        <w:tc>
          <w:tcPr>
            <w:tcW w:w="2268" w:type="dxa"/>
          </w:tcPr>
          <w:p w14:paraId="619E5FF8" w14:textId="36265303" w:rsidR="00F02F50" w:rsidRPr="00F57973" w:rsidRDefault="00F02F50" w:rsidP="00D65738">
            <w:pPr>
              <w:rPr>
                <w:rFonts w:cs="Arial"/>
                <w:sz w:val="24"/>
                <w:szCs w:val="24"/>
              </w:rPr>
            </w:pPr>
            <w:r w:rsidRPr="00F57973">
              <w:rPr>
                <w:rFonts w:cs="Arial"/>
                <w:sz w:val="24"/>
                <w:szCs w:val="24"/>
              </w:rPr>
              <w:t>People</w:t>
            </w:r>
          </w:p>
        </w:tc>
        <w:tc>
          <w:tcPr>
            <w:tcW w:w="5925" w:type="dxa"/>
          </w:tcPr>
          <w:p w14:paraId="3AE23E1D" w14:textId="77777777" w:rsidR="00F02F50" w:rsidRPr="00F57973" w:rsidRDefault="00F02F50" w:rsidP="00D65738">
            <w:pPr>
              <w:rPr>
                <w:rFonts w:cs="Arial"/>
                <w:sz w:val="24"/>
                <w:szCs w:val="24"/>
              </w:rPr>
            </w:pPr>
            <w:r w:rsidRPr="00F57973">
              <w:rPr>
                <w:rFonts w:cs="Arial"/>
                <w:sz w:val="24"/>
                <w:szCs w:val="24"/>
              </w:rPr>
              <w:t>Higher representation of patients with protected characteristics or potentially affected by health inequalities.</w:t>
            </w:r>
          </w:p>
          <w:p w14:paraId="0F58E25C" w14:textId="77777777" w:rsidR="00F02F50" w:rsidRPr="00F57973" w:rsidRDefault="00F02F50" w:rsidP="00D65738">
            <w:pPr>
              <w:rPr>
                <w:rFonts w:cs="Arial"/>
                <w:sz w:val="24"/>
                <w:szCs w:val="24"/>
              </w:rPr>
            </w:pPr>
            <w:r w:rsidRPr="00F57973">
              <w:rPr>
                <w:rFonts w:cs="Arial"/>
                <w:sz w:val="24"/>
                <w:szCs w:val="24"/>
              </w:rPr>
              <w:t>Perception of the value of checklists.</w:t>
            </w:r>
          </w:p>
          <w:p w14:paraId="45C1A8E4" w14:textId="77777777" w:rsidR="00F02F50" w:rsidRPr="00F57973" w:rsidRDefault="00F02F50" w:rsidP="00D65738">
            <w:pPr>
              <w:rPr>
                <w:rFonts w:cs="Arial"/>
                <w:sz w:val="24"/>
                <w:szCs w:val="24"/>
              </w:rPr>
            </w:pPr>
            <w:r w:rsidRPr="00F57973">
              <w:rPr>
                <w:rFonts w:cs="Arial"/>
                <w:sz w:val="24"/>
                <w:szCs w:val="24"/>
              </w:rPr>
              <w:t>Communication in relation to consent.</w:t>
            </w:r>
          </w:p>
          <w:p w14:paraId="13D4A296" w14:textId="0B555D4A" w:rsidR="00F02F50" w:rsidRPr="00F57973" w:rsidRDefault="00F02F50" w:rsidP="00D65738">
            <w:pPr>
              <w:rPr>
                <w:rFonts w:cs="Arial"/>
                <w:sz w:val="24"/>
                <w:szCs w:val="24"/>
              </w:rPr>
            </w:pPr>
            <w:r w:rsidRPr="00F57973">
              <w:rPr>
                <w:rFonts w:cs="Arial"/>
                <w:sz w:val="24"/>
                <w:szCs w:val="24"/>
              </w:rPr>
              <w:t>Written and verbal communication.</w:t>
            </w:r>
          </w:p>
        </w:tc>
      </w:tr>
      <w:tr w:rsidR="00F02F50" w:rsidRPr="00F57973" w14:paraId="1E570FFB" w14:textId="77777777" w:rsidTr="00A81FAB">
        <w:tc>
          <w:tcPr>
            <w:tcW w:w="2268" w:type="dxa"/>
          </w:tcPr>
          <w:p w14:paraId="1A20932F" w14:textId="3B2DF83E" w:rsidR="00F02F50" w:rsidRPr="00F57973" w:rsidRDefault="00F02F50" w:rsidP="00D65738">
            <w:pPr>
              <w:rPr>
                <w:rFonts w:cs="Arial"/>
                <w:sz w:val="24"/>
                <w:szCs w:val="24"/>
              </w:rPr>
            </w:pPr>
            <w:r w:rsidRPr="00F57973">
              <w:rPr>
                <w:rFonts w:cs="Arial"/>
                <w:sz w:val="24"/>
                <w:szCs w:val="24"/>
              </w:rPr>
              <w:t>Tools and Technology</w:t>
            </w:r>
          </w:p>
        </w:tc>
        <w:tc>
          <w:tcPr>
            <w:tcW w:w="5925" w:type="dxa"/>
          </w:tcPr>
          <w:p w14:paraId="16C979A4" w14:textId="79945E16" w:rsidR="00F02F50" w:rsidRPr="00F57973" w:rsidRDefault="00F02F50" w:rsidP="00D65738">
            <w:pPr>
              <w:rPr>
                <w:rFonts w:cs="Arial"/>
                <w:sz w:val="24"/>
                <w:szCs w:val="24"/>
              </w:rPr>
            </w:pPr>
            <w:r w:rsidRPr="00F57973">
              <w:rPr>
                <w:rFonts w:cs="Arial"/>
                <w:sz w:val="24"/>
                <w:szCs w:val="24"/>
              </w:rPr>
              <w:t>Utilising systems to reduce the human element of processes or improve the efficiency of processes.</w:t>
            </w:r>
          </w:p>
          <w:p w14:paraId="6EBB3116" w14:textId="79E1544A" w:rsidR="00F02F50" w:rsidRPr="00F57973" w:rsidRDefault="00F02F50" w:rsidP="00D65738">
            <w:pPr>
              <w:rPr>
                <w:rFonts w:cs="Arial"/>
                <w:sz w:val="24"/>
                <w:szCs w:val="24"/>
              </w:rPr>
            </w:pPr>
            <w:r w:rsidRPr="00F57973">
              <w:rPr>
                <w:rFonts w:cs="Arial"/>
                <w:sz w:val="24"/>
                <w:szCs w:val="24"/>
              </w:rPr>
              <w:t>Availability of equipment.</w:t>
            </w:r>
          </w:p>
        </w:tc>
      </w:tr>
      <w:tr w:rsidR="00F02F50" w:rsidRPr="00F57973" w14:paraId="001B40A4" w14:textId="77777777" w:rsidTr="00A81FAB">
        <w:tc>
          <w:tcPr>
            <w:tcW w:w="2268" w:type="dxa"/>
          </w:tcPr>
          <w:p w14:paraId="0D0CD4BF" w14:textId="599AECFF" w:rsidR="00F02F50" w:rsidRPr="00F57973" w:rsidRDefault="00F02F50" w:rsidP="00D65738">
            <w:pPr>
              <w:rPr>
                <w:rFonts w:cs="Arial"/>
                <w:sz w:val="24"/>
                <w:szCs w:val="24"/>
              </w:rPr>
            </w:pPr>
            <w:r w:rsidRPr="00F57973">
              <w:rPr>
                <w:rFonts w:cs="Arial"/>
                <w:sz w:val="24"/>
                <w:szCs w:val="24"/>
              </w:rPr>
              <w:t>Tasks</w:t>
            </w:r>
          </w:p>
        </w:tc>
        <w:tc>
          <w:tcPr>
            <w:tcW w:w="5925" w:type="dxa"/>
          </w:tcPr>
          <w:p w14:paraId="48081128" w14:textId="04EC1F61" w:rsidR="00F02F50" w:rsidRPr="00F57973" w:rsidRDefault="00F02F50" w:rsidP="00D65738">
            <w:pPr>
              <w:rPr>
                <w:rFonts w:cs="Arial"/>
                <w:sz w:val="24"/>
                <w:szCs w:val="24"/>
              </w:rPr>
            </w:pPr>
            <w:r w:rsidRPr="00F57973">
              <w:rPr>
                <w:rFonts w:cs="Arial"/>
                <w:sz w:val="24"/>
                <w:szCs w:val="24"/>
              </w:rPr>
              <w:t>Safety standards for invasive procedures</w:t>
            </w:r>
            <w:r w:rsidR="0013295B" w:rsidRPr="00F57973">
              <w:rPr>
                <w:rFonts w:cs="Arial"/>
                <w:sz w:val="24"/>
                <w:szCs w:val="24"/>
              </w:rPr>
              <w:t xml:space="preserve"> and associated audits.</w:t>
            </w:r>
          </w:p>
          <w:p w14:paraId="404A5E95" w14:textId="3179905F" w:rsidR="00F02F50" w:rsidRPr="00F57973" w:rsidRDefault="00F02F50" w:rsidP="00D65738">
            <w:pPr>
              <w:rPr>
                <w:rFonts w:cs="Arial"/>
                <w:sz w:val="24"/>
                <w:szCs w:val="24"/>
              </w:rPr>
            </w:pPr>
            <w:r w:rsidRPr="00F57973">
              <w:rPr>
                <w:rFonts w:cs="Arial"/>
                <w:sz w:val="24"/>
                <w:szCs w:val="24"/>
              </w:rPr>
              <w:t>Record keeping.</w:t>
            </w:r>
          </w:p>
        </w:tc>
      </w:tr>
      <w:tr w:rsidR="00F02F50" w:rsidRPr="00F57973" w14:paraId="32CED984" w14:textId="77777777" w:rsidTr="00A81FAB">
        <w:tc>
          <w:tcPr>
            <w:tcW w:w="2268" w:type="dxa"/>
          </w:tcPr>
          <w:p w14:paraId="308B8422" w14:textId="1A4B00E8" w:rsidR="00F02F50" w:rsidRPr="00F57973" w:rsidRDefault="00F02F50" w:rsidP="00D65738">
            <w:pPr>
              <w:rPr>
                <w:rFonts w:cs="Arial"/>
                <w:sz w:val="24"/>
                <w:szCs w:val="24"/>
              </w:rPr>
            </w:pPr>
            <w:r w:rsidRPr="00F57973">
              <w:rPr>
                <w:rFonts w:cs="Arial"/>
                <w:sz w:val="24"/>
                <w:szCs w:val="24"/>
              </w:rPr>
              <w:t>Organisation of work</w:t>
            </w:r>
          </w:p>
        </w:tc>
        <w:tc>
          <w:tcPr>
            <w:tcW w:w="5925" w:type="dxa"/>
          </w:tcPr>
          <w:p w14:paraId="43D30B87" w14:textId="77777777" w:rsidR="00F02F50" w:rsidRPr="00F57973" w:rsidRDefault="0013295B" w:rsidP="00D65738">
            <w:pPr>
              <w:rPr>
                <w:rFonts w:cs="Arial"/>
                <w:sz w:val="24"/>
                <w:szCs w:val="24"/>
              </w:rPr>
            </w:pPr>
            <w:r w:rsidRPr="00F57973">
              <w:rPr>
                <w:rFonts w:cs="Arial"/>
                <w:sz w:val="24"/>
                <w:szCs w:val="24"/>
              </w:rPr>
              <w:t>Capacity and demand mismatch.</w:t>
            </w:r>
          </w:p>
          <w:p w14:paraId="3685F7A8" w14:textId="77777777" w:rsidR="0013295B" w:rsidRPr="00F57973" w:rsidRDefault="0013295B" w:rsidP="00D65738">
            <w:pPr>
              <w:rPr>
                <w:rFonts w:cs="Arial"/>
                <w:sz w:val="24"/>
                <w:szCs w:val="24"/>
              </w:rPr>
            </w:pPr>
            <w:r w:rsidRPr="00F57973">
              <w:rPr>
                <w:rFonts w:cs="Arial"/>
                <w:sz w:val="24"/>
                <w:szCs w:val="24"/>
              </w:rPr>
              <w:t>Risk assessment of staffing.</w:t>
            </w:r>
          </w:p>
          <w:p w14:paraId="635E0C65" w14:textId="77777777" w:rsidR="0013295B" w:rsidRPr="00F57973" w:rsidRDefault="0013295B" w:rsidP="00D65738">
            <w:pPr>
              <w:rPr>
                <w:rFonts w:cs="Arial"/>
                <w:sz w:val="24"/>
                <w:szCs w:val="24"/>
              </w:rPr>
            </w:pPr>
            <w:r w:rsidRPr="00F57973">
              <w:rPr>
                <w:rFonts w:cs="Arial"/>
                <w:sz w:val="24"/>
                <w:szCs w:val="24"/>
              </w:rPr>
              <w:t>Redesign of pathway.</w:t>
            </w:r>
          </w:p>
          <w:p w14:paraId="7358DACD" w14:textId="6D6D40ED" w:rsidR="0013295B" w:rsidRPr="00F57973" w:rsidRDefault="0013295B" w:rsidP="00D65738">
            <w:pPr>
              <w:rPr>
                <w:rFonts w:cs="Arial"/>
                <w:sz w:val="24"/>
                <w:szCs w:val="24"/>
              </w:rPr>
            </w:pPr>
            <w:r w:rsidRPr="00F57973">
              <w:rPr>
                <w:rFonts w:cs="Arial"/>
                <w:sz w:val="24"/>
                <w:szCs w:val="24"/>
              </w:rPr>
              <w:t>Training suitability and frequency.</w:t>
            </w:r>
          </w:p>
        </w:tc>
      </w:tr>
      <w:tr w:rsidR="00F02F50" w:rsidRPr="00F57973" w14:paraId="3F63ADA8" w14:textId="77777777" w:rsidTr="00A81FAB">
        <w:tc>
          <w:tcPr>
            <w:tcW w:w="2268" w:type="dxa"/>
          </w:tcPr>
          <w:p w14:paraId="684A8A9D" w14:textId="2AB68E11" w:rsidR="00F02F50" w:rsidRPr="00F57973" w:rsidRDefault="00F02F50" w:rsidP="00D65738">
            <w:pPr>
              <w:rPr>
                <w:rFonts w:cs="Arial"/>
                <w:sz w:val="24"/>
                <w:szCs w:val="24"/>
              </w:rPr>
            </w:pPr>
            <w:r w:rsidRPr="00F57973">
              <w:rPr>
                <w:rFonts w:cs="Arial"/>
                <w:sz w:val="24"/>
                <w:szCs w:val="24"/>
              </w:rPr>
              <w:t>Internal environment</w:t>
            </w:r>
          </w:p>
        </w:tc>
        <w:tc>
          <w:tcPr>
            <w:tcW w:w="5925" w:type="dxa"/>
          </w:tcPr>
          <w:p w14:paraId="0EB48BCB" w14:textId="60A52D9C" w:rsidR="00F02F50" w:rsidRPr="00F57973" w:rsidRDefault="0013295B" w:rsidP="00D65738">
            <w:pPr>
              <w:rPr>
                <w:rFonts w:cs="Arial"/>
                <w:sz w:val="24"/>
                <w:szCs w:val="24"/>
              </w:rPr>
            </w:pPr>
            <w:r w:rsidRPr="00F57973">
              <w:rPr>
                <w:rFonts w:cs="Arial"/>
                <w:sz w:val="24"/>
                <w:szCs w:val="24"/>
              </w:rPr>
              <w:t>Awareness of the impact of the environment on safety.</w:t>
            </w:r>
          </w:p>
        </w:tc>
      </w:tr>
      <w:tr w:rsidR="00F02F50" w:rsidRPr="00F57973" w14:paraId="6D6F0E53" w14:textId="77777777" w:rsidTr="00A81FAB">
        <w:tc>
          <w:tcPr>
            <w:tcW w:w="2268" w:type="dxa"/>
          </w:tcPr>
          <w:p w14:paraId="447B7E49" w14:textId="3BD39922" w:rsidR="00F02F50" w:rsidRPr="00F57973" w:rsidRDefault="00F02F50" w:rsidP="00D65738">
            <w:pPr>
              <w:rPr>
                <w:rFonts w:cs="Arial"/>
                <w:sz w:val="24"/>
                <w:szCs w:val="24"/>
              </w:rPr>
            </w:pPr>
            <w:r w:rsidRPr="00F57973">
              <w:rPr>
                <w:rFonts w:cs="Arial"/>
                <w:sz w:val="24"/>
                <w:szCs w:val="24"/>
              </w:rPr>
              <w:t>External (to the team) enviro</w:t>
            </w:r>
            <w:r w:rsidR="0013295B" w:rsidRPr="00F57973">
              <w:rPr>
                <w:rFonts w:cs="Arial"/>
                <w:sz w:val="24"/>
                <w:szCs w:val="24"/>
              </w:rPr>
              <w:t>n</w:t>
            </w:r>
            <w:r w:rsidRPr="00F57973">
              <w:rPr>
                <w:rFonts w:cs="Arial"/>
                <w:sz w:val="24"/>
                <w:szCs w:val="24"/>
              </w:rPr>
              <w:t>ment</w:t>
            </w:r>
          </w:p>
        </w:tc>
        <w:tc>
          <w:tcPr>
            <w:tcW w:w="5925" w:type="dxa"/>
          </w:tcPr>
          <w:p w14:paraId="71888D6C" w14:textId="77777777" w:rsidR="00F02F50" w:rsidRPr="00F57973" w:rsidRDefault="0013295B" w:rsidP="00D65738">
            <w:pPr>
              <w:rPr>
                <w:rFonts w:cs="Arial"/>
                <w:sz w:val="24"/>
                <w:szCs w:val="24"/>
              </w:rPr>
            </w:pPr>
            <w:r w:rsidRPr="00F57973">
              <w:rPr>
                <w:rFonts w:cs="Arial"/>
                <w:sz w:val="24"/>
                <w:szCs w:val="24"/>
              </w:rPr>
              <w:t>Knowledge of and engagement with Trust wide workstreams.</w:t>
            </w:r>
          </w:p>
          <w:p w14:paraId="50A88E7C" w14:textId="3C79E6FE" w:rsidR="0013295B" w:rsidRPr="00F57973" w:rsidRDefault="0013295B" w:rsidP="00D65738">
            <w:pPr>
              <w:rPr>
                <w:rFonts w:cs="Arial"/>
                <w:sz w:val="24"/>
                <w:szCs w:val="24"/>
              </w:rPr>
            </w:pPr>
            <w:r w:rsidRPr="00F57973">
              <w:rPr>
                <w:rFonts w:cs="Arial"/>
                <w:sz w:val="24"/>
                <w:szCs w:val="24"/>
              </w:rPr>
              <w:t>Addressing inequalities.</w:t>
            </w:r>
          </w:p>
        </w:tc>
      </w:tr>
    </w:tbl>
    <w:p w14:paraId="1CD044BD" w14:textId="275C394A" w:rsidR="0013295B" w:rsidRPr="00F02F7D" w:rsidRDefault="0013514A" w:rsidP="00A81FAB">
      <w:pPr>
        <w:spacing w:after="120" w:line="240" w:lineRule="auto"/>
        <w:ind w:left="567"/>
        <w:rPr>
          <w:rFonts w:cs="Arial"/>
          <w:bCs/>
          <w:sz w:val="20"/>
          <w:szCs w:val="20"/>
        </w:rPr>
      </w:pPr>
      <w:r w:rsidRPr="00F02F7D">
        <w:rPr>
          <w:rFonts w:cs="Arial"/>
          <w:bCs/>
          <w:sz w:val="20"/>
          <w:szCs w:val="20"/>
        </w:rPr>
        <w:t>Table 3: PSII contributory factors</w:t>
      </w:r>
    </w:p>
    <w:p w14:paraId="2593F5CD" w14:textId="6653F69D" w:rsidR="00D938A5" w:rsidRPr="00F57973" w:rsidRDefault="00446690"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t>We</w:t>
      </w:r>
      <w:r w:rsidR="004D1528" w:rsidRPr="00F57973">
        <w:rPr>
          <w:rFonts w:cs="Arial"/>
          <w:sz w:val="24"/>
          <w:szCs w:val="24"/>
        </w:rPr>
        <w:t xml:space="preserve"> also reviewed information from complaints and the Patient Liaison and Advisory service, inquests and claims and the learning from deaths process.  Similar themes were evident within this data.</w:t>
      </w:r>
    </w:p>
    <w:p w14:paraId="16C72BEF" w14:textId="167A631E" w:rsidR="00A87AE2" w:rsidRPr="00A81FAB" w:rsidRDefault="00A87AE2" w:rsidP="00A81FAB">
      <w:pPr>
        <w:pStyle w:val="ListParagraph"/>
        <w:numPr>
          <w:ilvl w:val="1"/>
          <w:numId w:val="20"/>
        </w:numPr>
        <w:spacing w:after="120" w:line="240" w:lineRule="auto"/>
        <w:contextualSpacing w:val="0"/>
        <w:rPr>
          <w:rFonts w:cs="Arial"/>
          <w:bCs/>
          <w:sz w:val="24"/>
          <w:szCs w:val="24"/>
        </w:rPr>
      </w:pPr>
      <w:r w:rsidRPr="00A81FAB">
        <w:rPr>
          <w:rFonts w:cs="Arial"/>
          <w:b/>
          <w:bCs/>
          <w:sz w:val="24"/>
          <w:szCs w:val="24"/>
        </w:rPr>
        <w:t>Stakeholder</w:t>
      </w:r>
      <w:r w:rsidRPr="00A81FAB">
        <w:rPr>
          <w:rFonts w:cs="Arial"/>
          <w:bCs/>
          <w:sz w:val="24"/>
          <w:szCs w:val="24"/>
        </w:rPr>
        <w:t xml:space="preserve"> </w:t>
      </w:r>
      <w:r w:rsidRPr="00A81FAB">
        <w:rPr>
          <w:rFonts w:cs="Arial"/>
          <w:b/>
          <w:bCs/>
          <w:sz w:val="24"/>
          <w:szCs w:val="24"/>
        </w:rPr>
        <w:t>Engagement</w:t>
      </w:r>
    </w:p>
    <w:p w14:paraId="71ED3BE0" w14:textId="028CA30D" w:rsidR="00A87AE2" w:rsidRPr="00A81FAB" w:rsidRDefault="001071F6" w:rsidP="00A81FAB">
      <w:pPr>
        <w:pStyle w:val="ListParagraph"/>
        <w:spacing w:after="0" w:line="240" w:lineRule="auto"/>
        <w:ind w:left="567"/>
        <w:contextualSpacing w:val="0"/>
        <w:rPr>
          <w:rFonts w:cs="Arial"/>
          <w:sz w:val="24"/>
          <w:szCs w:val="24"/>
        </w:rPr>
      </w:pPr>
      <w:r w:rsidRPr="00A81FAB">
        <w:rPr>
          <w:rFonts w:cs="Arial"/>
          <w:sz w:val="24"/>
          <w:szCs w:val="24"/>
        </w:rPr>
        <w:t xml:space="preserve">Our initial plan included the </w:t>
      </w:r>
      <w:r w:rsidR="00A87AE2" w:rsidRPr="00A81FAB">
        <w:rPr>
          <w:rFonts w:cs="Arial"/>
          <w:sz w:val="24"/>
          <w:szCs w:val="24"/>
        </w:rPr>
        <w:t>following stakeholders in the development and/or agreement of</w:t>
      </w:r>
      <w:r w:rsidR="00A1500C">
        <w:rPr>
          <w:rFonts w:cs="Arial"/>
          <w:sz w:val="24"/>
          <w:szCs w:val="24"/>
        </w:rPr>
        <w:t xml:space="preserve"> </w:t>
      </w:r>
      <w:r w:rsidR="00A87AE2" w:rsidRPr="00A81FAB">
        <w:rPr>
          <w:rFonts w:cs="Arial"/>
          <w:sz w:val="24"/>
          <w:szCs w:val="24"/>
        </w:rPr>
        <w:t>the safety incident profile</w:t>
      </w:r>
      <w:r w:rsidR="00957B5A" w:rsidRPr="00A81FAB">
        <w:rPr>
          <w:rFonts w:cs="Arial"/>
          <w:sz w:val="24"/>
          <w:szCs w:val="24"/>
        </w:rPr>
        <w:t>, these stakeholders continue to be engaged in our PSIR</w:t>
      </w:r>
      <w:r w:rsidR="00952FA3" w:rsidRPr="00A81FAB">
        <w:rPr>
          <w:rFonts w:cs="Arial"/>
          <w:sz w:val="24"/>
          <w:szCs w:val="24"/>
        </w:rPr>
        <w:t xml:space="preserve"> plan</w:t>
      </w:r>
      <w:r w:rsidR="00957B5A" w:rsidRPr="00A81FAB">
        <w:rPr>
          <w:rFonts w:cs="Arial"/>
          <w:sz w:val="24"/>
          <w:szCs w:val="24"/>
        </w:rPr>
        <w:t xml:space="preserve"> </w:t>
      </w:r>
      <w:r w:rsidR="00CF28BC" w:rsidRPr="00A81FAB">
        <w:rPr>
          <w:rFonts w:cs="Arial"/>
          <w:sz w:val="24"/>
          <w:szCs w:val="24"/>
        </w:rPr>
        <w:t>and related quality improvement processes.</w:t>
      </w:r>
    </w:p>
    <w:p w14:paraId="351EE83A" w14:textId="53B9E56E" w:rsidR="00A87AE2" w:rsidRPr="00F57973" w:rsidRDefault="00753752" w:rsidP="00A81FA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Patient Safety Specialist</w:t>
      </w:r>
      <w:r w:rsidR="00957B5A" w:rsidRPr="00F57973">
        <w:rPr>
          <w:rFonts w:cs="Arial"/>
          <w:sz w:val="24"/>
          <w:szCs w:val="24"/>
        </w:rPr>
        <w:t>s and patient safety teams</w:t>
      </w:r>
    </w:p>
    <w:p w14:paraId="7DBFC99D" w14:textId="6E3D42AC" w:rsidR="00A87AE2" w:rsidRPr="00F57973" w:rsidRDefault="00A87AE2" w:rsidP="00A81FA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 xml:space="preserve">Care Group </w:t>
      </w:r>
      <w:r w:rsidR="00CF28BC" w:rsidRPr="00F57973">
        <w:rPr>
          <w:rFonts w:cs="Arial"/>
          <w:sz w:val="24"/>
          <w:szCs w:val="24"/>
        </w:rPr>
        <w:t>quality governance and patient safety teams</w:t>
      </w:r>
      <w:r w:rsidR="00753752" w:rsidRPr="00F57973">
        <w:rPr>
          <w:rFonts w:cs="Arial"/>
          <w:sz w:val="24"/>
          <w:szCs w:val="24"/>
        </w:rPr>
        <w:t xml:space="preserve"> </w:t>
      </w:r>
    </w:p>
    <w:p w14:paraId="41A6965A" w14:textId="2393C52D" w:rsidR="00A87AE2" w:rsidRPr="00F57973" w:rsidRDefault="00CF28BC" w:rsidP="00A81FA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Risk management</w:t>
      </w:r>
    </w:p>
    <w:p w14:paraId="2EE2E086" w14:textId="5BCE8CE5" w:rsidR="00A87AE2" w:rsidRPr="00F57973" w:rsidRDefault="00A87AE2" w:rsidP="00A81FA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 xml:space="preserve">Legal </w:t>
      </w:r>
      <w:r w:rsidR="00CF28BC" w:rsidRPr="00F57973">
        <w:rPr>
          <w:rFonts w:cs="Arial"/>
          <w:sz w:val="24"/>
          <w:szCs w:val="24"/>
        </w:rPr>
        <w:t>s</w:t>
      </w:r>
      <w:r w:rsidRPr="00F57973">
        <w:rPr>
          <w:rFonts w:cs="Arial"/>
          <w:sz w:val="24"/>
          <w:szCs w:val="24"/>
        </w:rPr>
        <w:t xml:space="preserve">ervices </w:t>
      </w:r>
    </w:p>
    <w:p w14:paraId="50CC48C0" w14:textId="5B0C0C33" w:rsidR="00A87AE2" w:rsidRPr="00F57973" w:rsidRDefault="00A87AE2" w:rsidP="00A81FA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Complaints and P</w:t>
      </w:r>
      <w:r w:rsidR="00890889" w:rsidRPr="00F57973">
        <w:rPr>
          <w:rFonts w:cs="Arial"/>
          <w:sz w:val="24"/>
          <w:szCs w:val="24"/>
        </w:rPr>
        <w:t>ALS</w:t>
      </w:r>
      <w:r w:rsidRPr="00F57973">
        <w:rPr>
          <w:rFonts w:cs="Arial"/>
          <w:sz w:val="24"/>
          <w:szCs w:val="24"/>
        </w:rPr>
        <w:t xml:space="preserve"> Services </w:t>
      </w:r>
    </w:p>
    <w:p w14:paraId="52586222" w14:textId="77777777" w:rsidR="00051E8B" w:rsidRPr="00F57973" w:rsidRDefault="00051E8B" w:rsidP="00051E8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Quality Improvement Team</w:t>
      </w:r>
    </w:p>
    <w:p w14:paraId="480FBFF2" w14:textId="0B49DCD5" w:rsidR="00A87AE2" w:rsidRPr="00F57973" w:rsidRDefault="00443DF0" w:rsidP="00A81FA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Governors</w:t>
      </w:r>
      <w:r w:rsidR="00A87AE2" w:rsidRPr="00F57973">
        <w:rPr>
          <w:rFonts w:cs="Arial"/>
          <w:sz w:val="24"/>
          <w:szCs w:val="24"/>
        </w:rPr>
        <w:t xml:space="preserve"> </w:t>
      </w:r>
    </w:p>
    <w:p w14:paraId="1F438AB9" w14:textId="77777777" w:rsidR="00A87AE2" w:rsidRPr="00F57973" w:rsidRDefault="00A87AE2" w:rsidP="00A81FAB">
      <w:pPr>
        <w:pStyle w:val="ListParagraph"/>
        <w:numPr>
          <w:ilvl w:val="3"/>
          <w:numId w:val="20"/>
        </w:numPr>
        <w:spacing w:after="0" w:line="240" w:lineRule="auto"/>
        <w:ind w:left="851" w:hanging="284"/>
        <w:contextualSpacing w:val="0"/>
        <w:rPr>
          <w:rFonts w:cs="Arial"/>
          <w:sz w:val="24"/>
          <w:szCs w:val="24"/>
        </w:rPr>
      </w:pPr>
      <w:r w:rsidRPr="00F57973">
        <w:rPr>
          <w:rFonts w:cs="Arial"/>
          <w:sz w:val="24"/>
          <w:szCs w:val="24"/>
        </w:rPr>
        <w:t xml:space="preserve">Trust Board </w:t>
      </w:r>
    </w:p>
    <w:p w14:paraId="7D2D8C95" w14:textId="77777777" w:rsidR="00A87AE2" w:rsidRPr="00F57973" w:rsidRDefault="00A87AE2" w:rsidP="00051E8B">
      <w:pPr>
        <w:pStyle w:val="ListParagraph"/>
        <w:numPr>
          <w:ilvl w:val="3"/>
          <w:numId w:val="20"/>
        </w:numPr>
        <w:spacing w:after="120" w:line="240" w:lineRule="auto"/>
        <w:ind w:left="851" w:hanging="284"/>
        <w:contextualSpacing w:val="0"/>
        <w:rPr>
          <w:rFonts w:cs="Arial"/>
          <w:sz w:val="24"/>
          <w:szCs w:val="24"/>
        </w:rPr>
      </w:pPr>
      <w:r w:rsidRPr="00F57973">
        <w:rPr>
          <w:rFonts w:cs="Arial"/>
          <w:sz w:val="24"/>
          <w:szCs w:val="24"/>
        </w:rPr>
        <w:t>ICB Lead for PSIRF</w:t>
      </w:r>
    </w:p>
    <w:p w14:paraId="5173B715" w14:textId="77777777" w:rsidR="00A87AE2" w:rsidRPr="00F57973" w:rsidRDefault="00A87AE2" w:rsidP="00A81FAB">
      <w:pPr>
        <w:pStyle w:val="ListParagraph"/>
        <w:numPr>
          <w:ilvl w:val="1"/>
          <w:numId w:val="20"/>
        </w:numPr>
        <w:spacing w:after="120" w:line="240" w:lineRule="auto"/>
        <w:contextualSpacing w:val="0"/>
        <w:rPr>
          <w:rFonts w:cs="Arial"/>
          <w:sz w:val="24"/>
          <w:szCs w:val="24"/>
        </w:rPr>
      </w:pPr>
      <w:r w:rsidRPr="00F57973">
        <w:rPr>
          <w:rFonts w:cs="Arial"/>
          <w:b/>
          <w:bCs/>
          <w:sz w:val="24"/>
          <w:szCs w:val="24"/>
        </w:rPr>
        <w:t>Data</w:t>
      </w:r>
      <w:r w:rsidRPr="00F57973">
        <w:rPr>
          <w:rFonts w:cs="Arial"/>
          <w:sz w:val="24"/>
          <w:szCs w:val="24"/>
        </w:rPr>
        <w:t xml:space="preserve"> </w:t>
      </w:r>
      <w:r w:rsidRPr="00F57973">
        <w:rPr>
          <w:rFonts w:cs="Arial"/>
          <w:b/>
          <w:bCs/>
          <w:sz w:val="24"/>
          <w:szCs w:val="24"/>
        </w:rPr>
        <w:t>Sources</w:t>
      </w:r>
      <w:r w:rsidRPr="00F57973">
        <w:rPr>
          <w:rFonts w:cs="Arial"/>
          <w:sz w:val="24"/>
          <w:szCs w:val="24"/>
        </w:rPr>
        <w:t xml:space="preserve"> </w:t>
      </w:r>
    </w:p>
    <w:p w14:paraId="3AACE00B" w14:textId="514201BE" w:rsidR="00A87AE2" w:rsidRPr="00F57973" w:rsidRDefault="00CF28BC" w:rsidP="00D65738">
      <w:pPr>
        <w:pStyle w:val="ListParagraph"/>
        <w:numPr>
          <w:ilvl w:val="0"/>
          <w:numId w:val="21"/>
        </w:numPr>
        <w:spacing w:after="120" w:line="240" w:lineRule="auto"/>
        <w:rPr>
          <w:rFonts w:cs="Arial"/>
          <w:sz w:val="24"/>
          <w:szCs w:val="24"/>
        </w:rPr>
      </w:pPr>
      <w:r w:rsidRPr="00F57973">
        <w:rPr>
          <w:rFonts w:cs="Arial"/>
          <w:sz w:val="24"/>
          <w:szCs w:val="24"/>
        </w:rPr>
        <w:t>Patient safety event data (includes incidents, outcomes, good care and risks)</w:t>
      </w:r>
    </w:p>
    <w:p w14:paraId="151BD1C0" w14:textId="1490FF9B" w:rsidR="00A87AE2" w:rsidRPr="00F57973" w:rsidRDefault="00A87AE2" w:rsidP="00D65738">
      <w:pPr>
        <w:pStyle w:val="ListParagraph"/>
        <w:numPr>
          <w:ilvl w:val="0"/>
          <w:numId w:val="21"/>
        </w:numPr>
        <w:spacing w:after="120" w:line="240" w:lineRule="auto"/>
        <w:rPr>
          <w:rFonts w:cs="Arial"/>
          <w:sz w:val="24"/>
          <w:szCs w:val="24"/>
        </w:rPr>
      </w:pPr>
      <w:r w:rsidRPr="00F57973">
        <w:rPr>
          <w:rFonts w:cs="Arial"/>
          <w:sz w:val="24"/>
          <w:szCs w:val="24"/>
        </w:rPr>
        <w:lastRenderedPageBreak/>
        <w:t xml:space="preserve">Complaints and </w:t>
      </w:r>
      <w:r w:rsidR="00753752" w:rsidRPr="00F57973">
        <w:rPr>
          <w:rFonts w:cs="Arial"/>
          <w:sz w:val="24"/>
          <w:szCs w:val="24"/>
        </w:rPr>
        <w:t>PALS</w:t>
      </w:r>
      <w:r w:rsidRPr="00F57973">
        <w:rPr>
          <w:rFonts w:cs="Arial"/>
          <w:sz w:val="24"/>
          <w:szCs w:val="24"/>
        </w:rPr>
        <w:t xml:space="preserve"> data </w:t>
      </w:r>
    </w:p>
    <w:p w14:paraId="674A7EBA" w14:textId="77777777" w:rsidR="00A87AE2" w:rsidRPr="00F57973" w:rsidRDefault="00A87AE2" w:rsidP="00D65738">
      <w:pPr>
        <w:pStyle w:val="ListParagraph"/>
        <w:numPr>
          <w:ilvl w:val="0"/>
          <w:numId w:val="21"/>
        </w:numPr>
        <w:spacing w:after="120" w:line="240" w:lineRule="auto"/>
        <w:rPr>
          <w:rFonts w:cs="Arial"/>
          <w:sz w:val="24"/>
          <w:szCs w:val="24"/>
        </w:rPr>
      </w:pPr>
      <w:r w:rsidRPr="00F57973">
        <w:rPr>
          <w:rFonts w:cs="Arial"/>
          <w:sz w:val="24"/>
          <w:szCs w:val="24"/>
        </w:rPr>
        <w:t xml:space="preserve">Legal services data </w:t>
      </w:r>
    </w:p>
    <w:p w14:paraId="5434998D" w14:textId="0902368D" w:rsidR="00A87AE2" w:rsidRDefault="00A87AE2" w:rsidP="00D65738">
      <w:pPr>
        <w:pStyle w:val="ListParagraph"/>
        <w:numPr>
          <w:ilvl w:val="0"/>
          <w:numId w:val="21"/>
        </w:numPr>
        <w:spacing w:after="120" w:line="240" w:lineRule="auto"/>
        <w:rPr>
          <w:rFonts w:cs="Arial"/>
          <w:sz w:val="24"/>
          <w:szCs w:val="24"/>
        </w:rPr>
      </w:pPr>
      <w:r w:rsidRPr="00F57973">
        <w:rPr>
          <w:rFonts w:cs="Arial"/>
          <w:sz w:val="24"/>
          <w:szCs w:val="24"/>
        </w:rPr>
        <w:t xml:space="preserve">Themes from Freedom to Speak Up </w:t>
      </w:r>
    </w:p>
    <w:p w14:paraId="34F37399" w14:textId="10CB0DDF" w:rsidR="00952FA3" w:rsidRPr="00F57973" w:rsidRDefault="00952FA3" w:rsidP="00D65738">
      <w:pPr>
        <w:pStyle w:val="ListParagraph"/>
        <w:numPr>
          <w:ilvl w:val="0"/>
          <w:numId w:val="21"/>
        </w:numPr>
        <w:spacing w:after="120" w:line="240" w:lineRule="auto"/>
        <w:rPr>
          <w:rFonts w:cs="Arial"/>
          <w:sz w:val="24"/>
          <w:szCs w:val="24"/>
        </w:rPr>
      </w:pPr>
      <w:r>
        <w:rPr>
          <w:rFonts w:cs="Arial"/>
          <w:sz w:val="24"/>
          <w:szCs w:val="24"/>
        </w:rPr>
        <w:t>Learning from deaths process</w:t>
      </w:r>
    </w:p>
    <w:p w14:paraId="4E3D19C0" w14:textId="1B2F7D9E" w:rsidR="00337B7C" w:rsidRPr="00F57973" w:rsidRDefault="00A87AE2" w:rsidP="00051E8B">
      <w:pPr>
        <w:pStyle w:val="ListParagraph"/>
        <w:numPr>
          <w:ilvl w:val="0"/>
          <w:numId w:val="21"/>
        </w:numPr>
        <w:spacing w:after="120" w:line="240" w:lineRule="auto"/>
        <w:ind w:left="924" w:hanging="357"/>
        <w:contextualSpacing w:val="0"/>
        <w:rPr>
          <w:rFonts w:cs="Arial"/>
          <w:sz w:val="24"/>
          <w:szCs w:val="24"/>
        </w:rPr>
      </w:pPr>
      <w:r w:rsidRPr="00F57973">
        <w:rPr>
          <w:rFonts w:cs="Arial"/>
          <w:sz w:val="24"/>
          <w:szCs w:val="24"/>
        </w:rPr>
        <w:t>Discussions with key speciality leads for each of the key themes selected.</w:t>
      </w:r>
    </w:p>
    <w:p w14:paraId="07F2E2E7" w14:textId="585896B6" w:rsidR="00337B7C" w:rsidRPr="00377581" w:rsidRDefault="00D938A5" w:rsidP="00377581">
      <w:pPr>
        <w:pStyle w:val="ListParagraph"/>
        <w:numPr>
          <w:ilvl w:val="1"/>
          <w:numId w:val="20"/>
        </w:numPr>
        <w:spacing w:after="240" w:line="240" w:lineRule="auto"/>
        <w:contextualSpacing w:val="0"/>
        <w:rPr>
          <w:rFonts w:cs="Arial"/>
          <w:sz w:val="24"/>
          <w:szCs w:val="24"/>
        </w:rPr>
      </w:pPr>
      <w:r w:rsidRPr="00F57973">
        <w:rPr>
          <w:rFonts w:cs="Arial"/>
          <w:sz w:val="24"/>
          <w:szCs w:val="24"/>
        </w:rPr>
        <w:t xml:space="preserve">Our plan has </w:t>
      </w:r>
      <w:r w:rsidR="00CF28BC" w:rsidRPr="00F57973">
        <w:rPr>
          <w:rFonts w:cs="Arial"/>
          <w:sz w:val="24"/>
          <w:szCs w:val="24"/>
        </w:rPr>
        <w:t xml:space="preserve">now </w:t>
      </w:r>
      <w:r w:rsidRPr="00F57973">
        <w:rPr>
          <w:rFonts w:cs="Arial"/>
          <w:sz w:val="24"/>
          <w:szCs w:val="24"/>
        </w:rPr>
        <w:t>been aligned to the Trust Annual Quality Report</w:t>
      </w:r>
      <w:r w:rsidR="00CF28BC" w:rsidRPr="00F57973">
        <w:rPr>
          <w:rFonts w:cs="Arial"/>
          <w:sz w:val="24"/>
          <w:szCs w:val="24"/>
        </w:rPr>
        <w:t xml:space="preserve">.  The timeframes and </w:t>
      </w:r>
      <w:r w:rsidRPr="00F57973">
        <w:rPr>
          <w:rFonts w:cs="Arial"/>
          <w:sz w:val="24"/>
          <w:szCs w:val="24"/>
        </w:rPr>
        <w:t xml:space="preserve">review requirements </w:t>
      </w:r>
      <w:r w:rsidR="00CF28BC" w:rsidRPr="00F57973">
        <w:rPr>
          <w:rFonts w:cs="Arial"/>
          <w:sz w:val="24"/>
          <w:szCs w:val="24"/>
        </w:rPr>
        <w:t xml:space="preserve">for the </w:t>
      </w:r>
      <w:r w:rsidR="00952FA3">
        <w:rPr>
          <w:rFonts w:cs="Arial"/>
          <w:sz w:val="24"/>
          <w:szCs w:val="24"/>
        </w:rPr>
        <w:t>p</w:t>
      </w:r>
      <w:r w:rsidR="00CF28BC" w:rsidRPr="00F57973">
        <w:rPr>
          <w:rFonts w:cs="Arial"/>
          <w:sz w:val="24"/>
          <w:szCs w:val="24"/>
        </w:rPr>
        <w:t xml:space="preserve">lan have been </w:t>
      </w:r>
      <w:r w:rsidRPr="00F57973">
        <w:rPr>
          <w:rFonts w:cs="Arial"/>
          <w:sz w:val="24"/>
          <w:szCs w:val="24"/>
        </w:rPr>
        <w:t>agreed based on an annual cycle.</w:t>
      </w:r>
    </w:p>
    <w:p w14:paraId="38C2918B" w14:textId="2AF2421D" w:rsidR="004C26B2" w:rsidRPr="00F57973" w:rsidRDefault="00C55760" w:rsidP="00D65738">
      <w:pPr>
        <w:pStyle w:val="Heading1"/>
        <w:spacing w:line="240" w:lineRule="auto"/>
        <w:ind w:hanging="426"/>
        <w:rPr>
          <w:rFonts w:cs="Arial"/>
        </w:rPr>
      </w:pPr>
      <w:bookmarkStart w:id="10" w:name="_Toc205755277"/>
      <w:r w:rsidRPr="00F57973">
        <w:rPr>
          <w:rFonts w:cs="Arial"/>
        </w:rPr>
        <w:t>Patient safety improvement priorities</w:t>
      </w:r>
      <w:bookmarkEnd w:id="10"/>
    </w:p>
    <w:p w14:paraId="6F0CD67E" w14:textId="66DC9434" w:rsidR="00974D65" w:rsidRPr="00952FA3" w:rsidRDefault="00C55760" w:rsidP="00A81FAB">
      <w:pPr>
        <w:pStyle w:val="ListParagraph"/>
        <w:numPr>
          <w:ilvl w:val="1"/>
          <w:numId w:val="20"/>
        </w:numPr>
        <w:spacing w:after="120" w:line="240" w:lineRule="auto"/>
        <w:contextualSpacing w:val="0"/>
        <w:rPr>
          <w:rFonts w:cs="Arial"/>
          <w:sz w:val="24"/>
          <w:szCs w:val="24"/>
        </w:rPr>
      </w:pPr>
      <w:r w:rsidRPr="00952FA3">
        <w:rPr>
          <w:rFonts w:cs="Arial"/>
          <w:sz w:val="24"/>
          <w:szCs w:val="24"/>
        </w:rPr>
        <w:t xml:space="preserve">Our latest Annual Quality </w:t>
      </w:r>
      <w:r w:rsidR="00952FA3" w:rsidRPr="00952FA3">
        <w:rPr>
          <w:rFonts w:cs="Arial"/>
          <w:sz w:val="24"/>
          <w:szCs w:val="24"/>
        </w:rPr>
        <w:t xml:space="preserve">Report </w:t>
      </w:r>
      <w:r w:rsidRPr="00952FA3">
        <w:rPr>
          <w:rFonts w:cs="Arial"/>
          <w:sz w:val="24"/>
          <w:szCs w:val="24"/>
        </w:rPr>
        <w:t>sets out our Quality and Safety strate</w:t>
      </w:r>
      <w:r w:rsidR="00974D65" w:rsidRPr="00952FA3">
        <w:rPr>
          <w:rFonts w:cs="Arial"/>
          <w:sz w:val="24"/>
          <w:szCs w:val="24"/>
        </w:rPr>
        <w:t>gic objective as reducing harm and the delivery of safe services.</w:t>
      </w:r>
    </w:p>
    <w:p w14:paraId="00EEB49B" w14:textId="2C2A0E4D" w:rsidR="00974D65" w:rsidRPr="00952FA3" w:rsidRDefault="00974D65" w:rsidP="00A81FAB">
      <w:pPr>
        <w:pStyle w:val="ListParagraph"/>
        <w:numPr>
          <w:ilvl w:val="1"/>
          <w:numId w:val="20"/>
        </w:numPr>
        <w:spacing w:after="120" w:line="240" w:lineRule="auto"/>
        <w:contextualSpacing w:val="0"/>
        <w:rPr>
          <w:rFonts w:cs="Arial"/>
          <w:sz w:val="24"/>
          <w:szCs w:val="24"/>
        </w:rPr>
      </w:pPr>
      <w:r w:rsidRPr="00952FA3">
        <w:rPr>
          <w:rFonts w:cs="Arial"/>
          <w:sz w:val="24"/>
          <w:szCs w:val="24"/>
        </w:rPr>
        <w:t>The specific patient safety priorities for 2025/26 are:</w:t>
      </w:r>
    </w:p>
    <w:p w14:paraId="555BE58E" w14:textId="19E85CC3" w:rsidR="00974D65" w:rsidRPr="00952FA3" w:rsidRDefault="00974D65" w:rsidP="00D65738">
      <w:pPr>
        <w:pStyle w:val="ListParagraph"/>
        <w:numPr>
          <w:ilvl w:val="0"/>
          <w:numId w:val="21"/>
        </w:numPr>
        <w:spacing w:after="120" w:line="240" w:lineRule="auto"/>
        <w:rPr>
          <w:rFonts w:cs="Arial"/>
          <w:sz w:val="24"/>
          <w:szCs w:val="24"/>
        </w:rPr>
      </w:pPr>
      <w:r w:rsidRPr="00952FA3">
        <w:rPr>
          <w:rFonts w:cs="Arial"/>
          <w:sz w:val="24"/>
          <w:szCs w:val="24"/>
        </w:rPr>
        <w:t>Improve performance in falls</w:t>
      </w:r>
    </w:p>
    <w:p w14:paraId="5F6CCB8A" w14:textId="023B619C" w:rsidR="00974D65" w:rsidRPr="00952FA3" w:rsidRDefault="00974D65" w:rsidP="00D65738">
      <w:pPr>
        <w:pStyle w:val="ListParagraph"/>
        <w:numPr>
          <w:ilvl w:val="0"/>
          <w:numId w:val="21"/>
        </w:numPr>
        <w:spacing w:after="120" w:line="240" w:lineRule="auto"/>
        <w:rPr>
          <w:rFonts w:cs="Arial"/>
          <w:sz w:val="24"/>
          <w:szCs w:val="24"/>
        </w:rPr>
      </w:pPr>
      <w:r w:rsidRPr="00952FA3">
        <w:rPr>
          <w:rFonts w:cs="Arial"/>
          <w:sz w:val="24"/>
          <w:szCs w:val="24"/>
        </w:rPr>
        <w:t>Improve performance in hospital acquired pressure damage</w:t>
      </w:r>
    </w:p>
    <w:p w14:paraId="17186BC7" w14:textId="1D003EC5" w:rsidR="00974D65" w:rsidRPr="00952FA3" w:rsidRDefault="00974D65" w:rsidP="00D65738">
      <w:pPr>
        <w:pStyle w:val="ListParagraph"/>
        <w:numPr>
          <w:ilvl w:val="0"/>
          <w:numId w:val="21"/>
        </w:numPr>
        <w:spacing w:after="120" w:line="240" w:lineRule="auto"/>
        <w:rPr>
          <w:rFonts w:cs="Arial"/>
          <w:sz w:val="24"/>
          <w:szCs w:val="24"/>
        </w:rPr>
      </w:pPr>
      <w:r w:rsidRPr="00952FA3">
        <w:rPr>
          <w:rFonts w:cs="Arial"/>
          <w:sz w:val="24"/>
          <w:szCs w:val="24"/>
        </w:rPr>
        <w:t>Reduce harm from missed doses of critical medication</w:t>
      </w:r>
    </w:p>
    <w:p w14:paraId="129937CE" w14:textId="6D93EBEC" w:rsidR="00974D65" w:rsidRPr="00952FA3" w:rsidRDefault="00974D65" w:rsidP="00D65738">
      <w:pPr>
        <w:pStyle w:val="ListParagraph"/>
        <w:numPr>
          <w:ilvl w:val="0"/>
          <w:numId w:val="21"/>
        </w:numPr>
        <w:spacing w:after="120" w:line="240" w:lineRule="auto"/>
        <w:rPr>
          <w:rFonts w:cs="Arial"/>
          <w:sz w:val="24"/>
          <w:szCs w:val="24"/>
        </w:rPr>
      </w:pPr>
      <w:r w:rsidRPr="00952FA3">
        <w:rPr>
          <w:rFonts w:cs="Arial"/>
          <w:sz w:val="24"/>
          <w:szCs w:val="24"/>
        </w:rPr>
        <w:t>Deteriorating patient: Increase the compliance of response when a patient’s NEWS2 score is 5 or above</w:t>
      </w:r>
    </w:p>
    <w:p w14:paraId="50B1C18E" w14:textId="242B19A6" w:rsidR="00974D65" w:rsidRPr="00952FA3" w:rsidRDefault="00974D65" w:rsidP="00A81FAB">
      <w:pPr>
        <w:pStyle w:val="ListParagraph"/>
        <w:numPr>
          <w:ilvl w:val="0"/>
          <w:numId w:val="21"/>
        </w:numPr>
        <w:spacing w:after="120" w:line="240" w:lineRule="auto"/>
        <w:ind w:left="924" w:hanging="357"/>
        <w:contextualSpacing w:val="0"/>
        <w:rPr>
          <w:rFonts w:cs="Arial"/>
          <w:sz w:val="24"/>
          <w:szCs w:val="24"/>
        </w:rPr>
      </w:pPr>
      <w:r w:rsidRPr="00952FA3">
        <w:rPr>
          <w:rFonts w:cs="Arial"/>
          <w:sz w:val="24"/>
          <w:szCs w:val="24"/>
        </w:rPr>
        <w:t>Reduce preventable harm, morbidity and mortality associated with sepsis</w:t>
      </w:r>
      <w:r w:rsidR="00985845" w:rsidRPr="00952FA3">
        <w:rPr>
          <w:rFonts w:cs="Arial"/>
          <w:sz w:val="24"/>
          <w:szCs w:val="24"/>
        </w:rPr>
        <w:t>.</w:t>
      </w:r>
    </w:p>
    <w:p w14:paraId="3F61153C" w14:textId="1BEA1E5B" w:rsidR="00974D65" w:rsidRPr="00952FA3" w:rsidRDefault="00985845" w:rsidP="00A81FAB">
      <w:pPr>
        <w:pStyle w:val="ListParagraph"/>
        <w:numPr>
          <w:ilvl w:val="1"/>
          <w:numId w:val="20"/>
        </w:numPr>
        <w:spacing w:after="0" w:line="240" w:lineRule="auto"/>
        <w:contextualSpacing w:val="0"/>
        <w:rPr>
          <w:rFonts w:cs="Arial"/>
          <w:sz w:val="24"/>
          <w:szCs w:val="24"/>
        </w:rPr>
      </w:pPr>
      <w:r w:rsidRPr="00952FA3">
        <w:rPr>
          <w:rFonts w:cs="Arial"/>
          <w:sz w:val="24"/>
          <w:szCs w:val="24"/>
        </w:rPr>
        <w:t>Many of the other priorities for clinical effectiveness and patient experience are also relevant to our patient safety incident profile and to support the effective implementation of our PSIRF Policy.</w:t>
      </w:r>
    </w:p>
    <w:p w14:paraId="688056E6" w14:textId="274A7597" w:rsidR="00985845" w:rsidRPr="00952FA3" w:rsidRDefault="00985845" w:rsidP="00D65738">
      <w:pPr>
        <w:pStyle w:val="ListParagraph"/>
        <w:numPr>
          <w:ilvl w:val="0"/>
          <w:numId w:val="21"/>
        </w:numPr>
        <w:spacing w:after="120" w:line="240" w:lineRule="auto"/>
        <w:rPr>
          <w:rFonts w:cs="Arial"/>
          <w:sz w:val="24"/>
          <w:szCs w:val="24"/>
        </w:rPr>
      </w:pPr>
      <w:r w:rsidRPr="00952FA3">
        <w:rPr>
          <w:rFonts w:cs="Arial"/>
          <w:sz w:val="24"/>
          <w:szCs w:val="24"/>
        </w:rPr>
        <w:t>Timely access to all planned and unscheduled care</w:t>
      </w:r>
    </w:p>
    <w:p w14:paraId="6E8DD82D" w14:textId="20D16B29" w:rsidR="00985845" w:rsidRPr="00952FA3" w:rsidRDefault="00985845" w:rsidP="00D65738">
      <w:pPr>
        <w:pStyle w:val="ListParagraph"/>
        <w:numPr>
          <w:ilvl w:val="0"/>
          <w:numId w:val="21"/>
        </w:numPr>
        <w:spacing w:after="120" w:line="240" w:lineRule="auto"/>
        <w:rPr>
          <w:rFonts w:cs="Arial"/>
          <w:sz w:val="24"/>
          <w:szCs w:val="24"/>
        </w:rPr>
      </w:pPr>
      <w:r w:rsidRPr="00952FA3">
        <w:rPr>
          <w:rFonts w:cs="Arial"/>
          <w:sz w:val="24"/>
          <w:szCs w:val="24"/>
        </w:rPr>
        <w:t>Nutrition: increasing the number of patients who say they have had their dietary needs met</w:t>
      </w:r>
    </w:p>
    <w:p w14:paraId="16A826A0" w14:textId="6888C9EC" w:rsidR="00985845" w:rsidRPr="00952FA3" w:rsidRDefault="00985845" w:rsidP="00D65738">
      <w:pPr>
        <w:pStyle w:val="ListParagraph"/>
        <w:numPr>
          <w:ilvl w:val="0"/>
          <w:numId w:val="21"/>
        </w:numPr>
        <w:spacing w:after="120" w:line="240" w:lineRule="auto"/>
        <w:rPr>
          <w:rFonts w:cs="Arial"/>
          <w:sz w:val="24"/>
          <w:szCs w:val="24"/>
        </w:rPr>
      </w:pPr>
      <w:r w:rsidRPr="00952FA3">
        <w:rPr>
          <w:rFonts w:cs="Arial"/>
          <w:sz w:val="24"/>
          <w:szCs w:val="24"/>
        </w:rPr>
        <w:t>Addressing health inequalities</w:t>
      </w:r>
    </w:p>
    <w:p w14:paraId="62B75200" w14:textId="569FBEA0" w:rsidR="00985845" w:rsidRPr="00F57973" w:rsidRDefault="00985845" w:rsidP="00D65738">
      <w:pPr>
        <w:pStyle w:val="ListParagraph"/>
        <w:numPr>
          <w:ilvl w:val="0"/>
          <w:numId w:val="21"/>
        </w:numPr>
        <w:spacing w:after="120" w:line="240" w:lineRule="auto"/>
        <w:rPr>
          <w:rFonts w:cs="Arial"/>
          <w:sz w:val="24"/>
          <w:szCs w:val="24"/>
        </w:rPr>
      </w:pPr>
      <w:r w:rsidRPr="00F57973">
        <w:rPr>
          <w:rFonts w:cs="Arial"/>
          <w:sz w:val="24"/>
          <w:szCs w:val="24"/>
        </w:rPr>
        <w:t>Strengthen the psychological safety across our workforce</w:t>
      </w:r>
    </w:p>
    <w:p w14:paraId="4960E7FA" w14:textId="7252CA79" w:rsidR="00985845" w:rsidRPr="00F57973" w:rsidRDefault="00985845" w:rsidP="00D65738">
      <w:pPr>
        <w:pStyle w:val="ListParagraph"/>
        <w:numPr>
          <w:ilvl w:val="0"/>
          <w:numId w:val="21"/>
        </w:numPr>
        <w:spacing w:after="120" w:line="240" w:lineRule="auto"/>
        <w:rPr>
          <w:rFonts w:cs="Arial"/>
          <w:sz w:val="24"/>
          <w:szCs w:val="24"/>
        </w:rPr>
      </w:pPr>
      <w:r w:rsidRPr="00F57973">
        <w:rPr>
          <w:rFonts w:cs="Arial"/>
          <w:sz w:val="24"/>
          <w:szCs w:val="24"/>
        </w:rPr>
        <w:t>Improve our organisational culture and engagement</w:t>
      </w:r>
    </w:p>
    <w:p w14:paraId="6D2E868E" w14:textId="231F34FD" w:rsidR="00985845" w:rsidRPr="00F57973" w:rsidRDefault="00985845" w:rsidP="00A81FAB">
      <w:pPr>
        <w:pStyle w:val="ListParagraph"/>
        <w:numPr>
          <w:ilvl w:val="0"/>
          <w:numId w:val="21"/>
        </w:numPr>
        <w:spacing w:after="120" w:line="240" w:lineRule="auto"/>
        <w:ind w:left="924" w:hanging="357"/>
        <w:contextualSpacing w:val="0"/>
        <w:rPr>
          <w:rFonts w:cs="Arial"/>
          <w:sz w:val="24"/>
          <w:szCs w:val="24"/>
        </w:rPr>
      </w:pPr>
      <w:r w:rsidRPr="00F57973">
        <w:rPr>
          <w:rFonts w:cs="Arial"/>
          <w:sz w:val="24"/>
          <w:szCs w:val="24"/>
        </w:rPr>
        <w:t>Embed compassionate leadership.</w:t>
      </w:r>
    </w:p>
    <w:p w14:paraId="557024F9" w14:textId="7123E665" w:rsidR="00985845" w:rsidRPr="00F57973" w:rsidRDefault="00985845"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t>Improvement work within the care groups supports the Trust priorities and care group priorities.</w:t>
      </w:r>
      <w:r w:rsidR="00146A73" w:rsidRPr="00F57973">
        <w:rPr>
          <w:rFonts w:cs="Arial"/>
          <w:sz w:val="24"/>
          <w:szCs w:val="24"/>
        </w:rPr>
        <w:t xml:space="preserve">  Staff, within teams and specialities, regularly l</w:t>
      </w:r>
      <w:r w:rsidRPr="00F57973">
        <w:rPr>
          <w:rFonts w:cs="Arial"/>
          <w:sz w:val="24"/>
          <w:szCs w:val="24"/>
        </w:rPr>
        <w:t xml:space="preserve">ead on local </w:t>
      </w:r>
      <w:r w:rsidR="00146A73" w:rsidRPr="00F57973">
        <w:rPr>
          <w:rFonts w:cs="Arial"/>
          <w:sz w:val="24"/>
          <w:szCs w:val="24"/>
        </w:rPr>
        <w:t>projects and audits to inform improvements locally.</w:t>
      </w:r>
    </w:p>
    <w:p w14:paraId="22630224" w14:textId="4150F44E" w:rsidR="00146A73" w:rsidRPr="00F57973" w:rsidRDefault="00146A73" w:rsidP="00A81FAB">
      <w:pPr>
        <w:pStyle w:val="ListParagraph"/>
        <w:numPr>
          <w:ilvl w:val="1"/>
          <w:numId w:val="20"/>
        </w:numPr>
        <w:spacing w:after="120" w:line="240" w:lineRule="auto"/>
        <w:contextualSpacing w:val="0"/>
        <w:rPr>
          <w:rFonts w:cs="Arial"/>
          <w:sz w:val="24"/>
          <w:szCs w:val="24"/>
        </w:rPr>
      </w:pPr>
      <w:r w:rsidRPr="00F57973">
        <w:rPr>
          <w:rFonts w:cs="Arial"/>
          <w:sz w:val="24"/>
          <w:szCs w:val="24"/>
        </w:rPr>
        <w:t>Based on our patient safety profiling work undertaken our other PSIR</w:t>
      </w:r>
      <w:r w:rsidR="00952FA3">
        <w:rPr>
          <w:rFonts w:cs="Arial"/>
          <w:sz w:val="24"/>
          <w:szCs w:val="24"/>
        </w:rPr>
        <w:t xml:space="preserve"> plan</w:t>
      </w:r>
      <w:r w:rsidRPr="00F57973">
        <w:rPr>
          <w:rFonts w:cs="Arial"/>
          <w:sz w:val="24"/>
          <w:szCs w:val="24"/>
        </w:rPr>
        <w:t xml:space="preserve"> priorities</w:t>
      </w:r>
      <w:r w:rsidR="00952FA3">
        <w:rPr>
          <w:rFonts w:cs="Arial"/>
          <w:sz w:val="24"/>
          <w:szCs w:val="24"/>
        </w:rPr>
        <w:t xml:space="preserve"> for this year</w:t>
      </w:r>
      <w:r w:rsidRPr="00F57973">
        <w:rPr>
          <w:rFonts w:cs="Arial"/>
          <w:sz w:val="24"/>
          <w:szCs w:val="24"/>
        </w:rPr>
        <w:t xml:space="preserve"> are </w:t>
      </w:r>
      <w:r w:rsidR="00952FA3">
        <w:rPr>
          <w:rFonts w:cs="Arial"/>
          <w:sz w:val="24"/>
          <w:szCs w:val="24"/>
        </w:rPr>
        <w:t xml:space="preserve">to continue to review and address </w:t>
      </w:r>
      <w:r w:rsidRPr="00F57973">
        <w:rPr>
          <w:rFonts w:cs="Arial"/>
          <w:sz w:val="24"/>
          <w:szCs w:val="24"/>
        </w:rPr>
        <w:t>delay/failure</w:t>
      </w:r>
      <w:r w:rsidR="00952FA3">
        <w:rPr>
          <w:rFonts w:cs="Arial"/>
          <w:sz w:val="24"/>
          <w:szCs w:val="24"/>
        </w:rPr>
        <w:t xml:space="preserve"> incidents</w:t>
      </w:r>
      <w:r w:rsidRPr="00F57973">
        <w:rPr>
          <w:rFonts w:cs="Arial"/>
          <w:sz w:val="24"/>
          <w:szCs w:val="24"/>
        </w:rPr>
        <w:t xml:space="preserve"> and </w:t>
      </w:r>
      <w:r w:rsidR="00952FA3">
        <w:rPr>
          <w:rFonts w:cs="Arial"/>
          <w:sz w:val="24"/>
          <w:szCs w:val="24"/>
        </w:rPr>
        <w:t xml:space="preserve">re-invigorating the </w:t>
      </w:r>
      <w:r w:rsidRPr="00F57973">
        <w:rPr>
          <w:rFonts w:cs="Arial"/>
          <w:sz w:val="24"/>
          <w:szCs w:val="24"/>
        </w:rPr>
        <w:t>safety standards for invasive procedures.</w:t>
      </w:r>
    </w:p>
    <w:p w14:paraId="3786A3A6" w14:textId="6154F1C3" w:rsidR="002E106B" w:rsidRPr="00377581" w:rsidRDefault="00146A73" w:rsidP="00377581">
      <w:pPr>
        <w:pStyle w:val="ListParagraph"/>
        <w:numPr>
          <w:ilvl w:val="1"/>
          <w:numId w:val="20"/>
        </w:numPr>
        <w:spacing w:after="240" w:line="240" w:lineRule="auto"/>
        <w:contextualSpacing w:val="0"/>
        <w:rPr>
          <w:rFonts w:cs="Arial"/>
          <w:sz w:val="24"/>
          <w:szCs w:val="24"/>
        </w:rPr>
      </w:pPr>
      <w:r w:rsidRPr="00F57973">
        <w:rPr>
          <w:rFonts w:cs="Arial"/>
          <w:sz w:val="24"/>
          <w:szCs w:val="24"/>
        </w:rPr>
        <w:t xml:space="preserve">In addition, we want to improve our approach to engagement with patients, families and staff.  We will be adopting the </w:t>
      </w:r>
      <w:hyperlink r:id="rId13" w:history="1">
        <w:r w:rsidRPr="002138E9">
          <w:rPr>
            <w:rStyle w:val="Hyperlink"/>
            <w:rFonts w:cs="Arial"/>
            <w:sz w:val="24"/>
            <w:szCs w:val="24"/>
          </w:rPr>
          <w:t>resources</w:t>
        </w:r>
      </w:hyperlink>
      <w:r w:rsidRPr="00F57973">
        <w:rPr>
          <w:rFonts w:cs="Arial"/>
          <w:sz w:val="24"/>
          <w:szCs w:val="24"/>
        </w:rPr>
        <w:t xml:space="preserve"> available from </w:t>
      </w:r>
      <w:r w:rsidR="002138E9">
        <w:rPr>
          <w:rFonts w:cs="Arial"/>
          <w:sz w:val="24"/>
          <w:szCs w:val="24"/>
        </w:rPr>
        <w:t>Learn Together, NHS England and HSIB (2022)</w:t>
      </w:r>
      <w:r w:rsidRPr="00F57973">
        <w:rPr>
          <w:rFonts w:cs="Arial"/>
          <w:sz w:val="24"/>
          <w:szCs w:val="24"/>
        </w:rPr>
        <w:t xml:space="preserve"> and updating our training for staff.  </w:t>
      </w:r>
      <w:r w:rsidR="008B0EDE">
        <w:rPr>
          <w:rFonts w:cs="Arial"/>
          <w:sz w:val="24"/>
          <w:szCs w:val="24"/>
        </w:rPr>
        <w:t xml:space="preserve">Any </w:t>
      </w:r>
      <w:r w:rsidR="00023C41">
        <w:rPr>
          <w:rFonts w:cs="Arial"/>
          <w:sz w:val="24"/>
          <w:szCs w:val="24"/>
        </w:rPr>
        <w:t xml:space="preserve">notifiable patient safety </w:t>
      </w:r>
      <w:r w:rsidR="008B0EDE">
        <w:rPr>
          <w:rFonts w:cs="Arial"/>
          <w:sz w:val="24"/>
          <w:szCs w:val="24"/>
        </w:rPr>
        <w:t>incident, irrespective of application of this plan,</w:t>
      </w:r>
      <w:r w:rsidR="00023C41">
        <w:rPr>
          <w:rFonts w:cs="Arial"/>
          <w:sz w:val="24"/>
          <w:szCs w:val="24"/>
        </w:rPr>
        <w:t xml:space="preserve"> will initiate our Trust Duty of Candour process.  </w:t>
      </w:r>
      <w:r w:rsidRPr="00F57973">
        <w:rPr>
          <w:rFonts w:cs="Arial"/>
          <w:sz w:val="24"/>
          <w:szCs w:val="24"/>
        </w:rPr>
        <w:t>We also want to improve our understanding</w:t>
      </w:r>
      <w:r w:rsidR="002138E9">
        <w:rPr>
          <w:rFonts w:cs="Arial"/>
          <w:sz w:val="24"/>
          <w:szCs w:val="24"/>
        </w:rPr>
        <w:t xml:space="preserve"> and management</w:t>
      </w:r>
      <w:r w:rsidRPr="00F57973">
        <w:rPr>
          <w:rFonts w:cs="Arial"/>
          <w:sz w:val="24"/>
          <w:szCs w:val="24"/>
        </w:rPr>
        <w:t xml:space="preserve"> of the impact </w:t>
      </w:r>
      <w:r w:rsidR="002138E9">
        <w:rPr>
          <w:rFonts w:cs="Arial"/>
          <w:sz w:val="24"/>
          <w:szCs w:val="24"/>
        </w:rPr>
        <w:t xml:space="preserve">of patient safety incidents </w:t>
      </w:r>
      <w:r w:rsidRPr="00F57973">
        <w:rPr>
          <w:rFonts w:cs="Arial"/>
          <w:sz w:val="24"/>
          <w:szCs w:val="24"/>
        </w:rPr>
        <w:t>on patient</w:t>
      </w:r>
      <w:r w:rsidR="002138E9">
        <w:rPr>
          <w:rFonts w:cs="Arial"/>
          <w:sz w:val="24"/>
          <w:szCs w:val="24"/>
        </w:rPr>
        <w:t>s</w:t>
      </w:r>
      <w:r w:rsidRPr="00F57973">
        <w:rPr>
          <w:rFonts w:cs="Arial"/>
          <w:sz w:val="24"/>
          <w:szCs w:val="24"/>
        </w:rPr>
        <w:t>, family members and staff</w:t>
      </w:r>
      <w:r w:rsidR="002138E9">
        <w:rPr>
          <w:rFonts w:cs="Arial"/>
          <w:sz w:val="24"/>
          <w:szCs w:val="24"/>
        </w:rPr>
        <w:t xml:space="preserve">.  This includes improving how we make adjustments for </w:t>
      </w:r>
      <w:r w:rsidRPr="00F57973">
        <w:rPr>
          <w:rFonts w:cs="Arial"/>
          <w:sz w:val="24"/>
          <w:szCs w:val="24"/>
        </w:rPr>
        <w:t>protected characteristics and health inequalities.</w:t>
      </w:r>
    </w:p>
    <w:p w14:paraId="76E32F60" w14:textId="77777777" w:rsidR="00FC48D9" w:rsidRDefault="00FC48D9">
      <w:pPr>
        <w:rPr>
          <w:rFonts w:eastAsiaTheme="majorEastAsia" w:cs="Arial"/>
          <w:b/>
          <w:bCs/>
          <w:color w:val="005EB8"/>
          <w:sz w:val="28"/>
          <w:szCs w:val="28"/>
        </w:rPr>
      </w:pPr>
      <w:bookmarkStart w:id="11" w:name="_Toc205755278"/>
      <w:r>
        <w:rPr>
          <w:rFonts w:cs="Arial"/>
        </w:rPr>
        <w:br w:type="page"/>
      </w:r>
    </w:p>
    <w:p w14:paraId="13CDEF18" w14:textId="60F01F07" w:rsidR="003F07E1" w:rsidRPr="00F57973" w:rsidRDefault="007124D8" w:rsidP="00D65738">
      <w:pPr>
        <w:pStyle w:val="Heading1"/>
        <w:spacing w:line="240" w:lineRule="auto"/>
        <w:ind w:hanging="426"/>
        <w:rPr>
          <w:rFonts w:cs="Arial"/>
        </w:rPr>
      </w:pPr>
      <w:r w:rsidRPr="00F57973">
        <w:rPr>
          <w:rFonts w:cs="Arial"/>
        </w:rPr>
        <w:lastRenderedPageBreak/>
        <w:t xml:space="preserve">Our </w:t>
      </w:r>
      <w:r w:rsidR="000135CE" w:rsidRPr="00F57973">
        <w:rPr>
          <w:rFonts w:cs="Arial"/>
        </w:rPr>
        <w:t>P</w:t>
      </w:r>
      <w:r w:rsidRPr="00F57973">
        <w:rPr>
          <w:rFonts w:cs="Arial"/>
        </w:rPr>
        <w:t xml:space="preserve">atient </w:t>
      </w:r>
      <w:r w:rsidR="000135CE" w:rsidRPr="00F57973">
        <w:rPr>
          <w:rFonts w:cs="Arial"/>
        </w:rPr>
        <w:t>S</w:t>
      </w:r>
      <w:r w:rsidRPr="00F57973">
        <w:rPr>
          <w:rFonts w:cs="Arial"/>
        </w:rPr>
        <w:t xml:space="preserve">afety </w:t>
      </w:r>
      <w:r w:rsidR="000135CE" w:rsidRPr="00F57973">
        <w:rPr>
          <w:rFonts w:cs="Arial"/>
        </w:rPr>
        <w:t>I</w:t>
      </w:r>
      <w:r w:rsidRPr="00F57973">
        <w:rPr>
          <w:rFonts w:cs="Arial"/>
        </w:rPr>
        <w:t xml:space="preserve">ncident </w:t>
      </w:r>
      <w:r w:rsidR="000135CE" w:rsidRPr="00F57973">
        <w:rPr>
          <w:rFonts w:cs="Arial"/>
        </w:rPr>
        <w:t>R</w:t>
      </w:r>
      <w:r w:rsidRPr="00F57973">
        <w:rPr>
          <w:rFonts w:cs="Arial"/>
        </w:rPr>
        <w:t xml:space="preserve">esponse </w:t>
      </w:r>
      <w:r w:rsidR="000135CE" w:rsidRPr="00F57973">
        <w:rPr>
          <w:rFonts w:cs="Arial"/>
        </w:rPr>
        <w:t>P</w:t>
      </w:r>
      <w:r w:rsidRPr="00F57973">
        <w:rPr>
          <w:rFonts w:cs="Arial"/>
        </w:rPr>
        <w:t>lan</w:t>
      </w:r>
      <w:bookmarkEnd w:id="11"/>
    </w:p>
    <w:p w14:paraId="2676A21E" w14:textId="134D14A2" w:rsidR="002E106B" w:rsidRPr="00D65738" w:rsidRDefault="002E106B" w:rsidP="00A81FAB">
      <w:pPr>
        <w:pStyle w:val="ListParagraph"/>
        <w:numPr>
          <w:ilvl w:val="1"/>
          <w:numId w:val="20"/>
        </w:numPr>
        <w:spacing w:after="120" w:line="240" w:lineRule="auto"/>
        <w:contextualSpacing w:val="0"/>
        <w:rPr>
          <w:rFonts w:cs="Arial"/>
          <w:b/>
          <w:sz w:val="24"/>
          <w:szCs w:val="24"/>
        </w:rPr>
      </w:pPr>
      <w:r w:rsidRPr="00D65738">
        <w:rPr>
          <w:rFonts w:cs="Arial"/>
          <w:b/>
          <w:sz w:val="24"/>
          <w:szCs w:val="24"/>
        </w:rPr>
        <w:t xml:space="preserve">National requirements for </w:t>
      </w:r>
      <w:r w:rsidR="006B6F65">
        <w:rPr>
          <w:rFonts w:cs="Arial"/>
          <w:b/>
          <w:sz w:val="24"/>
          <w:szCs w:val="24"/>
        </w:rPr>
        <w:t>a learning response</w:t>
      </w:r>
    </w:p>
    <w:tbl>
      <w:tblPr>
        <w:tblStyle w:val="TableGrid"/>
        <w:tblW w:w="0" w:type="auto"/>
        <w:tblInd w:w="562" w:type="dxa"/>
        <w:tblCellMar>
          <w:top w:w="57" w:type="dxa"/>
          <w:bottom w:w="57" w:type="dxa"/>
        </w:tblCellMar>
        <w:tblLook w:val="04A0" w:firstRow="1" w:lastRow="0" w:firstColumn="1" w:lastColumn="0" w:noHBand="0" w:noVBand="1"/>
      </w:tblPr>
      <w:tblGrid>
        <w:gridCol w:w="4040"/>
        <w:gridCol w:w="4040"/>
      </w:tblGrid>
      <w:tr w:rsidR="002E106B" w:rsidRPr="00F57973" w14:paraId="07B19094" w14:textId="77777777" w:rsidTr="00A81FAB">
        <w:trPr>
          <w:tblHeader/>
        </w:trPr>
        <w:tc>
          <w:tcPr>
            <w:tcW w:w="4040" w:type="dxa"/>
            <w:shd w:val="clear" w:color="auto" w:fill="DDEEFF"/>
          </w:tcPr>
          <w:p w14:paraId="408C044B" w14:textId="2E90D8AB" w:rsidR="002E106B" w:rsidRPr="00F57973" w:rsidRDefault="002E106B" w:rsidP="00D65738">
            <w:pPr>
              <w:rPr>
                <w:rFonts w:cs="Arial"/>
                <w:b/>
                <w:bCs/>
                <w:sz w:val="24"/>
                <w:szCs w:val="24"/>
              </w:rPr>
            </w:pPr>
            <w:r w:rsidRPr="00F57973">
              <w:rPr>
                <w:rFonts w:cs="Arial"/>
                <w:b/>
                <w:bCs/>
                <w:sz w:val="24"/>
                <w:szCs w:val="24"/>
              </w:rPr>
              <w:t>National criteria</w:t>
            </w:r>
          </w:p>
        </w:tc>
        <w:tc>
          <w:tcPr>
            <w:tcW w:w="4040" w:type="dxa"/>
            <w:shd w:val="clear" w:color="auto" w:fill="DDEEFF"/>
          </w:tcPr>
          <w:p w14:paraId="568D93B3" w14:textId="5F0E87C9" w:rsidR="002E106B" w:rsidRPr="00F57973" w:rsidRDefault="002E106B" w:rsidP="00D65738">
            <w:pPr>
              <w:rPr>
                <w:rFonts w:cs="Arial"/>
                <w:b/>
                <w:bCs/>
                <w:sz w:val="24"/>
                <w:szCs w:val="24"/>
              </w:rPr>
            </w:pPr>
            <w:r w:rsidRPr="00F57973">
              <w:rPr>
                <w:rFonts w:cs="Arial"/>
                <w:b/>
                <w:bCs/>
                <w:sz w:val="24"/>
                <w:szCs w:val="24"/>
              </w:rPr>
              <w:t>Required response</w:t>
            </w:r>
          </w:p>
        </w:tc>
      </w:tr>
      <w:tr w:rsidR="002E106B" w:rsidRPr="00F57973" w14:paraId="22D83492" w14:textId="77777777" w:rsidTr="00A81FAB">
        <w:tc>
          <w:tcPr>
            <w:tcW w:w="4040" w:type="dxa"/>
          </w:tcPr>
          <w:p w14:paraId="42042A59" w14:textId="5C7DA6CF" w:rsidR="002E106B" w:rsidRPr="00F57973" w:rsidRDefault="002E106B" w:rsidP="00D65738">
            <w:pPr>
              <w:rPr>
                <w:rFonts w:cs="Arial"/>
                <w:sz w:val="24"/>
                <w:szCs w:val="24"/>
              </w:rPr>
            </w:pPr>
            <w:r w:rsidRPr="00F57973">
              <w:rPr>
                <w:rFonts w:cs="Arial"/>
                <w:sz w:val="24"/>
                <w:szCs w:val="24"/>
              </w:rPr>
              <w:t xml:space="preserve">Never Events </w:t>
            </w:r>
          </w:p>
        </w:tc>
        <w:tc>
          <w:tcPr>
            <w:tcW w:w="4040" w:type="dxa"/>
          </w:tcPr>
          <w:p w14:paraId="34D97518" w14:textId="75CAC4E0" w:rsidR="002E106B" w:rsidRPr="00F57973" w:rsidRDefault="00DC0FB2" w:rsidP="00D65738">
            <w:pPr>
              <w:rPr>
                <w:rFonts w:cs="Arial"/>
                <w:sz w:val="24"/>
                <w:szCs w:val="24"/>
              </w:rPr>
            </w:pPr>
            <w:r>
              <w:rPr>
                <w:rFonts w:cs="Arial"/>
                <w:sz w:val="24"/>
                <w:szCs w:val="24"/>
              </w:rPr>
              <w:t>Proportionate response as per the local review and requirements</w:t>
            </w:r>
          </w:p>
        </w:tc>
      </w:tr>
      <w:tr w:rsidR="002E106B" w:rsidRPr="00F57973" w14:paraId="2F545749" w14:textId="77777777" w:rsidTr="00A81FAB">
        <w:tc>
          <w:tcPr>
            <w:tcW w:w="4040" w:type="dxa"/>
          </w:tcPr>
          <w:p w14:paraId="62379FCA" w14:textId="17DBAB08" w:rsidR="002E106B" w:rsidRPr="00F57973" w:rsidRDefault="002E106B" w:rsidP="00D65738">
            <w:pPr>
              <w:rPr>
                <w:rFonts w:cs="Arial"/>
                <w:sz w:val="24"/>
                <w:szCs w:val="24"/>
              </w:rPr>
            </w:pPr>
            <w:r w:rsidRPr="00F57973">
              <w:rPr>
                <w:rFonts w:cs="Arial"/>
                <w:sz w:val="24"/>
                <w:szCs w:val="24"/>
              </w:rPr>
              <w:t>Death</w:t>
            </w:r>
            <w:r w:rsidR="000D6885">
              <w:rPr>
                <w:rFonts w:cs="Arial"/>
                <w:sz w:val="24"/>
                <w:szCs w:val="24"/>
              </w:rPr>
              <w:t>s</w:t>
            </w:r>
            <w:r w:rsidRPr="00F57973">
              <w:rPr>
                <w:rFonts w:cs="Arial"/>
                <w:sz w:val="24"/>
                <w:szCs w:val="24"/>
              </w:rPr>
              <w:t xml:space="preserve"> thought more likely than not due to problems in care (learning from deaths criteria)</w:t>
            </w:r>
          </w:p>
        </w:tc>
        <w:tc>
          <w:tcPr>
            <w:tcW w:w="4040" w:type="dxa"/>
          </w:tcPr>
          <w:p w14:paraId="0AF9E1B3" w14:textId="0D493754" w:rsidR="002E106B" w:rsidRPr="00F57973" w:rsidRDefault="002E106B" w:rsidP="00D65738">
            <w:pPr>
              <w:rPr>
                <w:rFonts w:cs="Arial"/>
                <w:sz w:val="24"/>
                <w:szCs w:val="24"/>
              </w:rPr>
            </w:pPr>
            <w:r w:rsidRPr="00F57973">
              <w:rPr>
                <w:rFonts w:cs="Arial"/>
                <w:sz w:val="24"/>
                <w:szCs w:val="24"/>
              </w:rPr>
              <w:t>Patient Safety Incident Investigation</w:t>
            </w:r>
          </w:p>
        </w:tc>
      </w:tr>
      <w:tr w:rsidR="002E106B" w:rsidRPr="00F57973" w14:paraId="3A30AD0C" w14:textId="77777777" w:rsidTr="00A81FAB">
        <w:tc>
          <w:tcPr>
            <w:tcW w:w="4040" w:type="dxa"/>
          </w:tcPr>
          <w:p w14:paraId="26397F78" w14:textId="5B06098E" w:rsidR="002E106B" w:rsidRPr="00F57973" w:rsidRDefault="002E106B" w:rsidP="00D65738">
            <w:pPr>
              <w:rPr>
                <w:rFonts w:cs="Arial"/>
                <w:sz w:val="24"/>
                <w:szCs w:val="24"/>
              </w:rPr>
            </w:pPr>
            <w:r w:rsidRPr="00F57973">
              <w:rPr>
                <w:rFonts w:cs="Arial"/>
                <w:sz w:val="24"/>
                <w:szCs w:val="24"/>
              </w:rPr>
              <w:t xml:space="preserve">Maternity and neonatal incidents meeting Maternity and </w:t>
            </w:r>
            <w:r w:rsidR="003E233A" w:rsidRPr="00F57973">
              <w:rPr>
                <w:rFonts w:cs="Arial"/>
                <w:sz w:val="24"/>
                <w:szCs w:val="24"/>
              </w:rPr>
              <w:t>Newborn</w:t>
            </w:r>
            <w:r w:rsidRPr="00F57973">
              <w:rPr>
                <w:rFonts w:cs="Arial"/>
                <w:sz w:val="24"/>
                <w:szCs w:val="24"/>
              </w:rPr>
              <w:t xml:space="preserve"> Safety Investigations (MNSI) programme criteria</w:t>
            </w:r>
          </w:p>
        </w:tc>
        <w:tc>
          <w:tcPr>
            <w:tcW w:w="4040" w:type="dxa"/>
          </w:tcPr>
          <w:p w14:paraId="06DBD2BF" w14:textId="1C332654" w:rsidR="002E106B" w:rsidRPr="00F57973" w:rsidRDefault="002E106B" w:rsidP="00D65738">
            <w:pPr>
              <w:rPr>
                <w:rFonts w:cs="Arial"/>
                <w:sz w:val="24"/>
                <w:szCs w:val="24"/>
              </w:rPr>
            </w:pPr>
            <w:r w:rsidRPr="00F57973">
              <w:rPr>
                <w:rFonts w:cs="Arial"/>
                <w:sz w:val="24"/>
                <w:szCs w:val="24"/>
              </w:rPr>
              <w:t>Referred to MNSI for Independent Patient Safety Incident Investigation</w:t>
            </w:r>
          </w:p>
        </w:tc>
      </w:tr>
    </w:tbl>
    <w:p w14:paraId="1426FF4D" w14:textId="75496DE8" w:rsidR="00FC48D9" w:rsidRPr="00FC48D9" w:rsidRDefault="0013514A" w:rsidP="00FC48D9">
      <w:pPr>
        <w:spacing w:after="120" w:line="240" w:lineRule="auto"/>
        <w:ind w:left="567"/>
        <w:rPr>
          <w:rFonts w:cs="Arial"/>
          <w:bCs/>
          <w:sz w:val="20"/>
          <w:szCs w:val="20"/>
        </w:rPr>
      </w:pPr>
      <w:r w:rsidRPr="00F02F7D">
        <w:rPr>
          <w:rFonts w:cs="Arial"/>
          <w:bCs/>
          <w:sz w:val="20"/>
          <w:szCs w:val="20"/>
        </w:rPr>
        <w:t>Table 4: National criteria for a patient safety incident investigation</w:t>
      </w:r>
    </w:p>
    <w:p w14:paraId="321AA71F" w14:textId="40BFAB9A" w:rsidR="002E106B" w:rsidRDefault="002E106B" w:rsidP="00A81FAB">
      <w:pPr>
        <w:pStyle w:val="ListParagraph"/>
        <w:numPr>
          <w:ilvl w:val="1"/>
          <w:numId w:val="20"/>
        </w:numPr>
        <w:spacing w:after="120" w:line="240" w:lineRule="auto"/>
        <w:contextualSpacing w:val="0"/>
        <w:rPr>
          <w:rFonts w:cs="Arial"/>
          <w:b/>
          <w:sz w:val="24"/>
          <w:szCs w:val="24"/>
        </w:rPr>
      </w:pPr>
      <w:r w:rsidRPr="00D65738">
        <w:rPr>
          <w:rFonts w:cs="Arial"/>
          <w:b/>
          <w:sz w:val="24"/>
          <w:szCs w:val="24"/>
        </w:rPr>
        <w:t>National requirements for other external / linked processes</w:t>
      </w:r>
    </w:p>
    <w:p w14:paraId="06BB20E2" w14:textId="09F136FC" w:rsidR="0013514A" w:rsidRDefault="002A38F6" w:rsidP="002358B4">
      <w:pPr>
        <w:pStyle w:val="ListParagraph"/>
        <w:numPr>
          <w:ilvl w:val="2"/>
          <w:numId w:val="20"/>
        </w:numPr>
        <w:spacing w:after="120" w:line="240" w:lineRule="auto"/>
        <w:ind w:left="567" w:firstLine="0"/>
        <w:contextualSpacing w:val="0"/>
        <w:rPr>
          <w:rFonts w:cs="Arial"/>
          <w:sz w:val="24"/>
          <w:szCs w:val="24"/>
        </w:rPr>
      </w:pPr>
      <w:r w:rsidRPr="002A38F6">
        <w:rPr>
          <w:rFonts w:cs="Arial"/>
          <w:sz w:val="24"/>
          <w:szCs w:val="24"/>
        </w:rPr>
        <w:t xml:space="preserve">In all instances, in addition to the required response, a local learning response may be </w:t>
      </w:r>
      <w:r>
        <w:rPr>
          <w:rFonts w:cs="Arial"/>
          <w:sz w:val="24"/>
          <w:szCs w:val="24"/>
        </w:rPr>
        <w:t xml:space="preserve">required following discussion at our Incident </w:t>
      </w:r>
      <w:r w:rsidR="00337A99">
        <w:rPr>
          <w:rFonts w:cs="Arial"/>
          <w:sz w:val="24"/>
          <w:szCs w:val="24"/>
        </w:rPr>
        <w:t>Review</w:t>
      </w:r>
      <w:r>
        <w:rPr>
          <w:rFonts w:cs="Arial"/>
          <w:sz w:val="24"/>
          <w:szCs w:val="24"/>
        </w:rPr>
        <w:t xml:space="preserve"> Panel (IRP)</w:t>
      </w:r>
      <w:r w:rsidRPr="002A38F6">
        <w:rPr>
          <w:rFonts w:cs="Arial"/>
          <w:sz w:val="24"/>
          <w:szCs w:val="24"/>
        </w:rPr>
        <w:t>.</w:t>
      </w:r>
    </w:p>
    <w:tbl>
      <w:tblPr>
        <w:tblStyle w:val="TableGrid"/>
        <w:tblW w:w="0" w:type="auto"/>
        <w:tblInd w:w="562" w:type="dxa"/>
        <w:tblCellMar>
          <w:top w:w="57" w:type="dxa"/>
          <w:bottom w:w="57" w:type="dxa"/>
        </w:tblCellMar>
        <w:tblLook w:val="04A0" w:firstRow="1" w:lastRow="0" w:firstColumn="1" w:lastColumn="0" w:noHBand="0" w:noVBand="1"/>
      </w:tblPr>
      <w:tblGrid>
        <w:gridCol w:w="4040"/>
        <w:gridCol w:w="4040"/>
      </w:tblGrid>
      <w:tr w:rsidR="002A38F6" w:rsidRPr="00F57973" w14:paraId="66B28239" w14:textId="77777777" w:rsidTr="00B445BA">
        <w:trPr>
          <w:tblHeader/>
        </w:trPr>
        <w:tc>
          <w:tcPr>
            <w:tcW w:w="4040" w:type="dxa"/>
            <w:shd w:val="clear" w:color="auto" w:fill="DDEEFF"/>
          </w:tcPr>
          <w:p w14:paraId="3F833FA6" w14:textId="7D2863B0" w:rsidR="002A38F6" w:rsidRPr="00F57973" w:rsidRDefault="002A38F6" w:rsidP="002A38F6">
            <w:pPr>
              <w:rPr>
                <w:rFonts w:cs="Arial"/>
                <w:b/>
                <w:sz w:val="24"/>
                <w:szCs w:val="24"/>
              </w:rPr>
            </w:pPr>
            <w:r w:rsidRPr="00F57973">
              <w:rPr>
                <w:rFonts w:cs="Arial"/>
                <w:b/>
                <w:sz w:val="24"/>
                <w:szCs w:val="24"/>
              </w:rPr>
              <w:t>Event type</w:t>
            </w:r>
          </w:p>
        </w:tc>
        <w:tc>
          <w:tcPr>
            <w:tcW w:w="4040" w:type="dxa"/>
            <w:shd w:val="clear" w:color="auto" w:fill="DDEEFF"/>
          </w:tcPr>
          <w:p w14:paraId="292DA52A" w14:textId="50A0FAF9" w:rsidR="002A38F6" w:rsidRPr="00F57973" w:rsidRDefault="002A38F6" w:rsidP="002A38F6">
            <w:pPr>
              <w:rPr>
                <w:rFonts w:cs="Arial"/>
                <w:b/>
                <w:sz w:val="24"/>
                <w:szCs w:val="24"/>
              </w:rPr>
            </w:pPr>
            <w:r w:rsidRPr="00F57973">
              <w:rPr>
                <w:rFonts w:cs="Arial"/>
                <w:b/>
                <w:sz w:val="24"/>
                <w:szCs w:val="24"/>
              </w:rPr>
              <w:t>Required response</w:t>
            </w:r>
          </w:p>
        </w:tc>
      </w:tr>
      <w:tr w:rsidR="002A38F6" w:rsidRPr="00F57973" w14:paraId="611F00DD" w14:textId="77777777" w:rsidTr="002358B4">
        <w:trPr>
          <w:trHeight w:val="86"/>
        </w:trPr>
        <w:tc>
          <w:tcPr>
            <w:tcW w:w="4040" w:type="dxa"/>
          </w:tcPr>
          <w:p w14:paraId="7EB26033" w14:textId="77777777" w:rsidR="002A38F6" w:rsidRPr="00F57973" w:rsidRDefault="002A38F6" w:rsidP="002A38F6">
            <w:pPr>
              <w:rPr>
                <w:rFonts w:cs="Arial"/>
                <w:sz w:val="24"/>
                <w:szCs w:val="24"/>
              </w:rPr>
            </w:pPr>
            <w:r w:rsidRPr="00F57973">
              <w:rPr>
                <w:rFonts w:cs="Arial"/>
                <w:sz w:val="24"/>
                <w:szCs w:val="24"/>
              </w:rPr>
              <w:t xml:space="preserve">Child Deaths </w:t>
            </w:r>
          </w:p>
        </w:tc>
        <w:tc>
          <w:tcPr>
            <w:tcW w:w="4040" w:type="dxa"/>
          </w:tcPr>
          <w:p w14:paraId="1C217D3D" w14:textId="287A010C" w:rsidR="002A38F6" w:rsidRPr="00F57973" w:rsidRDefault="002A38F6" w:rsidP="002A38F6">
            <w:pPr>
              <w:rPr>
                <w:rFonts w:cs="Arial"/>
                <w:sz w:val="24"/>
                <w:szCs w:val="24"/>
              </w:rPr>
            </w:pPr>
            <w:r w:rsidRPr="00F57973">
              <w:rPr>
                <w:rFonts w:cs="Arial"/>
                <w:sz w:val="24"/>
                <w:szCs w:val="24"/>
              </w:rPr>
              <w:t>Refer for Child Death Overview Panel review</w:t>
            </w:r>
          </w:p>
        </w:tc>
      </w:tr>
      <w:tr w:rsidR="002A38F6" w:rsidRPr="00F57973" w14:paraId="3F97FB15" w14:textId="77777777" w:rsidTr="002358B4">
        <w:tc>
          <w:tcPr>
            <w:tcW w:w="4040" w:type="dxa"/>
          </w:tcPr>
          <w:p w14:paraId="5B657704" w14:textId="645EEB69" w:rsidR="002A38F6" w:rsidRPr="00F57973" w:rsidRDefault="002A38F6" w:rsidP="002A38F6">
            <w:pPr>
              <w:rPr>
                <w:rFonts w:cs="Arial"/>
                <w:sz w:val="24"/>
                <w:szCs w:val="24"/>
              </w:rPr>
            </w:pPr>
            <w:r w:rsidRPr="00F57973">
              <w:rPr>
                <w:rFonts w:cs="Arial"/>
                <w:sz w:val="24"/>
                <w:szCs w:val="24"/>
              </w:rPr>
              <w:t>Deaths of persons living with a learning disability</w:t>
            </w:r>
          </w:p>
        </w:tc>
        <w:tc>
          <w:tcPr>
            <w:tcW w:w="4040" w:type="dxa"/>
          </w:tcPr>
          <w:p w14:paraId="5E93B436" w14:textId="6243F6C6" w:rsidR="002A38F6" w:rsidRPr="00F57973" w:rsidRDefault="002A38F6" w:rsidP="002A38F6">
            <w:pPr>
              <w:rPr>
                <w:rFonts w:cs="Arial"/>
                <w:sz w:val="24"/>
                <w:szCs w:val="24"/>
              </w:rPr>
            </w:pPr>
            <w:r w:rsidRPr="00F57973">
              <w:rPr>
                <w:rFonts w:cs="Arial"/>
                <w:sz w:val="24"/>
                <w:szCs w:val="24"/>
              </w:rPr>
              <w:t>Refer for Learning Disability Mortality Review (LeDeR)</w:t>
            </w:r>
          </w:p>
        </w:tc>
      </w:tr>
      <w:tr w:rsidR="002A38F6" w:rsidRPr="00F57973" w14:paraId="091FFE5A" w14:textId="77777777" w:rsidTr="002358B4">
        <w:tc>
          <w:tcPr>
            <w:tcW w:w="4040" w:type="dxa"/>
          </w:tcPr>
          <w:p w14:paraId="1F4EEE60" w14:textId="6B870465" w:rsidR="002A38F6" w:rsidRPr="00F57973" w:rsidRDefault="002A38F6" w:rsidP="002A38F6">
            <w:pPr>
              <w:rPr>
                <w:rFonts w:cs="Arial"/>
                <w:sz w:val="24"/>
                <w:szCs w:val="24"/>
              </w:rPr>
            </w:pPr>
            <w:r w:rsidRPr="00F57973">
              <w:rPr>
                <w:rFonts w:cs="Arial"/>
                <w:sz w:val="24"/>
                <w:szCs w:val="24"/>
              </w:rPr>
              <w:t>Deaths of patients detained under the Mental Health Act (1983), or where the Mental Capacity Act (2005) applies, where this is reason to think that the death may be linked to problems in care.</w:t>
            </w:r>
          </w:p>
        </w:tc>
        <w:tc>
          <w:tcPr>
            <w:tcW w:w="4040" w:type="dxa"/>
          </w:tcPr>
          <w:p w14:paraId="321B890E" w14:textId="77777777" w:rsidR="002A38F6" w:rsidRPr="00F57973" w:rsidRDefault="002A38F6" w:rsidP="002A38F6">
            <w:pPr>
              <w:rPr>
                <w:rFonts w:cs="Arial"/>
                <w:sz w:val="24"/>
                <w:szCs w:val="24"/>
              </w:rPr>
            </w:pPr>
            <w:r w:rsidRPr="00F57973">
              <w:rPr>
                <w:rFonts w:cs="Arial"/>
                <w:sz w:val="24"/>
                <w:szCs w:val="24"/>
              </w:rPr>
              <w:t>Referred to the NHS England and NHS Improvement Regional Independent Investigation Team for consideration of an independent PSII.</w:t>
            </w:r>
          </w:p>
        </w:tc>
      </w:tr>
      <w:tr w:rsidR="002A38F6" w:rsidRPr="00F57973" w14:paraId="5A64F4FF" w14:textId="77777777" w:rsidTr="002358B4">
        <w:tc>
          <w:tcPr>
            <w:tcW w:w="4040" w:type="dxa"/>
          </w:tcPr>
          <w:p w14:paraId="050410DC" w14:textId="77777777" w:rsidR="002A38F6" w:rsidRPr="00F57973" w:rsidRDefault="002A38F6" w:rsidP="002A38F6">
            <w:pPr>
              <w:rPr>
                <w:rFonts w:cs="Arial"/>
                <w:sz w:val="24"/>
                <w:szCs w:val="24"/>
              </w:rPr>
            </w:pPr>
            <w:r w:rsidRPr="00F57973">
              <w:rPr>
                <w:rFonts w:cs="Arial"/>
                <w:sz w:val="24"/>
                <w:szCs w:val="24"/>
              </w:rPr>
              <w:t>Safeguarding Incidents</w:t>
            </w:r>
          </w:p>
        </w:tc>
        <w:tc>
          <w:tcPr>
            <w:tcW w:w="4040" w:type="dxa"/>
          </w:tcPr>
          <w:p w14:paraId="08077B8D" w14:textId="36A65551" w:rsidR="002A38F6" w:rsidRPr="00F57973" w:rsidRDefault="002A38F6" w:rsidP="002A38F6">
            <w:pPr>
              <w:rPr>
                <w:rFonts w:cs="Arial"/>
                <w:sz w:val="24"/>
                <w:szCs w:val="24"/>
              </w:rPr>
            </w:pPr>
            <w:r w:rsidRPr="00F57973">
              <w:rPr>
                <w:rFonts w:cs="Arial"/>
                <w:sz w:val="24"/>
                <w:szCs w:val="24"/>
              </w:rPr>
              <w:t>Refer to Local Authority Safeguarding leads.  Where appropriate the Trust will collaborate with the Local Authority to promote system learning.</w:t>
            </w:r>
          </w:p>
        </w:tc>
      </w:tr>
      <w:tr w:rsidR="002A38F6" w:rsidRPr="00F57973" w14:paraId="10B06D71" w14:textId="77777777" w:rsidTr="002358B4">
        <w:trPr>
          <w:trHeight w:val="16"/>
        </w:trPr>
        <w:tc>
          <w:tcPr>
            <w:tcW w:w="4040" w:type="dxa"/>
          </w:tcPr>
          <w:p w14:paraId="32FEA61C" w14:textId="77777777" w:rsidR="002A38F6" w:rsidRPr="00F57973" w:rsidRDefault="002A38F6" w:rsidP="002A38F6">
            <w:pPr>
              <w:rPr>
                <w:rFonts w:cs="Arial"/>
                <w:sz w:val="24"/>
                <w:szCs w:val="24"/>
              </w:rPr>
            </w:pPr>
            <w:r w:rsidRPr="00F57973">
              <w:rPr>
                <w:rFonts w:cs="Arial"/>
                <w:sz w:val="24"/>
                <w:szCs w:val="24"/>
              </w:rPr>
              <w:t>Incidents in NHS Screening Programmes</w:t>
            </w:r>
          </w:p>
        </w:tc>
        <w:tc>
          <w:tcPr>
            <w:tcW w:w="4040" w:type="dxa"/>
          </w:tcPr>
          <w:p w14:paraId="6E375CEE" w14:textId="70C31DC0" w:rsidR="002A38F6" w:rsidRPr="00F57973" w:rsidRDefault="002A38F6" w:rsidP="002A38F6">
            <w:pPr>
              <w:rPr>
                <w:rFonts w:cs="Arial"/>
                <w:sz w:val="24"/>
                <w:szCs w:val="24"/>
              </w:rPr>
            </w:pPr>
            <w:r w:rsidRPr="00F57973">
              <w:rPr>
                <w:rFonts w:cs="Arial"/>
                <w:sz w:val="24"/>
                <w:szCs w:val="24"/>
              </w:rPr>
              <w:t xml:space="preserve">Refer to local screening quality assurance service </w:t>
            </w:r>
            <w:r>
              <w:rPr>
                <w:rFonts w:cs="Arial"/>
                <w:sz w:val="24"/>
                <w:szCs w:val="24"/>
              </w:rPr>
              <w:t>to determine response required.</w:t>
            </w:r>
            <w:r w:rsidRPr="00F57973">
              <w:rPr>
                <w:rFonts w:cs="Arial"/>
                <w:sz w:val="24"/>
                <w:szCs w:val="24"/>
              </w:rPr>
              <w:t xml:space="preserve"> </w:t>
            </w:r>
          </w:p>
        </w:tc>
      </w:tr>
      <w:tr w:rsidR="002A38F6" w:rsidRPr="00F57973" w14:paraId="681427D8" w14:textId="77777777" w:rsidTr="00B445BA">
        <w:trPr>
          <w:trHeight w:val="1367"/>
        </w:trPr>
        <w:tc>
          <w:tcPr>
            <w:tcW w:w="4040" w:type="dxa"/>
          </w:tcPr>
          <w:p w14:paraId="6C268722" w14:textId="77777777" w:rsidR="002A38F6" w:rsidRPr="00F57973" w:rsidRDefault="002A38F6" w:rsidP="002A38F6">
            <w:pPr>
              <w:rPr>
                <w:rFonts w:cs="Arial"/>
                <w:sz w:val="24"/>
                <w:szCs w:val="24"/>
              </w:rPr>
            </w:pPr>
            <w:r w:rsidRPr="00F57973">
              <w:rPr>
                <w:rFonts w:cs="Arial"/>
                <w:sz w:val="24"/>
                <w:szCs w:val="24"/>
              </w:rPr>
              <w:t xml:space="preserve">Haemovigilance </w:t>
            </w:r>
          </w:p>
        </w:tc>
        <w:tc>
          <w:tcPr>
            <w:tcW w:w="4040" w:type="dxa"/>
          </w:tcPr>
          <w:p w14:paraId="1D1B0919" w14:textId="65D84AD9" w:rsidR="002A38F6" w:rsidRPr="00F57973" w:rsidRDefault="002A38F6" w:rsidP="002A38F6">
            <w:pPr>
              <w:rPr>
                <w:rFonts w:cs="Arial"/>
                <w:sz w:val="24"/>
                <w:szCs w:val="24"/>
              </w:rPr>
            </w:pPr>
            <w:r w:rsidRPr="00F57973">
              <w:rPr>
                <w:rFonts w:cs="Arial"/>
                <w:sz w:val="24"/>
                <w:szCs w:val="24"/>
              </w:rPr>
              <w:t>Relevant incidents should be reported to Serious Hazards of Transfusion (SHOT).</w:t>
            </w:r>
          </w:p>
        </w:tc>
      </w:tr>
      <w:tr w:rsidR="00BF6B66" w:rsidRPr="00F57973" w14:paraId="1837A3CB" w14:textId="77777777" w:rsidTr="002358B4">
        <w:tc>
          <w:tcPr>
            <w:tcW w:w="4040" w:type="dxa"/>
          </w:tcPr>
          <w:p w14:paraId="7639DD67" w14:textId="00F69F3F" w:rsidR="00BF6B66" w:rsidRPr="00F57973" w:rsidRDefault="00BF6B66" w:rsidP="002A38F6">
            <w:pPr>
              <w:rPr>
                <w:rFonts w:cs="Arial"/>
                <w:sz w:val="24"/>
                <w:szCs w:val="24"/>
              </w:rPr>
            </w:pPr>
            <w:r>
              <w:rPr>
                <w:rFonts w:cs="Arial"/>
                <w:sz w:val="24"/>
                <w:szCs w:val="24"/>
              </w:rPr>
              <w:lastRenderedPageBreak/>
              <w:t>Perinatal Mortality Review Tool (PMRT)</w:t>
            </w:r>
          </w:p>
        </w:tc>
        <w:tc>
          <w:tcPr>
            <w:tcW w:w="4040" w:type="dxa"/>
          </w:tcPr>
          <w:p w14:paraId="24EFA272" w14:textId="52E42EA4" w:rsidR="00BF6B66" w:rsidRPr="00F57973" w:rsidRDefault="00BF6B66" w:rsidP="002A38F6">
            <w:pPr>
              <w:rPr>
                <w:rFonts w:cs="Arial"/>
                <w:sz w:val="24"/>
                <w:szCs w:val="24"/>
              </w:rPr>
            </w:pPr>
            <w:r w:rsidRPr="00BF6B66">
              <w:rPr>
                <w:rFonts w:cs="Arial"/>
                <w:sz w:val="24"/>
                <w:szCs w:val="24"/>
              </w:rPr>
              <w:t>PMRT is a tool to support standardised reviews of care when babies die from 22 weeks' gestation onwards. It aims to provide answers for parents, improve care and prevent future deaths.</w:t>
            </w:r>
          </w:p>
        </w:tc>
      </w:tr>
      <w:tr w:rsidR="00BF6B66" w:rsidRPr="00F57973" w14:paraId="09A223E0" w14:textId="77777777" w:rsidTr="002358B4">
        <w:tc>
          <w:tcPr>
            <w:tcW w:w="4040" w:type="dxa"/>
          </w:tcPr>
          <w:p w14:paraId="2719D3C9" w14:textId="0D58DCB1" w:rsidR="00BF6B66" w:rsidRDefault="00BF6B66" w:rsidP="002A38F6">
            <w:pPr>
              <w:rPr>
                <w:rFonts w:cs="Arial"/>
                <w:sz w:val="24"/>
                <w:szCs w:val="24"/>
              </w:rPr>
            </w:pPr>
            <w:r w:rsidRPr="00BF6B66">
              <w:rPr>
                <w:rFonts w:cs="Arial"/>
                <w:sz w:val="24"/>
                <w:szCs w:val="24"/>
              </w:rPr>
              <w:t>Ionising Radiation (Medical Exposure Regulations (IR(ME)R)</w:t>
            </w:r>
            <w:r w:rsidR="00D068D1">
              <w:rPr>
                <w:rFonts w:cs="Arial"/>
                <w:sz w:val="24"/>
                <w:szCs w:val="24"/>
              </w:rPr>
              <w:t xml:space="preserve"> – accidental or unintended exposure to ionising radiation</w:t>
            </w:r>
          </w:p>
        </w:tc>
        <w:tc>
          <w:tcPr>
            <w:tcW w:w="4040" w:type="dxa"/>
          </w:tcPr>
          <w:p w14:paraId="24DE9260" w14:textId="35A7776A" w:rsidR="00BF6B66" w:rsidRPr="00F57973" w:rsidRDefault="00BF6B66" w:rsidP="002A38F6">
            <w:pPr>
              <w:rPr>
                <w:rFonts w:cs="Arial"/>
                <w:sz w:val="24"/>
                <w:szCs w:val="24"/>
              </w:rPr>
            </w:pPr>
            <w:r>
              <w:rPr>
                <w:rFonts w:cs="Arial"/>
                <w:sz w:val="24"/>
                <w:szCs w:val="24"/>
              </w:rPr>
              <w:t>In accordance with</w:t>
            </w:r>
            <w:r w:rsidR="00BD6983">
              <w:rPr>
                <w:rFonts w:cs="Arial"/>
                <w:sz w:val="24"/>
                <w:szCs w:val="24"/>
              </w:rPr>
              <w:t xml:space="preserve"> the Ionising Radiation (Medical Exposure) Regulations 2017, the Trust follows the requirements of the Ionising Radiation (Medical Exposure) Regulation 2017 Regulation 8.</w:t>
            </w:r>
          </w:p>
        </w:tc>
      </w:tr>
    </w:tbl>
    <w:p w14:paraId="16EBDECB" w14:textId="666388A3" w:rsidR="0013514A" w:rsidRPr="00F02F7D" w:rsidRDefault="0013514A" w:rsidP="002358B4">
      <w:pPr>
        <w:spacing w:after="120" w:line="240" w:lineRule="auto"/>
        <w:ind w:left="567"/>
        <w:rPr>
          <w:rFonts w:cs="Arial"/>
          <w:bCs/>
          <w:sz w:val="20"/>
          <w:szCs w:val="20"/>
        </w:rPr>
      </w:pPr>
      <w:r w:rsidRPr="00F02F7D">
        <w:rPr>
          <w:rFonts w:cs="Arial"/>
          <w:bCs/>
          <w:sz w:val="20"/>
          <w:szCs w:val="20"/>
        </w:rPr>
        <w:t>Table 5: National criteria for external/linked review processes</w:t>
      </w:r>
    </w:p>
    <w:p w14:paraId="0EC16ED8" w14:textId="75139D07" w:rsidR="00D65738" w:rsidRPr="00F57973" w:rsidRDefault="0013514A" w:rsidP="00FC48D9">
      <w:pPr>
        <w:pStyle w:val="ListParagraph"/>
        <w:numPr>
          <w:ilvl w:val="2"/>
          <w:numId w:val="20"/>
        </w:numPr>
        <w:spacing w:after="120" w:line="240" w:lineRule="auto"/>
        <w:ind w:left="567" w:firstLine="0"/>
        <w:rPr>
          <w:rFonts w:cs="Arial"/>
          <w:sz w:val="24"/>
          <w:szCs w:val="24"/>
        </w:rPr>
      </w:pPr>
      <w:r>
        <w:rPr>
          <w:rFonts w:cs="Arial"/>
          <w:sz w:val="24"/>
          <w:szCs w:val="24"/>
        </w:rPr>
        <w:t>For both PSIIs and other national requirements, the</w:t>
      </w:r>
      <w:r w:rsidR="00D65738" w:rsidRPr="00F57973">
        <w:rPr>
          <w:rFonts w:cs="Arial"/>
          <w:sz w:val="24"/>
          <w:szCs w:val="24"/>
        </w:rPr>
        <w:t xml:space="preserve"> anticipated improvement route </w:t>
      </w:r>
      <w:r w:rsidR="002A38F6">
        <w:rPr>
          <w:rFonts w:cs="Arial"/>
          <w:sz w:val="24"/>
          <w:szCs w:val="24"/>
        </w:rPr>
        <w:t xml:space="preserve">following completion of the required response </w:t>
      </w:r>
      <w:r w:rsidR="00D65738" w:rsidRPr="00F57973">
        <w:rPr>
          <w:rFonts w:cs="Arial"/>
          <w:sz w:val="24"/>
          <w:szCs w:val="24"/>
        </w:rPr>
        <w:t>is to:</w:t>
      </w:r>
    </w:p>
    <w:p w14:paraId="2DC61535" w14:textId="049746F5" w:rsidR="00D65738" w:rsidRPr="00F57973" w:rsidRDefault="00D65738" w:rsidP="00FC48D9">
      <w:pPr>
        <w:pStyle w:val="ListParagraph"/>
        <w:numPr>
          <w:ilvl w:val="0"/>
          <w:numId w:val="21"/>
        </w:numPr>
        <w:spacing w:after="120" w:line="240" w:lineRule="auto"/>
        <w:ind w:left="924" w:hanging="357"/>
        <w:rPr>
          <w:rFonts w:cs="Arial"/>
          <w:sz w:val="24"/>
          <w:szCs w:val="24"/>
        </w:rPr>
      </w:pPr>
      <w:r w:rsidRPr="00F57973">
        <w:rPr>
          <w:rFonts w:cs="Arial"/>
          <w:sz w:val="24"/>
          <w:szCs w:val="24"/>
        </w:rPr>
        <w:t>Develop safety actions or</w:t>
      </w:r>
      <w:r w:rsidR="002A38F6">
        <w:rPr>
          <w:rFonts w:cs="Arial"/>
          <w:sz w:val="24"/>
          <w:szCs w:val="24"/>
        </w:rPr>
        <w:t xml:space="preserve"> quality</w:t>
      </w:r>
      <w:r w:rsidRPr="00F57973">
        <w:rPr>
          <w:rFonts w:cs="Arial"/>
          <w:sz w:val="24"/>
          <w:szCs w:val="24"/>
        </w:rPr>
        <w:t xml:space="preserve"> improvement to address new insights and/or emerging safety issues identified.</w:t>
      </w:r>
    </w:p>
    <w:p w14:paraId="232869B3" w14:textId="77777777" w:rsidR="00D65738" w:rsidRPr="002358B4" w:rsidRDefault="00D65738" w:rsidP="002358B4">
      <w:pPr>
        <w:pStyle w:val="ListParagraph"/>
        <w:numPr>
          <w:ilvl w:val="0"/>
          <w:numId w:val="21"/>
        </w:numPr>
        <w:spacing w:after="120" w:line="240" w:lineRule="auto"/>
        <w:ind w:left="924" w:hanging="357"/>
        <w:contextualSpacing w:val="0"/>
        <w:rPr>
          <w:rFonts w:cs="Arial"/>
          <w:sz w:val="24"/>
          <w:szCs w:val="24"/>
        </w:rPr>
      </w:pPr>
      <w:r w:rsidRPr="002358B4">
        <w:rPr>
          <w:rFonts w:cs="Arial"/>
          <w:sz w:val="24"/>
          <w:szCs w:val="24"/>
        </w:rPr>
        <w:t>Where appropriate, insights will be incorporated into existing improvement plans.</w:t>
      </w:r>
    </w:p>
    <w:p w14:paraId="5F555530" w14:textId="3D13CCDB" w:rsidR="00F57973" w:rsidRDefault="00F57973" w:rsidP="002358B4">
      <w:pPr>
        <w:pStyle w:val="ListParagraph"/>
        <w:numPr>
          <w:ilvl w:val="1"/>
          <w:numId w:val="20"/>
        </w:numPr>
        <w:spacing w:after="120" w:line="240" w:lineRule="auto"/>
        <w:contextualSpacing w:val="0"/>
        <w:rPr>
          <w:rFonts w:cs="Arial"/>
          <w:b/>
          <w:sz w:val="24"/>
          <w:szCs w:val="24"/>
        </w:rPr>
      </w:pPr>
      <w:r w:rsidRPr="00F57973">
        <w:rPr>
          <w:rFonts w:cs="Arial"/>
          <w:b/>
          <w:sz w:val="24"/>
          <w:szCs w:val="24"/>
        </w:rPr>
        <w:t>Local review and requirements</w:t>
      </w:r>
    </w:p>
    <w:p w14:paraId="3BA6C154" w14:textId="16D024BD" w:rsidR="002A38F6" w:rsidRPr="002358B4" w:rsidRDefault="002A38F6" w:rsidP="00001AFB">
      <w:pPr>
        <w:pStyle w:val="ListParagraph"/>
        <w:numPr>
          <w:ilvl w:val="2"/>
          <w:numId w:val="20"/>
        </w:numPr>
        <w:spacing w:after="0" w:line="240" w:lineRule="auto"/>
        <w:ind w:left="567" w:firstLine="0"/>
        <w:contextualSpacing w:val="0"/>
        <w:rPr>
          <w:rFonts w:cs="Arial"/>
          <w:sz w:val="24"/>
          <w:szCs w:val="24"/>
        </w:rPr>
      </w:pPr>
      <w:r w:rsidRPr="002358B4">
        <w:rPr>
          <w:rFonts w:cs="Arial"/>
          <w:sz w:val="24"/>
          <w:szCs w:val="24"/>
        </w:rPr>
        <w:t xml:space="preserve">Our local review requirements fall into </w:t>
      </w:r>
      <w:r w:rsidR="008A4647" w:rsidRPr="002358B4">
        <w:rPr>
          <w:rFonts w:cs="Arial"/>
          <w:sz w:val="24"/>
          <w:szCs w:val="24"/>
        </w:rPr>
        <w:t>four</w:t>
      </w:r>
      <w:r w:rsidRPr="002358B4">
        <w:rPr>
          <w:rFonts w:cs="Arial"/>
          <w:sz w:val="24"/>
          <w:szCs w:val="24"/>
        </w:rPr>
        <w:t xml:space="preserve"> main categories:</w:t>
      </w:r>
    </w:p>
    <w:p w14:paraId="7E55E5E4" w14:textId="1F99F08E" w:rsidR="00F57973" w:rsidRPr="00001AFB" w:rsidRDefault="00F57973" w:rsidP="00001AFB">
      <w:pPr>
        <w:pStyle w:val="ListParagraph"/>
        <w:numPr>
          <w:ilvl w:val="0"/>
          <w:numId w:val="21"/>
        </w:numPr>
        <w:spacing w:after="0" w:line="240" w:lineRule="auto"/>
        <w:ind w:left="924" w:hanging="357"/>
        <w:contextualSpacing w:val="0"/>
        <w:rPr>
          <w:rFonts w:cs="Arial"/>
          <w:sz w:val="24"/>
          <w:szCs w:val="24"/>
        </w:rPr>
      </w:pPr>
      <w:r w:rsidRPr="00001AFB">
        <w:rPr>
          <w:rFonts w:cs="Arial"/>
          <w:sz w:val="24"/>
          <w:szCs w:val="24"/>
        </w:rPr>
        <w:t>T</w:t>
      </w:r>
      <w:r w:rsidR="002358B4" w:rsidRPr="00001AFB">
        <w:rPr>
          <w:rFonts w:cs="Arial"/>
          <w:sz w:val="24"/>
          <w:szCs w:val="24"/>
        </w:rPr>
        <w:t>rust wide t</w:t>
      </w:r>
      <w:r w:rsidRPr="00001AFB">
        <w:rPr>
          <w:rFonts w:cs="Arial"/>
          <w:sz w:val="24"/>
          <w:szCs w:val="24"/>
        </w:rPr>
        <w:t>hemes</w:t>
      </w:r>
    </w:p>
    <w:p w14:paraId="5DF4911D" w14:textId="51700A67" w:rsidR="002358B4" w:rsidRPr="00001AFB" w:rsidRDefault="002358B4" w:rsidP="00001AFB">
      <w:pPr>
        <w:pStyle w:val="ListParagraph"/>
        <w:numPr>
          <w:ilvl w:val="0"/>
          <w:numId w:val="21"/>
        </w:numPr>
        <w:spacing w:after="0" w:line="240" w:lineRule="auto"/>
        <w:ind w:left="924" w:hanging="357"/>
        <w:contextualSpacing w:val="0"/>
        <w:rPr>
          <w:rFonts w:cs="Arial"/>
          <w:sz w:val="24"/>
          <w:szCs w:val="24"/>
        </w:rPr>
      </w:pPr>
      <w:r w:rsidRPr="00001AFB">
        <w:rPr>
          <w:rFonts w:cs="Arial"/>
          <w:sz w:val="24"/>
          <w:szCs w:val="24"/>
        </w:rPr>
        <w:t>Trust wide (continuous) improvement workstreams</w:t>
      </w:r>
    </w:p>
    <w:p w14:paraId="524C04F5" w14:textId="431B7641" w:rsidR="002358B4" w:rsidRPr="00001AFB" w:rsidRDefault="002358B4" w:rsidP="00001AFB">
      <w:pPr>
        <w:pStyle w:val="ListParagraph"/>
        <w:numPr>
          <w:ilvl w:val="0"/>
          <w:numId w:val="21"/>
        </w:numPr>
        <w:spacing w:after="0" w:line="240" w:lineRule="auto"/>
        <w:ind w:left="924" w:hanging="357"/>
        <w:contextualSpacing w:val="0"/>
        <w:rPr>
          <w:rFonts w:cs="Arial"/>
          <w:sz w:val="24"/>
          <w:szCs w:val="24"/>
        </w:rPr>
      </w:pPr>
      <w:r w:rsidRPr="00001AFB">
        <w:rPr>
          <w:rFonts w:cs="Arial"/>
          <w:sz w:val="24"/>
          <w:szCs w:val="24"/>
        </w:rPr>
        <w:t>Local improvements</w:t>
      </w:r>
    </w:p>
    <w:p w14:paraId="0F946E90" w14:textId="36C6D321" w:rsidR="00001AFB" w:rsidRDefault="00001AFB" w:rsidP="00001AFB">
      <w:pPr>
        <w:pStyle w:val="ListParagraph"/>
        <w:numPr>
          <w:ilvl w:val="0"/>
          <w:numId w:val="21"/>
        </w:numPr>
        <w:spacing w:after="0" w:line="240" w:lineRule="auto"/>
        <w:ind w:left="924" w:hanging="357"/>
        <w:contextualSpacing w:val="0"/>
        <w:rPr>
          <w:rFonts w:cs="Arial"/>
          <w:sz w:val="24"/>
          <w:szCs w:val="24"/>
        </w:rPr>
      </w:pPr>
      <w:r w:rsidRPr="00001AFB">
        <w:rPr>
          <w:rFonts w:cs="Arial"/>
          <w:sz w:val="24"/>
          <w:szCs w:val="24"/>
        </w:rPr>
        <w:t>Other</w:t>
      </w:r>
    </w:p>
    <w:p w14:paraId="160695E3" w14:textId="0A4115EE" w:rsidR="00001AFB" w:rsidRDefault="00001AFB" w:rsidP="00001AFB">
      <w:pPr>
        <w:pStyle w:val="ListParagraph"/>
        <w:numPr>
          <w:ilvl w:val="0"/>
          <w:numId w:val="21"/>
        </w:numPr>
        <w:spacing w:after="0" w:line="240" w:lineRule="auto"/>
        <w:ind w:left="924" w:hanging="357"/>
        <w:contextualSpacing w:val="0"/>
        <w:rPr>
          <w:rFonts w:cs="Arial"/>
          <w:sz w:val="24"/>
          <w:szCs w:val="24"/>
        </w:rPr>
      </w:pPr>
      <w:r>
        <w:rPr>
          <w:rFonts w:cs="Arial"/>
          <w:sz w:val="24"/>
          <w:szCs w:val="24"/>
        </w:rPr>
        <w:t>Infection Prevention and Control</w:t>
      </w:r>
    </w:p>
    <w:p w14:paraId="7DF2EEC0" w14:textId="578F4CE6" w:rsidR="00001AFB" w:rsidRPr="00001AFB" w:rsidRDefault="00001AFB" w:rsidP="00001AFB">
      <w:pPr>
        <w:pStyle w:val="ListParagraph"/>
        <w:numPr>
          <w:ilvl w:val="0"/>
          <w:numId w:val="21"/>
        </w:numPr>
        <w:spacing w:after="120" w:line="240" w:lineRule="auto"/>
        <w:ind w:left="924" w:hanging="357"/>
        <w:contextualSpacing w:val="0"/>
        <w:rPr>
          <w:rFonts w:cs="Arial"/>
          <w:sz w:val="24"/>
          <w:szCs w:val="24"/>
        </w:rPr>
      </w:pPr>
      <w:r>
        <w:rPr>
          <w:rFonts w:cs="Arial"/>
          <w:sz w:val="24"/>
          <w:szCs w:val="24"/>
        </w:rPr>
        <w:t>Maternity and Neonatal</w:t>
      </w:r>
    </w:p>
    <w:p w14:paraId="619C8A1A" w14:textId="71F500A2" w:rsidR="00001AFB" w:rsidRPr="00001AFB" w:rsidRDefault="00001AFB" w:rsidP="001C2FBA">
      <w:pPr>
        <w:pStyle w:val="ListParagraph"/>
        <w:numPr>
          <w:ilvl w:val="2"/>
          <w:numId w:val="20"/>
        </w:numPr>
        <w:spacing w:after="120" w:line="240" w:lineRule="auto"/>
        <w:ind w:left="567" w:firstLine="0"/>
        <w:contextualSpacing w:val="0"/>
        <w:rPr>
          <w:rFonts w:cs="Arial"/>
          <w:sz w:val="24"/>
          <w:szCs w:val="24"/>
        </w:rPr>
      </w:pPr>
      <w:r w:rsidRPr="00001AFB">
        <w:rPr>
          <w:rFonts w:cs="Arial"/>
          <w:b/>
          <w:sz w:val="24"/>
          <w:szCs w:val="24"/>
        </w:rPr>
        <w:t>Trust wide themes</w:t>
      </w:r>
      <w:r w:rsidRPr="00001AFB">
        <w:rPr>
          <w:rFonts w:cs="Arial"/>
          <w:sz w:val="24"/>
          <w:szCs w:val="24"/>
        </w:rPr>
        <w:t xml:space="preserve"> </w:t>
      </w:r>
      <w:r w:rsidR="002A38F6" w:rsidRPr="00001AFB">
        <w:rPr>
          <w:rFonts w:cs="Arial"/>
          <w:sz w:val="24"/>
          <w:szCs w:val="24"/>
        </w:rPr>
        <w:t>are broad and known issues requiring improvement, where the understanding of the issues or maturity of improvement work requires further review and development.</w:t>
      </w:r>
    </w:p>
    <w:tbl>
      <w:tblPr>
        <w:tblStyle w:val="TableGrid"/>
        <w:tblW w:w="0" w:type="auto"/>
        <w:tblInd w:w="562" w:type="dxa"/>
        <w:tblCellMar>
          <w:top w:w="57" w:type="dxa"/>
          <w:bottom w:w="57" w:type="dxa"/>
        </w:tblCellMar>
        <w:tblLook w:val="04A0" w:firstRow="1" w:lastRow="0" w:firstColumn="1" w:lastColumn="0" w:noHBand="0" w:noVBand="1"/>
      </w:tblPr>
      <w:tblGrid>
        <w:gridCol w:w="2410"/>
        <w:gridCol w:w="5670"/>
      </w:tblGrid>
      <w:tr w:rsidR="0013514A" w:rsidRPr="00F57973" w14:paraId="3E5B301F" w14:textId="77777777" w:rsidTr="00B445BA">
        <w:trPr>
          <w:tblHeader/>
        </w:trPr>
        <w:tc>
          <w:tcPr>
            <w:tcW w:w="2410" w:type="dxa"/>
            <w:shd w:val="clear" w:color="auto" w:fill="DDEEFF"/>
          </w:tcPr>
          <w:p w14:paraId="3F152081" w14:textId="12799248" w:rsidR="0013514A" w:rsidRPr="00B445BA" w:rsidRDefault="0013514A" w:rsidP="00801A1C">
            <w:pPr>
              <w:rPr>
                <w:rFonts w:cs="Arial"/>
                <w:b/>
                <w:sz w:val="24"/>
                <w:szCs w:val="24"/>
              </w:rPr>
            </w:pPr>
            <w:r w:rsidRPr="00B445BA">
              <w:rPr>
                <w:rFonts w:cs="Arial"/>
                <w:b/>
                <w:sz w:val="24"/>
                <w:szCs w:val="24"/>
              </w:rPr>
              <w:t>Theme</w:t>
            </w:r>
          </w:p>
        </w:tc>
        <w:tc>
          <w:tcPr>
            <w:tcW w:w="5670" w:type="dxa"/>
            <w:shd w:val="clear" w:color="auto" w:fill="DDEEFF"/>
          </w:tcPr>
          <w:p w14:paraId="288CD885" w14:textId="77777777" w:rsidR="0013514A" w:rsidRPr="00B445BA" w:rsidRDefault="0013514A" w:rsidP="00801A1C">
            <w:pPr>
              <w:rPr>
                <w:rFonts w:cs="Arial"/>
                <w:b/>
                <w:sz w:val="24"/>
                <w:szCs w:val="24"/>
              </w:rPr>
            </w:pPr>
            <w:r w:rsidRPr="00B445BA">
              <w:rPr>
                <w:rFonts w:cs="Arial"/>
                <w:b/>
                <w:sz w:val="24"/>
                <w:szCs w:val="24"/>
              </w:rPr>
              <w:t>Required response</w:t>
            </w:r>
          </w:p>
        </w:tc>
      </w:tr>
      <w:tr w:rsidR="0013514A" w:rsidRPr="00F57973" w14:paraId="5741B0FD" w14:textId="77777777" w:rsidTr="002358B4">
        <w:trPr>
          <w:trHeight w:val="86"/>
        </w:trPr>
        <w:tc>
          <w:tcPr>
            <w:tcW w:w="2410" w:type="dxa"/>
          </w:tcPr>
          <w:p w14:paraId="4B51EBE1" w14:textId="5E6565EA" w:rsidR="0013514A" w:rsidRPr="00B445BA" w:rsidRDefault="0013514A" w:rsidP="00801A1C">
            <w:pPr>
              <w:rPr>
                <w:rFonts w:cs="Arial"/>
                <w:sz w:val="24"/>
                <w:szCs w:val="24"/>
              </w:rPr>
            </w:pPr>
            <w:r w:rsidRPr="00B445BA">
              <w:rPr>
                <w:rFonts w:cs="Arial"/>
                <w:sz w:val="24"/>
                <w:szCs w:val="24"/>
              </w:rPr>
              <w:t xml:space="preserve">Delay/Failure </w:t>
            </w:r>
          </w:p>
        </w:tc>
        <w:tc>
          <w:tcPr>
            <w:tcW w:w="5670" w:type="dxa"/>
          </w:tcPr>
          <w:p w14:paraId="28C80003" w14:textId="67DE3389" w:rsidR="0013514A" w:rsidRPr="00B445BA" w:rsidRDefault="0013514A" w:rsidP="002358B4">
            <w:pPr>
              <w:pStyle w:val="ListParagraph"/>
              <w:numPr>
                <w:ilvl w:val="0"/>
                <w:numId w:val="21"/>
              </w:numPr>
              <w:spacing w:after="120"/>
              <w:ind w:left="322"/>
              <w:rPr>
                <w:rFonts w:cs="Arial"/>
                <w:sz w:val="24"/>
                <w:szCs w:val="24"/>
              </w:rPr>
            </w:pPr>
            <w:r w:rsidRPr="00B445BA">
              <w:rPr>
                <w:rFonts w:cs="Arial"/>
                <w:sz w:val="24"/>
                <w:szCs w:val="24"/>
              </w:rPr>
              <w:t>Review against existing / emerging improvement work streams and align if possible.</w:t>
            </w:r>
          </w:p>
          <w:p w14:paraId="2154895E" w14:textId="526BF3EC" w:rsidR="0013514A" w:rsidRPr="00B445BA" w:rsidRDefault="0013514A" w:rsidP="002358B4">
            <w:pPr>
              <w:pStyle w:val="ListParagraph"/>
              <w:numPr>
                <w:ilvl w:val="0"/>
                <w:numId w:val="21"/>
              </w:numPr>
              <w:spacing w:after="120"/>
              <w:ind w:left="322"/>
              <w:rPr>
                <w:rFonts w:cs="Arial"/>
                <w:sz w:val="24"/>
                <w:szCs w:val="24"/>
              </w:rPr>
            </w:pPr>
            <w:r w:rsidRPr="00B445BA">
              <w:rPr>
                <w:rFonts w:cs="Arial"/>
                <w:sz w:val="24"/>
                <w:szCs w:val="24"/>
              </w:rPr>
              <w:t>Seek assurance of actioning local learning</w:t>
            </w:r>
          </w:p>
          <w:p w14:paraId="20D2EFAE" w14:textId="01E836A9" w:rsidR="0013514A" w:rsidRPr="00B445BA" w:rsidRDefault="0013514A" w:rsidP="002358B4">
            <w:pPr>
              <w:pStyle w:val="ListParagraph"/>
              <w:numPr>
                <w:ilvl w:val="0"/>
                <w:numId w:val="21"/>
              </w:numPr>
              <w:spacing w:after="120"/>
              <w:ind w:left="322"/>
              <w:rPr>
                <w:rFonts w:cs="Arial"/>
                <w:sz w:val="24"/>
                <w:szCs w:val="24"/>
              </w:rPr>
            </w:pPr>
            <w:r w:rsidRPr="00B445BA">
              <w:rPr>
                <w:rFonts w:cs="Arial"/>
                <w:sz w:val="24"/>
                <w:szCs w:val="24"/>
              </w:rPr>
              <w:t>Initiate appropriate learning response</w:t>
            </w:r>
            <w:r w:rsidR="008A4647" w:rsidRPr="00B445BA">
              <w:rPr>
                <w:rFonts w:cs="Arial"/>
                <w:sz w:val="24"/>
                <w:szCs w:val="24"/>
              </w:rPr>
              <w:t xml:space="preserve"> to explore issues</w:t>
            </w:r>
            <w:r w:rsidRPr="00B445BA">
              <w:rPr>
                <w:rFonts w:cs="Arial"/>
                <w:sz w:val="24"/>
                <w:szCs w:val="24"/>
              </w:rPr>
              <w:t xml:space="preserve"> </w:t>
            </w:r>
            <w:r w:rsidR="008A4647" w:rsidRPr="00B445BA">
              <w:rPr>
                <w:rFonts w:cs="Arial"/>
                <w:sz w:val="24"/>
                <w:szCs w:val="24"/>
              </w:rPr>
              <w:t xml:space="preserve">or </w:t>
            </w:r>
            <w:r w:rsidRPr="00B445BA">
              <w:rPr>
                <w:rFonts w:cs="Arial"/>
                <w:sz w:val="24"/>
                <w:szCs w:val="24"/>
              </w:rPr>
              <w:t>quality improvement</w:t>
            </w:r>
            <w:r w:rsidR="008A4647" w:rsidRPr="00B445BA">
              <w:rPr>
                <w:rFonts w:cs="Arial"/>
                <w:sz w:val="24"/>
                <w:szCs w:val="24"/>
              </w:rPr>
              <w:t xml:space="preserve"> to address issues</w:t>
            </w:r>
          </w:p>
        </w:tc>
      </w:tr>
      <w:tr w:rsidR="0013514A" w:rsidRPr="00F57973" w14:paraId="384C2B19" w14:textId="77777777" w:rsidTr="002358B4">
        <w:tc>
          <w:tcPr>
            <w:tcW w:w="2410" w:type="dxa"/>
          </w:tcPr>
          <w:p w14:paraId="0E2FBE64" w14:textId="1D8ED885" w:rsidR="0013514A" w:rsidRPr="00B445BA" w:rsidRDefault="0013514A" w:rsidP="00801A1C">
            <w:pPr>
              <w:rPr>
                <w:rFonts w:cs="Arial"/>
                <w:sz w:val="24"/>
                <w:szCs w:val="24"/>
              </w:rPr>
            </w:pPr>
            <w:r w:rsidRPr="00B445BA">
              <w:rPr>
                <w:rFonts w:cs="Arial"/>
                <w:sz w:val="24"/>
                <w:szCs w:val="24"/>
              </w:rPr>
              <w:t>Medication</w:t>
            </w:r>
          </w:p>
        </w:tc>
        <w:tc>
          <w:tcPr>
            <w:tcW w:w="5670" w:type="dxa"/>
          </w:tcPr>
          <w:p w14:paraId="2D0F8FE7" w14:textId="211769AA" w:rsidR="0013514A" w:rsidRPr="00B445BA" w:rsidRDefault="0013514A" w:rsidP="002358B4">
            <w:pPr>
              <w:pStyle w:val="ListParagraph"/>
              <w:numPr>
                <w:ilvl w:val="0"/>
                <w:numId w:val="21"/>
              </w:numPr>
              <w:spacing w:after="120"/>
              <w:ind w:left="322"/>
              <w:rPr>
                <w:rFonts w:cs="Arial"/>
                <w:sz w:val="24"/>
                <w:szCs w:val="24"/>
              </w:rPr>
            </w:pPr>
            <w:r w:rsidRPr="00B445BA">
              <w:rPr>
                <w:rFonts w:cs="Arial"/>
                <w:sz w:val="24"/>
                <w:szCs w:val="24"/>
              </w:rPr>
              <w:t>Review against existing / emerging improvement workstreams and align if possible</w:t>
            </w:r>
          </w:p>
          <w:p w14:paraId="49105660" w14:textId="77777777" w:rsidR="00BE0DE9" w:rsidRPr="00B445BA" w:rsidRDefault="00BE0DE9" w:rsidP="002358B4">
            <w:pPr>
              <w:pStyle w:val="ListParagraph"/>
              <w:numPr>
                <w:ilvl w:val="0"/>
                <w:numId w:val="21"/>
              </w:numPr>
              <w:spacing w:after="120"/>
              <w:ind w:left="322"/>
              <w:rPr>
                <w:rFonts w:cs="Arial"/>
                <w:sz w:val="24"/>
                <w:szCs w:val="24"/>
              </w:rPr>
            </w:pPr>
            <w:r w:rsidRPr="00B445BA">
              <w:rPr>
                <w:rFonts w:cs="Arial"/>
                <w:sz w:val="24"/>
                <w:szCs w:val="24"/>
              </w:rPr>
              <w:t>Seek assurance of actioning local learning</w:t>
            </w:r>
          </w:p>
          <w:p w14:paraId="58A7CC0E" w14:textId="0B5672FC" w:rsidR="00BE0DE9" w:rsidRPr="00B445BA" w:rsidRDefault="008A4647" w:rsidP="002358B4">
            <w:pPr>
              <w:pStyle w:val="ListParagraph"/>
              <w:numPr>
                <w:ilvl w:val="0"/>
                <w:numId w:val="21"/>
              </w:numPr>
              <w:spacing w:after="120"/>
              <w:ind w:left="322"/>
              <w:rPr>
                <w:rFonts w:cs="Arial"/>
                <w:sz w:val="24"/>
                <w:szCs w:val="24"/>
              </w:rPr>
            </w:pPr>
            <w:r w:rsidRPr="00B445BA">
              <w:rPr>
                <w:rFonts w:cs="Arial"/>
                <w:sz w:val="24"/>
                <w:szCs w:val="24"/>
              </w:rPr>
              <w:t>Initiate appropriate learning response to explore issues or quality improvement to address issues</w:t>
            </w:r>
          </w:p>
        </w:tc>
      </w:tr>
      <w:tr w:rsidR="0013514A" w:rsidRPr="00F57973" w14:paraId="19B241AF" w14:textId="77777777" w:rsidTr="002358B4">
        <w:tc>
          <w:tcPr>
            <w:tcW w:w="2410" w:type="dxa"/>
          </w:tcPr>
          <w:p w14:paraId="1DB84A4A" w14:textId="5F505160" w:rsidR="0013514A" w:rsidRPr="00B445BA" w:rsidRDefault="00BE0DE9" w:rsidP="00801A1C">
            <w:pPr>
              <w:rPr>
                <w:rFonts w:cs="Arial"/>
                <w:sz w:val="24"/>
                <w:szCs w:val="24"/>
              </w:rPr>
            </w:pPr>
            <w:r w:rsidRPr="00B445BA">
              <w:rPr>
                <w:rFonts w:cs="Arial"/>
                <w:sz w:val="24"/>
                <w:szCs w:val="24"/>
              </w:rPr>
              <w:lastRenderedPageBreak/>
              <w:t>Deteriorating patient (maternity and neonatal)</w:t>
            </w:r>
          </w:p>
        </w:tc>
        <w:tc>
          <w:tcPr>
            <w:tcW w:w="5670" w:type="dxa"/>
          </w:tcPr>
          <w:p w14:paraId="4206CB4E" w14:textId="4768DEA8" w:rsidR="0013514A" w:rsidRPr="00B445BA" w:rsidRDefault="00BE0DE9" w:rsidP="002358B4">
            <w:pPr>
              <w:pStyle w:val="ListParagraph"/>
              <w:numPr>
                <w:ilvl w:val="0"/>
                <w:numId w:val="21"/>
              </w:numPr>
              <w:spacing w:after="120"/>
              <w:ind w:left="322"/>
              <w:rPr>
                <w:rFonts w:cs="Arial"/>
                <w:sz w:val="24"/>
                <w:szCs w:val="24"/>
              </w:rPr>
            </w:pPr>
            <w:r w:rsidRPr="00B445BA">
              <w:rPr>
                <w:rFonts w:cs="Arial"/>
                <w:sz w:val="24"/>
                <w:szCs w:val="24"/>
              </w:rPr>
              <w:t>See Maternity and Neonatal specific PSIR plan</w:t>
            </w:r>
          </w:p>
        </w:tc>
      </w:tr>
    </w:tbl>
    <w:p w14:paraId="0C28EAFE" w14:textId="7AD2E59D" w:rsidR="009E4EB9" w:rsidRPr="00F02F7D" w:rsidRDefault="0013514A" w:rsidP="002358B4">
      <w:pPr>
        <w:spacing w:after="120" w:line="240" w:lineRule="auto"/>
        <w:ind w:left="567"/>
        <w:rPr>
          <w:rFonts w:cs="Arial"/>
          <w:bCs/>
          <w:sz w:val="20"/>
          <w:szCs w:val="20"/>
        </w:rPr>
      </w:pPr>
      <w:r w:rsidRPr="00F02F7D">
        <w:rPr>
          <w:rFonts w:cs="Arial"/>
          <w:bCs/>
          <w:sz w:val="20"/>
          <w:szCs w:val="20"/>
        </w:rPr>
        <w:t>Table 6: Trust Themes</w:t>
      </w:r>
    </w:p>
    <w:p w14:paraId="6877771A" w14:textId="78FE377B" w:rsidR="00623849" w:rsidRDefault="00BE0DE9" w:rsidP="001C2FBA">
      <w:pPr>
        <w:pStyle w:val="ListParagraph"/>
        <w:numPr>
          <w:ilvl w:val="2"/>
          <w:numId w:val="20"/>
        </w:numPr>
        <w:spacing w:after="120" w:line="240" w:lineRule="auto"/>
        <w:ind w:left="567" w:firstLine="0"/>
        <w:contextualSpacing w:val="0"/>
        <w:rPr>
          <w:rFonts w:cs="Arial"/>
          <w:sz w:val="24"/>
          <w:szCs w:val="24"/>
        </w:rPr>
      </w:pPr>
      <w:r w:rsidRPr="00001AFB">
        <w:rPr>
          <w:rFonts w:cs="Arial"/>
          <w:b/>
          <w:sz w:val="24"/>
          <w:szCs w:val="24"/>
        </w:rPr>
        <w:t xml:space="preserve">Trust wide </w:t>
      </w:r>
      <w:r w:rsidR="001934E4" w:rsidRPr="00001AFB">
        <w:rPr>
          <w:rFonts w:cs="Arial"/>
          <w:b/>
          <w:sz w:val="24"/>
          <w:szCs w:val="24"/>
        </w:rPr>
        <w:t>(</w:t>
      </w:r>
      <w:r w:rsidRPr="00001AFB">
        <w:rPr>
          <w:rFonts w:cs="Arial"/>
          <w:b/>
          <w:sz w:val="24"/>
          <w:szCs w:val="24"/>
        </w:rPr>
        <w:t>c</w:t>
      </w:r>
      <w:r w:rsidR="00623849" w:rsidRPr="00001AFB">
        <w:rPr>
          <w:rFonts w:cs="Arial"/>
          <w:b/>
          <w:sz w:val="24"/>
          <w:szCs w:val="24"/>
        </w:rPr>
        <w:t>ontinuous</w:t>
      </w:r>
      <w:r w:rsidR="001934E4" w:rsidRPr="00001AFB">
        <w:rPr>
          <w:rFonts w:cs="Arial"/>
          <w:b/>
          <w:sz w:val="24"/>
          <w:szCs w:val="24"/>
        </w:rPr>
        <w:t>)</w:t>
      </w:r>
      <w:r w:rsidR="00623849" w:rsidRPr="00001AFB">
        <w:rPr>
          <w:rFonts w:cs="Arial"/>
          <w:b/>
          <w:sz w:val="24"/>
          <w:szCs w:val="24"/>
        </w:rPr>
        <w:t xml:space="preserve"> improvement workstreams</w:t>
      </w:r>
      <w:r w:rsidR="00001AFB" w:rsidRPr="00001AFB">
        <w:rPr>
          <w:rFonts w:cs="Arial"/>
          <w:b/>
          <w:sz w:val="24"/>
          <w:szCs w:val="24"/>
        </w:rPr>
        <w:t xml:space="preserve"> </w:t>
      </w:r>
      <w:r w:rsidR="00623849" w:rsidRPr="00001AFB">
        <w:rPr>
          <w:rFonts w:cs="Arial"/>
          <w:sz w:val="24"/>
          <w:szCs w:val="24"/>
        </w:rPr>
        <w:t>are broad and known issues requiring improvement, where the understanding of the issues or maturity of improvement work is well developed.</w:t>
      </w:r>
      <w:r w:rsidRPr="00001AFB">
        <w:rPr>
          <w:rFonts w:cs="Arial"/>
          <w:sz w:val="24"/>
          <w:szCs w:val="24"/>
        </w:rPr>
        <w:t xml:space="preserve">  This work is captured within Trust wide improvement plans (TWIPs) and/or quality improvement plans (A3)</w:t>
      </w:r>
      <w:r w:rsidR="00711E11" w:rsidRPr="00001AFB">
        <w:rPr>
          <w:rFonts w:cs="Arial"/>
          <w:sz w:val="24"/>
          <w:szCs w:val="24"/>
        </w:rPr>
        <w:t xml:space="preserve"> along with associated metrics.</w:t>
      </w:r>
    </w:p>
    <w:p w14:paraId="4BA37114" w14:textId="7A7109E4" w:rsidR="009542C0" w:rsidRPr="00001AFB" w:rsidRDefault="009542C0" w:rsidP="001C2FBA">
      <w:pPr>
        <w:pStyle w:val="ListParagraph"/>
        <w:numPr>
          <w:ilvl w:val="2"/>
          <w:numId w:val="20"/>
        </w:numPr>
        <w:spacing w:after="120" w:line="240" w:lineRule="auto"/>
        <w:ind w:left="567" w:firstLine="0"/>
        <w:contextualSpacing w:val="0"/>
        <w:rPr>
          <w:rFonts w:cs="Arial"/>
          <w:sz w:val="24"/>
          <w:szCs w:val="24"/>
        </w:rPr>
      </w:pPr>
      <w:r w:rsidRPr="009542C0">
        <w:rPr>
          <w:rFonts w:cs="Arial"/>
          <w:sz w:val="24"/>
          <w:szCs w:val="24"/>
        </w:rPr>
        <w:t>Incidents are reviewed against the existing improvement work and assurance sought regarding local improvements made or planned.  Insights from these reviews are periodically reviewed to determine if amendments are required to the workstreams e.g. refinements or additions.</w:t>
      </w:r>
    </w:p>
    <w:p w14:paraId="68210346" w14:textId="77B99F1B" w:rsidR="009E4EB9" w:rsidRPr="008A4647" w:rsidRDefault="00BE0DE9" w:rsidP="002358B4">
      <w:pPr>
        <w:pStyle w:val="ListParagraph"/>
        <w:numPr>
          <w:ilvl w:val="2"/>
          <w:numId w:val="20"/>
        </w:numPr>
        <w:spacing w:after="0" w:line="240" w:lineRule="auto"/>
        <w:ind w:left="567" w:firstLine="0"/>
        <w:contextualSpacing w:val="0"/>
        <w:rPr>
          <w:rFonts w:cs="Arial"/>
          <w:color w:val="000000" w:themeColor="text1"/>
          <w:sz w:val="24"/>
          <w:szCs w:val="24"/>
        </w:rPr>
      </w:pPr>
      <w:r w:rsidRPr="008A4647">
        <w:rPr>
          <w:rFonts w:cs="Arial"/>
          <w:color w:val="000000" w:themeColor="text1"/>
          <w:sz w:val="24"/>
          <w:szCs w:val="24"/>
        </w:rPr>
        <w:t xml:space="preserve">The main </w:t>
      </w:r>
      <w:r w:rsidRPr="002358B4">
        <w:rPr>
          <w:rFonts w:cs="Arial"/>
          <w:sz w:val="24"/>
          <w:szCs w:val="24"/>
        </w:rPr>
        <w:t>areas</w:t>
      </w:r>
      <w:r w:rsidRPr="008A4647">
        <w:rPr>
          <w:rFonts w:cs="Arial"/>
          <w:color w:val="000000" w:themeColor="text1"/>
          <w:sz w:val="24"/>
          <w:szCs w:val="24"/>
        </w:rPr>
        <w:t xml:space="preserve"> are:</w:t>
      </w:r>
    </w:p>
    <w:p w14:paraId="2719BAA2" w14:textId="3E952406" w:rsidR="00BE0DE9" w:rsidRDefault="00BE0DE9" w:rsidP="002358B4">
      <w:pPr>
        <w:pStyle w:val="ListParagraph"/>
        <w:numPr>
          <w:ilvl w:val="0"/>
          <w:numId w:val="21"/>
        </w:numPr>
        <w:spacing w:after="120" w:line="240" w:lineRule="auto"/>
        <w:rPr>
          <w:rFonts w:cs="Arial"/>
          <w:sz w:val="24"/>
          <w:szCs w:val="24"/>
        </w:rPr>
      </w:pPr>
      <w:r>
        <w:rPr>
          <w:rFonts w:cs="Arial"/>
          <w:sz w:val="24"/>
          <w:szCs w:val="24"/>
        </w:rPr>
        <w:t>Patient Falls</w:t>
      </w:r>
    </w:p>
    <w:p w14:paraId="7A93C2A2" w14:textId="267DCEBB" w:rsidR="00BE0DE9" w:rsidRDefault="00BE0DE9" w:rsidP="002358B4">
      <w:pPr>
        <w:pStyle w:val="ListParagraph"/>
        <w:numPr>
          <w:ilvl w:val="0"/>
          <w:numId w:val="21"/>
        </w:numPr>
        <w:spacing w:after="120" w:line="240" w:lineRule="auto"/>
        <w:rPr>
          <w:rFonts w:cs="Arial"/>
          <w:sz w:val="24"/>
          <w:szCs w:val="24"/>
        </w:rPr>
      </w:pPr>
      <w:r>
        <w:rPr>
          <w:rFonts w:cs="Arial"/>
          <w:sz w:val="24"/>
          <w:szCs w:val="24"/>
        </w:rPr>
        <w:t xml:space="preserve">Hospital acquired pressure damage (included </w:t>
      </w:r>
      <w:r w:rsidR="008A4647">
        <w:rPr>
          <w:rFonts w:cs="Arial"/>
          <w:sz w:val="24"/>
          <w:szCs w:val="24"/>
        </w:rPr>
        <w:t>under</w:t>
      </w:r>
      <w:r>
        <w:rPr>
          <w:rFonts w:cs="Arial"/>
          <w:sz w:val="24"/>
          <w:szCs w:val="24"/>
        </w:rPr>
        <w:t xml:space="preserve"> the Tissue Viability plan)</w:t>
      </w:r>
    </w:p>
    <w:p w14:paraId="6CDAAC41" w14:textId="754BC878" w:rsidR="00BE0DE9" w:rsidRDefault="00BE0DE9" w:rsidP="002358B4">
      <w:pPr>
        <w:pStyle w:val="ListParagraph"/>
        <w:numPr>
          <w:ilvl w:val="0"/>
          <w:numId w:val="21"/>
        </w:numPr>
        <w:spacing w:after="120" w:line="240" w:lineRule="auto"/>
        <w:rPr>
          <w:rFonts w:cs="Arial"/>
          <w:sz w:val="24"/>
          <w:szCs w:val="24"/>
        </w:rPr>
      </w:pPr>
      <w:r>
        <w:rPr>
          <w:rFonts w:cs="Arial"/>
          <w:sz w:val="24"/>
          <w:szCs w:val="24"/>
        </w:rPr>
        <w:t>Nutrition and Hydration</w:t>
      </w:r>
    </w:p>
    <w:p w14:paraId="218FB9AC" w14:textId="77569807" w:rsidR="00BE0DE9" w:rsidRDefault="00BE0DE9" w:rsidP="002358B4">
      <w:pPr>
        <w:pStyle w:val="ListParagraph"/>
        <w:numPr>
          <w:ilvl w:val="0"/>
          <w:numId w:val="21"/>
        </w:numPr>
        <w:spacing w:after="120" w:line="240" w:lineRule="auto"/>
        <w:rPr>
          <w:rFonts w:cs="Arial"/>
          <w:sz w:val="24"/>
          <w:szCs w:val="24"/>
        </w:rPr>
      </w:pPr>
      <w:r>
        <w:rPr>
          <w:rFonts w:cs="Arial"/>
          <w:sz w:val="24"/>
          <w:szCs w:val="24"/>
        </w:rPr>
        <w:t>Deteriorating patient (adult) and Martha’s Rule</w:t>
      </w:r>
    </w:p>
    <w:p w14:paraId="50134F3C" w14:textId="5CCB2ECD" w:rsidR="00BE0DE9" w:rsidRDefault="00BE0DE9" w:rsidP="002358B4">
      <w:pPr>
        <w:pStyle w:val="ListParagraph"/>
        <w:numPr>
          <w:ilvl w:val="0"/>
          <w:numId w:val="21"/>
        </w:numPr>
        <w:spacing w:after="120" w:line="240" w:lineRule="auto"/>
        <w:rPr>
          <w:rFonts w:cs="Arial"/>
          <w:sz w:val="24"/>
          <w:szCs w:val="24"/>
        </w:rPr>
      </w:pPr>
      <w:r>
        <w:rPr>
          <w:rFonts w:cs="Arial"/>
          <w:sz w:val="24"/>
          <w:szCs w:val="24"/>
        </w:rPr>
        <w:t>Hospital associated venous thromboembolism (VTE)</w:t>
      </w:r>
    </w:p>
    <w:p w14:paraId="79CF67C7" w14:textId="5730CC21" w:rsidR="0085525F" w:rsidRDefault="0085525F" w:rsidP="002358B4">
      <w:pPr>
        <w:pStyle w:val="ListParagraph"/>
        <w:numPr>
          <w:ilvl w:val="0"/>
          <w:numId w:val="21"/>
        </w:numPr>
        <w:spacing w:after="120" w:line="240" w:lineRule="auto"/>
        <w:rPr>
          <w:rFonts w:cs="Arial"/>
          <w:sz w:val="24"/>
          <w:szCs w:val="24"/>
        </w:rPr>
      </w:pPr>
      <w:r>
        <w:rPr>
          <w:rFonts w:cs="Arial"/>
          <w:sz w:val="24"/>
          <w:szCs w:val="24"/>
        </w:rPr>
        <w:t>Test results (review and actioning) (NEW for 2025/26)</w:t>
      </w:r>
    </w:p>
    <w:p w14:paraId="4D0C0E2A" w14:textId="5396397B" w:rsidR="00691F8A" w:rsidRDefault="00741F60" w:rsidP="00051E8B">
      <w:pPr>
        <w:pStyle w:val="ListParagraph"/>
        <w:numPr>
          <w:ilvl w:val="0"/>
          <w:numId w:val="21"/>
        </w:numPr>
        <w:spacing w:after="0" w:line="240" w:lineRule="auto"/>
        <w:ind w:left="924" w:hanging="357"/>
        <w:contextualSpacing w:val="0"/>
        <w:rPr>
          <w:rFonts w:cs="Arial"/>
          <w:sz w:val="24"/>
          <w:szCs w:val="24"/>
        </w:rPr>
      </w:pPr>
      <w:r>
        <w:rPr>
          <w:rFonts w:cs="Arial"/>
          <w:sz w:val="24"/>
          <w:szCs w:val="24"/>
        </w:rPr>
        <w:t>Medication missed doses (NEW for 2025/26)</w:t>
      </w:r>
    </w:p>
    <w:p w14:paraId="452810C7" w14:textId="0A141C02" w:rsidR="00051E8B" w:rsidRPr="00691F8A" w:rsidRDefault="00051E8B" w:rsidP="002358B4">
      <w:pPr>
        <w:pStyle w:val="ListParagraph"/>
        <w:numPr>
          <w:ilvl w:val="0"/>
          <w:numId w:val="21"/>
        </w:numPr>
        <w:spacing w:after="120" w:line="240" w:lineRule="auto"/>
        <w:ind w:left="924" w:hanging="357"/>
        <w:contextualSpacing w:val="0"/>
        <w:rPr>
          <w:rFonts w:cs="Arial"/>
          <w:sz w:val="24"/>
          <w:szCs w:val="24"/>
        </w:rPr>
      </w:pPr>
      <w:r>
        <w:rPr>
          <w:rFonts w:cs="Arial"/>
          <w:sz w:val="24"/>
          <w:szCs w:val="24"/>
        </w:rPr>
        <w:t>Safety Standards for Invasive Procedures</w:t>
      </w:r>
      <w:r w:rsidR="009542C0">
        <w:rPr>
          <w:rFonts w:cs="Arial"/>
          <w:sz w:val="24"/>
          <w:szCs w:val="24"/>
        </w:rPr>
        <w:t xml:space="preserve"> (NEW for 2025/26)</w:t>
      </w:r>
    </w:p>
    <w:p w14:paraId="42D50A37" w14:textId="096D26AA" w:rsidR="00BE0DE9" w:rsidRDefault="00BE0DE9" w:rsidP="002358B4">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In </w:t>
      </w:r>
      <w:r w:rsidRPr="002358B4">
        <w:rPr>
          <w:rFonts w:cs="Arial"/>
          <w:color w:val="000000" w:themeColor="text1"/>
          <w:sz w:val="24"/>
          <w:szCs w:val="24"/>
        </w:rPr>
        <w:t>addition</w:t>
      </w:r>
      <w:r>
        <w:rPr>
          <w:rFonts w:cs="Arial"/>
          <w:sz w:val="24"/>
          <w:szCs w:val="24"/>
        </w:rPr>
        <w:t>, there are other Trust wide continuous and time limited improvement workstreams which also impact on improving patient safety e.g. achievement of cancer targets, waiting list targets, improving information communication technology (ICT), culture improvement,</w:t>
      </w:r>
      <w:r w:rsidR="008A4647">
        <w:rPr>
          <w:rFonts w:cs="Arial"/>
          <w:sz w:val="24"/>
          <w:szCs w:val="24"/>
        </w:rPr>
        <w:t xml:space="preserve"> safeguarding, mental health,</w:t>
      </w:r>
      <w:r>
        <w:rPr>
          <w:rFonts w:cs="Arial"/>
          <w:sz w:val="24"/>
          <w:szCs w:val="24"/>
        </w:rPr>
        <w:t xml:space="preserve"> and many more</w:t>
      </w:r>
      <w:r w:rsidR="008A4647">
        <w:rPr>
          <w:rFonts w:cs="Arial"/>
          <w:sz w:val="24"/>
          <w:szCs w:val="24"/>
        </w:rPr>
        <w:t>.</w:t>
      </w:r>
    </w:p>
    <w:p w14:paraId="1B9BD399" w14:textId="7F6E3891" w:rsidR="00623849" w:rsidRPr="00001AFB" w:rsidRDefault="00623849" w:rsidP="001C2FBA">
      <w:pPr>
        <w:pStyle w:val="ListParagraph"/>
        <w:numPr>
          <w:ilvl w:val="2"/>
          <w:numId w:val="20"/>
        </w:numPr>
        <w:spacing w:after="120" w:line="240" w:lineRule="auto"/>
        <w:ind w:left="567" w:firstLine="0"/>
        <w:contextualSpacing w:val="0"/>
        <w:rPr>
          <w:rFonts w:cs="Arial"/>
          <w:sz w:val="24"/>
          <w:szCs w:val="24"/>
        </w:rPr>
      </w:pPr>
      <w:r w:rsidRPr="00001AFB">
        <w:rPr>
          <w:rFonts w:cs="Arial"/>
          <w:b/>
          <w:sz w:val="24"/>
          <w:szCs w:val="24"/>
        </w:rPr>
        <w:t>Local improvement</w:t>
      </w:r>
      <w:r w:rsidR="00001AFB" w:rsidRPr="00001AFB">
        <w:rPr>
          <w:rFonts w:cs="Arial"/>
          <w:b/>
          <w:sz w:val="24"/>
          <w:szCs w:val="24"/>
        </w:rPr>
        <w:t xml:space="preserve">s </w:t>
      </w:r>
      <w:r w:rsidRPr="00001AFB">
        <w:rPr>
          <w:rFonts w:cs="Arial"/>
          <w:sz w:val="24"/>
          <w:szCs w:val="24"/>
        </w:rPr>
        <w:t>are</w:t>
      </w:r>
      <w:r w:rsidR="00D70ECF" w:rsidRPr="00001AFB">
        <w:rPr>
          <w:rFonts w:cs="Arial"/>
          <w:sz w:val="24"/>
          <w:szCs w:val="24"/>
        </w:rPr>
        <w:t xml:space="preserve"> </w:t>
      </w:r>
      <w:r w:rsidRPr="00001AFB">
        <w:rPr>
          <w:rFonts w:cs="Arial"/>
          <w:sz w:val="24"/>
          <w:szCs w:val="24"/>
        </w:rPr>
        <w:t xml:space="preserve">known issues requiring improvement which can be managed locally at </w:t>
      </w:r>
      <w:r w:rsidR="00275579" w:rsidRPr="00001AFB">
        <w:rPr>
          <w:rFonts w:cs="Arial"/>
          <w:sz w:val="24"/>
          <w:szCs w:val="24"/>
        </w:rPr>
        <w:t xml:space="preserve">ward, </w:t>
      </w:r>
      <w:r w:rsidR="00051E8B">
        <w:rPr>
          <w:rFonts w:cs="Arial"/>
          <w:sz w:val="24"/>
          <w:szCs w:val="24"/>
        </w:rPr>
        <w:t xml:space="preserve">speciality or </w:t>
      </w:r>
      <w:r w:rsidRPr="00001AFB">
        <w:rPr>
          <w:rFonts w:cs="Arial"/>
          <w:sz w:val="24"/>
          <w:szCs w:val="24"/>
        </w:rPr>
        <w:t>care group leve</w:t>
      </w:r>
      <w:r w:rsidR="001934E4" w:rsidRPr="00001AFB">
        <w:rPr>
          <w:rFonts w:cs="Arial"/>
          <w:sz w:val="24"/>
          <w:szCs w:val="24"/>
        </w:rPr>
        <w:t>l.  Incidents are alig</w:t>
      </w:r>
      <w:r w:rsidR="00275579" w:rsidRPr="00001AFB">
        <w:rPr>
          <w:rFonts w:cs="Arial"/>
          <w:sz w:val="24"/>
          <w:szCs w:val="24"/>
        </w:rPr>
        <w:t>n</w:t>
      </w:r>
      <w:r w:rsidR="001934E4" w:rsidRPr="00001AFB">
        <w:rPr>
          <w:rFonts w:cs="Arial"/>
          <w:sz w:val="24"/>
          <w:szCs w:val="24"/>
        </w:rPr>
        <w:t>ed</w:t>
      </w:r>
      <w:r w:rsidR="00275579" w:rsidRPr="00001AFB">
        <w:rPr>
          <w:rFonts w:cs="Arial"/>
          <w:sz w:val="24"/>
          <w:szCs w:val="24"/>
        </w:rPr>
        <w:t xml:space="preserve">, potential new learning identified and assurance sought regarding the effectiveness of </w:t>
      </w:r>
      <w:r w:rsidR="00D70ECF" w:rsidRPr="00001AFB">
        <w:rPr>
          <w:rFonts w:cs="Arial"/>
          <w:sz w:val="24"/>
          <w:szCs w:val="24"/>
        </w:rPr>
        <w:t>the existing approach to address learning and improvement</w:t>
      </w:r>
      <w:r w:rsidR="00275579" w:rsidRPr="00001AFB">
        <w:rPr>
          <w:rFonts w:cs="Arial"/>
          <w:sz w:val="24"/>
          <w:szCs w:val="24"/>
        </w:rPr>
        <w:t>.</w:t>
      </w:r>
      <w:r w:rsidR="00F96779" w:rsidRPr="00001AFB">
        <w:rPr>
          <w:rFonts w:cs="Arial"/>
          <w:sz w:val="24"/>
          <w:szCs w:val="24"/>
        </w:rPr>
        <w:t xml:space="preserve">  Examples would </w:t>
      </w:r>
      <w:r w:rsidR="00D70ECF" w:rsidRPr="00001AFB">
        <w:rPr>
          <w:rFonts w:cs="Arial"/>
          <w:sz w:val="24"/>
          <w:szCs w:val="24"/>
        </w:rPr>
        <w:t xml:space="preserve">be </w:t>
      </w:r>
      <w:r w:rsidR="0055349F" w:rsidRPr="00001AFB">
        <w:rPr>
          <w:rFonts w:cs="Arial"/>
          <w:sz w:val="24"/>
          <w:szCs w:val="24"/>
        </w:rPr>
        <w:t>improvement</w:t>
      </w:r>
      <w:r w:rsidR="00F96779" w:rsidRPr="00001AFB">
        <w:rPr>
          <w:rFonts w:cs="Arial"/>
          <w:sz w:val="24"/>
          <w:szCs w:val="24"/>
        </w:rPr>
        <w:t xml:space="preserve"> projects</w:t>
      </w:r>
      <w:r w:rsidR="0055349F" w:rsidRPr="00001AFB">
        <w:rPr>
          <w:rFonts w:cs="Arial"/>
          <w:sz w:val="24"/>
          <w:szCs w:val="24"/>
        </w:rPr>
        <w:t xml:space="preserve"> and audits led by individual staff members</w:t>
      </w:r>
      <w:r w:rsidR="00F96779" w:rsidRPr="00001AFB">
        <w:rPr>
          <w:rFonts w:cs="Arial"/>
          <w:sz w:val="24"/>
          <w:szCs w:val="24"/>
        </w:rPr>
        <w:t>.</w:t>
      </w:r>
    </w:p>
    <w:p w14:paraId="3FE14091" w14:textId="20C978B5" w:rsidR="00623849" w:rsidRDefault="00623849" w:rsidP="00001AFB">
      <w:pPr>
        <w:pStyle w:val="ListParagraph"/>
        <w:numPr>
          <w:ilvl w:val="2"/>
          <w:numId w:val="20"/>
        </w:numPr>
        <w:spacing w:after="120" w:line="240" w:lineRule="auto"/>
        <w:ind w:left="567" w:firstLine="0"/>
        <w:contextualSpacing w:val="0"/>
        <w:rPr>
          <w:rFonts w:cs="Arial"/>
          <w:sz w:val="24"/>
          <w:szCs w:val="24"/>
        </w:rPr>
      </w:pPr>
      <w:r w:rsidRPr="00623849">
        <w:rPr>
          <w:rFonts w:cs="Arial"/>
          <w:b/>
          <w:sz w:val="24"/>
          <w:szCs w:val="24"/>
        </w:rPr>
        <w:t>Other</w:t>
      </w:r>
      <w:r w:rsidR="00001AFB">
        <w:rPr>
          <w:rFonts w:cs="Arial"/>
          <w:b/>
          <w:sz w:val="24"/>
          <w:szCs w:val="24"/>
        </w:rPr>
        <w:t xml:space="preserve"> </w:t>
      </w:r>
      <w:r w:rsidR="00001AFB" w:rsidRPr="00001AFB">
        <w:rPr>
          <w:rFonts w:cs="Arial"/>
          <w:sz w:val="24"/>
          <w:szCs w:val="24"/>
        </w:rPr>
        <w:t>relate to</w:t>
      </w:r>
      <w:r w:rsidR="00001AFB">
        <w:rPr>
          <w:rFonts w:cs="Arial"/>
          <w:b/>
          <w:sz w:val="24"/>
          <w:szCs w:val="24"/>
        </w:rPr>
        <w:t xml:space="preserve"> </w:t>
      </w:r>
      <w:r>
        <w:rPr>
          <w:rFonts w:cs="Arial"/>
          <w:sz w:val="24"/>
          <w:szCs w:val="24"/>
        </w:rPr>
        <w:t>incidents</w:t>
      </w:r>
      <w:r w:rsidR="00051E8B">
        <w:rPr>
          <w:rFonts w:cs="Arial"/>
          <w:sz w:val="24"/>
          <w:szCs w:val="24"/>
        </w:rPr>
        <w:t xml:space="preserve"> of concern or interest</w:t>
      </w:r>
      <w:r>
        <w:rPr>
          <w:rFonts w:cs="Arial"/>
          <w:sz w:val="24"/>
          <w:szCs w:val="24"/>
        </w:rPr>
        <w:t xml:space="preserve"> which are not a national requirement and cannot be aligned to our themes or </w:t>
      </w:r>
      <w:r w:rsidR="001934E4">
        <w:rPr>
          <w:rFonts w:cs="Arial"/>
          <w:sz w:val="24"/>
          <w:szCs w:val="24"/>
        </w:rPr>
        <w:t>other</w:t>
      </w:r>
      <w:r>
        <w:rPr>
          <w:rFonts w:cs="Arial"/>
          <w:sz w:val="24"/>
          <w:szCs w:val="24"/>
        </w:rPr>
        <w:t xml:space="preserve"> improvement workstreams.  These are reviewed and consideration given to </w:t>
      </w:r>
      <w:r w:rsidR="00D70ECF">
        <w:rPr>
          <w:rFonts w:cs="Arial"/>
          <w:sz w:val="24"/>
          <w:szCs w:val="24"/>
        </w:rPr>
        <w:t xml:space="preserve">escalation to our PSIR governance processes and/or </w:t>
      </w:r>
      <w:r w:rsidR="009542C0">
        <w:rPr>
          <w:rFonts w:cs="Arial"/>
          <w:sz w:val="24"/>
          <w:szCs w:val="24"/>
        </w:rPr>
        <w:t xml:space="preserve">commencement of an </w:t>
      </w:r>
      <w:r>
        <w:rPr>
          <w:rFonts w:cs="Arial"/>
          <w:sz w:val="24"/>
          <w:szCs w:val="24"/>
        </w:rPr>
        <w:t>appropriate learning response</w:t>
      </w:r>
      <w:r w:rsidR="008A4647">
        <w:rPr>
          <w:rFonts w:cs="Arial"/>
          <w:sz w:val="24"/>
          <w:szCs w:val="24"/>
        </w:rPr>
        <w:t xml:space="preserve"> or quality improvement</w:t>
      </w:r>
      <w:r>
        <w:rPr>
          <w:rFonts w:cs="Arial"/>
          <w:sz w:val="24"/>
          <w:szCs w:val="24"/>
        </w:rPr>
        <w:t>.</w:t>
      </w:r>
    </w:p>
    <w:p w14:paraId="398952AC" w14:textId="7F8DF583" w:rsidR="00275579" w:rsidRPr="00001AFB" w:rsidRDefault="00275579" w:rsidP="001C2FBA">
      <w:pPr>
        <w:pStyle w:val="ListParagraph"/>
        <w:numPr>
          <w:ilvl w:val="2"/>
          <w:numId w:val="20"/>
        </w:numPr>
        <w:spacing w:after="120" w:line="240" w:lineRule="auto"/>
        <w:ind w:left="567" w:firstLine="0"/>
        <w:contextualSpacing w:val="0"/>
        <w:rPr>
          <w:rFonts w:cs="Arial"/>
          <w:sz w:val="24"/>
          <w:szCs w:val="24"/>
        </w:rPr>
      </w:pPr>
      <w:r w:rsidRPr="00001AFB">
        <w:rPr>
          <w:rFonts w:cs="Arial"/>
          <w:b/>
          <w:sz w:val="24"/>
          <w:szCs w:val="24"/>
        </w:rPr>
        <w:t>Infection Prevention and Control</w:t>
      </w:r>
      <w:r w:rsidR="00001AFB" w:rsidRPr="00001AFB">
        <w:rPr>
          <w:rFonts w:cs="Arial"/>
          <w:b/>
          <w:sz w:val="24"/>
          <w:szCs w:val="24"/>
        </w:rPr>
        <w:t xml:space="preserve"> </w:t>
      </w:r>
      <w:r w:rsidR="00001AFB" w:rsidRPr="00001AFB">
        <w:rPr>
          <w:rFonts w:cs="Arial"/>
          <w:sz w:val="24"/>
          <w:szCs w:val="24"/>
        </w:rPr>
        <w:t xml:space="preserve">has a </w:t>
      </w:r>
      <w:r w:rsidRPr="00001AFB">
        <w:rPr>
          <w:rFonts w:cs="Arial"/>
          <w:sz w:val="24"/>
          <w:szCs w:val="24"/>
        </w:rPr>
        <w:t xml:space="preserve">specific </w:t>
      </w:r>
      <w:r w:rsidR="00001AFB">
        <w:rPr>
          <w:rFonts w:cs="Arial"/>
          <w:sz w:val="24"/>
          <w:szCs w:val="24"/>
        </w:rPr>
        <w:t xml:space="preserve">PSIR </w:t>
      </w:r>
      <w:r w:rsidRPr="00001AFB">
        <w:rPr>
          <w:rFonts w:cs="Arial"/>
          <w:sz w:val="24"/>
          <w:szCs w:val="24"/>
        </w:rPr>
        <w:t>plan for IPC incidents which aligns with national requirements</w:t>
      </w:r>
      <w:r w:rsidR="003E419C" w:rsidRPr="00001AFB">
        <w:rPr>
          <w:rFonts w:cs="Arial"/>
          <w:sz w:val="24"/>
          <w:szCs w:val="24"/>
        </w:rPr>
        <w:t xml:space="preserve"> for IPC and with PSIRF</w:t>
      </w:r>
      <w:r w:rsidRPr="00001AFB">
        <w:rPr>
          <w:rFonts w:cs="Arial"/>
          <w:sz w:val="24"/>
          <w:szCs w:val="24"/>
        </w:rPr>
        <w:t>.  See Appendix 3.</w:t>
      </w:r>
    </w:p>
    <w:p w14:paraId="6BA9885A" w14:textId="0B17A46B" w:rsidR="00D70ECF" w:rsidRPr="00F57973" w:rsidRDefault="00D70ECF" w:rsidP="00001AFB">
      <w:pPr>
        <w:pStyle w:val="ListParagraph"/>
        <w:numPr>
          <w:ilvl w:val="2"/>
          <w:numId w:val="20"/>
        </w:numPr>
        <w:spacing w:after="120" w:line="240" w:lineRule="auto"/>
        <w:ind w:left="567" w:firstLine="0"/>
        <w:contextualSpacing w:val="0"/>
        <w:rPr>
          <w:rFonts w:cs="Arial"/>
          <w:sz w:val="24"/>
          <w:szCs w:val="24"/>
        </w:rPr>
      </w:pPr>
      <w:r w:rsidRPr="00D70ECF">
        <w:rPr>
          <w:rFonts w:cs="Arial"/>
          <w:b/>
          <w:sz w:val="24"/>
          <w:szCs w:val="24"/>
        </w:rPr>
        <w:t>Maternity and Neonatal</w:t>
      </w:r>
      <w:r w:rsidR="00001AFB">
        <w:rPr>
          <w:rFonts w:cs="Arial"/>
          <w:b/>
          <w:sz w:val="24"/>
          <w:szCs w:val="24"/>
        </w:rPr>
        <w:t xml:space="preserve"> </w:t>
      </w:r>
      <w:r w:rsidR="00001AFB" w:rsidRPr="00001AFB">
        <w:rPr>
          <w:rFonts w:cs="Arial"/>
          <w:sz w:val="24"/>
          <w:szCs w:val="24"/>
        </w:rPr>
        <w:t xml:space="preserve">has a specific PSIR plan.  This </w:t>
      </w:r>
      <w:r w:rsidRPr="00D70ECF">
        <w:rPr>
          <w:rFonts w:cs="Arial"/>
          <w:sz w:val="24"/>
          <w:szCs w:val="24"/>
        </w:rPr>
        <w:t xml:space="preserve">reflects the </w:t>
      </w:r>
      <w:r w:rsidR="00001AFB">
        <w:rPr>
          <w:rFonts w:cs="Arial"/>
          <w:sz w:val="24"/>
          <w:szCs w:val="24"/>
        </w:rPr>
        <w:t>differing</w:t>
      </w:r>
      <w:r w:rsidRPr="00D70ECF">
        <w:rPr>
          <w:rFonts w:cs="Arial"/>
          <w:sz w:val="24"/>
          <w:szCs w:val="24"/>
        </w:rPr>
        <w:t xml:space="preserve"> patient safety profile due to the nature of the patient/client group, and thus differing requirements for improvement workstreams than those of the Trust </w:t>
      </w:r>
      <w:r w:rsidRPr="00D70ECF">
        <w:rPr>
          <w:rFonts w:cs="Arial"/>
          <w:sz w:val="24"/>
          <w:szCs w:val="24"/>
        </w:rPr>
        <w:lastRenderedPageBreak/>
        <w:t xml:space="preserve">more broadly. This </w:t>
      </w:r>
      <w:r>
        <w:rPr>
          <w:rFonts w:cs="Arial"/>
          <w:sz w:val="24"/>
          <w:szCs w:val="24"/>
        </w:rPr>
        <w:t xml:space="preserve">also </w:t>
      </w:r>
      <w:r w:rsidRPr="00D70ECF">
        <w:rPr>
          <w:rFonts w:cs="Arial"/>
          <w:sz w:val="24"/>
          <w:szCs w:val="24"/>
        </w:rPr>
        <w:t xml:space="preserve">aligns to the requirements of Reading the Signals (Kirkup 2024).  </w:t>
      </w:r>
    </w:p>
    <w:p w14:paraId="11429526" w14:textId="174CD5CF" w:rsidR="00446690" w:rsidRPr="00DF01F3" w:rsidRDefault="00623849" w:rsidP="00001AFB">
      <w:pPr>
        <w:pStyle w:val="ListParagraph"/>
        <w:numPr>
          <w:ilvl w:val="1"/>
          <w:numId w:val="20"/>
        </w:numPr>
        <w:spacing w:after="120" w:line="240" w:lineRule="auto"/>
        <w:contextualSpacing w:val="0"/>
        <w:rPr>
          <w:rFonts w:cs="Arial"/>
          <w:b/>
          <w:sz w:val="24"/>
          <w:szCs w:val="24"/>
        </w:rPr>
      </w:pPr>
      <w:r w:rsidRPr="00DF01F3">
        <w:rPr>
          <w:rFonts w:cs="Arial"/>
          <w:b/>
          <w:sz w:val="24"/>
          <w:szCs w:val="24"/>
        </w:rPr>
        <w:t>Learning response types</w:t>
      </w:r>
    </w:p>
    <w:p w14:paraId="79B314BA" w14:textId="4063A2A6" w:rsidR="00623849" w:rsidRDefault="00623849" w:rsidP="00001AFB">
      <w:pPr>
        <w:pStyle w:val="ListParagraph"/>
        <w:numPr>
          <w:ilvl w:val="2"/>
          <w:numId w:val="20"/>
        </w:numPr>
        <w:spacing w:after="120" w:line="240" w:lineRule="auto"/>
        <w:ind w:left="567" w:firstLine="0"/>
        <w:contextualSpacing w:val="0"/>
        <w:rPr>
          <w:rFonts w:cs="Arial"/>
          <w:sz w:val="24"/>
          <w:szCs w:val="24"/>
        </w:rPr>
      </w:pPr>
      <w:r w:rsidRPr="00DF01F3">
        <w:rPr>
          <w:rFonts w:cs="Arial"/>
          <w:sz w:val="24"/>
          <w:szCs w:val="24"/>
        </w:rPr>
        <w:t>We will primarily use the learning response</w:t>
      </w:r>
      <w:r w:rsidR="00DB1373" w:rsidRPr="00DF01F3">
        <w:rPr>
          <w:rFonts w:cs="Arial"/>
          <w:sz w:val="24"/>
          <w:szCs w:val="24"/>
        </w:rPr>
        <w:t xml:space="preserve"> methodologies outlined in Appendix </w:t>
      </w:r>
      <w:r w:rsidR="00275579" w:rsidRPr="00DF01F3">
        <w:rPr>
          <w:rFonts w:cs="Arial"/>
          <w:sz w:val="24"/>
          <w:szCs w:val="24"/>
        </w:rPr>
        <w:t xml:space="preserve">4.  </w:t>
      </w:r>
      <w:r w:rsidR="00DB1373" w:rsidRPr="00DF01F3">
        <w:rPr>
          <w:rFonts w:cs="Arial"/>
          <w:sz w:val="24"/>
          <w:szCs w:val="24"/>
        </w:rPr>
        <w:t xml:space="preserve"> however alternative system based tools may be used dependent on the decision of the Incident Review Panel.</w:t>
      </w:r>
      <w:r w:rsidRPr="00DF01F3">
        <w:rPr>
          <w:rFonts w:cs="Arial"/>
          <w:sz w:val="24"/>
          <w:szCs w:val="24"/>
        </w:rPr>
        <w:t xml:space="preserve"> </w:t>
      </w:r>
    </w:p>
    <w:p w14:paraId="12CE236F" w14:textId="77777777" w:rsidR="00DB3036" w:rsidRPr="0095170C" w:rsidRDefault="00DB3036" w:rsidP="00DB3036">
      <w:pPr>
        <w:pStyle w:val="ListParagraph"/>
        <w:numPr>
          <w:ilvl w:val="1"/>
          <w:numId w:val="20"/>
        </w:numPr>
        <w:spacing w:after="120" w:line="240" w:lineRule="auto"/>
        <w:contextualSpacing w:val="0"/>
        <w:rPr>
          <w:rFonts w:cs="Arial"/>
          <w:b/>
          <w:sz w:val="24"/>
          <w:szCs w:val="24"/>
        </w:rPr>
      </w:pPr>
      <w:r w:rsidRPr="0095170C">
        <w:rPr>
          <w:rFonts w:cs="Arial"/>
          <w:b/>
          <w:sz w:val="24"/>
          <w:szCs w:val="24"/>
        </w:rPr>
        <w:t xml:space="preserve">Trust incident response capacity </w:t>
      </w:r>
    </w:p>
    <w:p w14:paraId="093216FE" w14:textId="18C59ED8" w:rsidR="00DB3036" w:rsidRDefault="00DB3036" w:rsidP="00DB3036">
      <w:pPr>
        <w:pStyle w:val="ListParagraph"/>
        <w:numPr>
          <w:ilvl w:val="2"/>
          <w:numId w:val="20"/>
        </w:numPr>
        <w:spacing w:after="120" w:line="240" w:lineRule="auto"/>
        <w:ind w:left="567" w:firstLine="0"/>
        <w:contextualSpacing w:val="0"/>
        <w:rPr>
          <w:rFonts w:cs="Arial"/>
          <w:sz w:val="24"/>
          <w:szCs w:val="24"/>
        </w:rPr>
      </w:pPr>
      <w:r w:rsidRPr="0095170C">
        <w:rPr>
          <w:rFonts w:cs="Arial"/>
          <w:sz w:val="24"/>
          <w:szCs w:val="24"/>
        </w:rPr>
        <w:t>In order to ensure a proportionate approach to patient safety responses the staffing resource required to review and respon</w:t>
      </w:r>
      <w:r w:rsidR="00180E5C">
        <w:rPr>
          <w:rFonts w:cs="Arial"/>
          <w:sz w:val="24"/>
          <w:szCs w:val="24"/>
        </w:rPr>
        <w:t>d</w:t>
      </w:r>
      <w:r w:rsidRPr="0095170C">
        <w:rPr>
          <w:rFonts w:cs="Arial"/>
          <w:sz w:val="24"/>
          <w:szCs w:val="24"/>
        </w:rPr>
        <w:t xml:space="preserve"> to patient safety events must be balanced with the number of responses.</w:t>
      </w:r>
    </w:p>
    <w:p w14:paraId="5F38A459" w14:textId="77777777" w:rsidR="00051E8B" w:rsidRDefault="00DB3036"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In the year prior to implementation of PSIRF, the Trust declared 117 SIs (including MNSI) and initiated 98 AARs.  In the year following implementation of PSIRF, the Trust has initiated 29 PSIIs, MNSIs, Thematic and MDT reviews and 105 AARs.  The number of AARs did not reduce as anticipated</w:t>
      </w:r>
      <w:r w:rsidR="00051E8B">
        <w:rPr>
          <w:rFonts w:cs="Arial"/>
          <w:sz w:val="24"/>
          <w:szCs w:val="24"/>
        </w:rPr>
        <w:t>.  In</w:t>
      </w:r>
      <w:r>
        <w:rPr>
          <w:rFonts w:cs="Arial"/>
          <w:sz w:val="24"/>
          <w:szCs w:val="24"/>
        </w:rPr>
        <w:t xml:space="preserve"> part this was due to a Trust decision to complete AARs for all moderate harm and above patient falls in order to inform the Trust wide improvement plan.  However, overall, there was a 40% reduction in the number of investigations.  </w:t>
      </w:r>
    </w:p>
    <w:p w14:paraId="4896CE65" w14:textId="77777777" w:rsidR="00051E8B" w:rsidRDefault="00051E8B"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Whilst</w:t>
      </w:r>
      <w:r w:rsidR="00DB3036">
        <w:rPr>
          <w:rFonts w:cs="Arial"/>
          <w:sz w:val="24"/>
          <w:szCs w:val="24"/>
        </w:rPr>
        <w:t xml:space="preserve"> our staff were learning the new learning response and investigation methodologies, the time to complete the responses increased.  </w:t>
      </w:r>
    </w:p>
    <w:p w14:paraId="61A8D48E" w14:textId="1B05CD04" w:rsidR="00DB3036" w:rsidRDefault="00DB3036"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Our focus for 2025/26 is ensuring our patient safety recommendations and actions are robust to enable us to evidence sustained improvements as a result of PSIRF implementation.</w:t>
      </w:r>
    </w:p>
    <w:tbl>
      <w:tblPr>
        <w:tblStyle w:val="TableGrid"/>
        <w:tblW w:w="0" w:type="auto"/>
        <w:tblInd w:w="562" w:type="dxa"/>
        <w:tblCellMar>
          <w:top w:w="57" w:type="dxa"/>
          <w:bottom w:w="57" w:type="dxa"/>
        </w:tblCellMar>
        <w:tblLook w:val="04A0" w:firstRow="1" w:lastRow="0" w:firstColumn="1" w:lastColumn="0" w:noHBand="0" w:noVBand="1"/>
      </w:tblPr>
      <w:tblGrid>
        <w:gridCol w:w="3261"/>
        <w:gridCol w:w="1488"/>
        <w:gridCol w:w="1488"/>
        <w:gridCol w:w="1956"/>
      </w:tblGrid>
      <w:tr w:rsidR="00DB3036" w:rsidRPr="00CE56D6" w14:paraId="21A3ED47" w14:textId="77777777" w:rsidTr="00DB3036">
        <w:tc>
          <w:tcPr>
            <w:tcW w:w="3261" w:type="dxa"/>
            <w:shd w:val="clear" w:color="auto" w:fill="DDEEFF"/>
          </w:tcPr>
          <w:p w14:paraId="24EF33F7" w14:textId="77777777" w:rsidR="00DB3036" w:rsidRPr="00CE56D6" w:rsidRDefault="00DB3036" w:rsidP="001C2FBA">
            <w:pPr>
              <w:rPr>
                <w:rFonts w:cs="Arial"/>
                <w:b/>
                <w:sz w:val="24"/>
                <w:szCs w:val="24"/>
              </w:rPr>
            </w:pPr>
          </w:p>
        </w:tc>
        <w:tc>
          <w:tcPr>
            <w:tcW w:w="1488" w:type="dxa"/>
            <w:shd w:val="clear" w:color="auto" w:fill="DDEEFF"/>
            <w:vAlign w:val="center"/>
          </w:tcPr>
          <w:p w14:paraId="07A93F2F" w14:textId="77777777" w:rsidR="00DB3036" w:rsidRPr="00CE56D6" w:rsidRDefault="00DB3036" w:rsidP="001C2FBA">
            <w:pPr>
              <w:jc w:val="center"/>
              <w:rPr>
                <w:rFonts w:cs="Arial"/>
                <w:b/>
                <w:sz w:val="24"/>
                <w:szCs w:val="24"/>
              </w:rPr>
            </w:pPr>
            <w:r w:rsidRPr="00CE56D6">
              <w:rPr>
                <w:rFonts w:cs="Arial"/>
                <w:b/>
                <w:sz w:val="24"/>
                <w:szCs w:val="24"/>
              </w:rPr>
              <w:t>2023/24</w:t>
            </w:r>
            <w:r>
              <w:rPr>
                <w:rFonts w:cs="Arial"/>
                <w:b/>
                <w:sz w:val="24"/>
                <w:szCs w:val="24"/>
              </w:rPr>
              <w:t>*</w:t>
            </w:r>
          </w:p>
        </w:tc>
        <w:tc>
          <w:tcPr>
            <w:tcW w:w="1488" w:type="dxa"/>
            <w:shd w:val="clear" w:color="auto" w:fill="DDEEFF"/>
            <w:vAlign w:val="center"/>
          </w:tcPr>
          <w:p w14:paraId="02E9A740" w14:textId="77777777" w:rsidR="00DB3036" w:rsidRPr="00CE56D6" w:rsidRDefault="00DB3036" w:rsidP="001C2FBA">
            <w:pPr>
              <w:jc w:val="center"/>
              <w:rPr>
                <w:rFonts w:cs="Arial"/>
                <w:b/>
                <w:sz w:val="24"/>
                <w:szCs w:val="24"/>
              </w:rPr>
            </w:pPr>
            <w:r w:rsidRPr="00CE56D6">
              <w:rPr>
                <w:rFonts w:cs="Arial"/>
                <w:b/>
                <w:sz w:val="24"/>
                <w:szCs w:val="24"/>
              </w:rPr>
              <w:t>2024/25</w:t>
            </w:r>
            <w:r>
              <w:rPr>
                <w:rFonts w:cs="Arial"/>
                <w:b/>
                <w:sz w:val="24"/>
                <w:szCs w:val="24"/>
              </w:rPr>
              <w:t>*</w:t>
            </w:r>
          </w:p>
        </w:tc>
        <w:tc>
          <w:tcPr>
            <w:tcW w:w="1956" w:type="dxa"/>
            <w:shd w:val="clear" w:color="auto" w:fill="DDEEFF"/>
            <w:vAlign w:val="center"/>
          </w:tcPr>
          <w:p w14:paraId="58C1E611" w14:textId="77777777" w:rsidR="00DB3036" w:rsidRPr="00CE56D6" w:rsidRDefault="00DB3036" w:rsidP="001C2FBA">
            <w:pPr>
              <w:jc w:val="center"/>
              <w:rPr>
                <w:rFonts w:cs="Arial"/>
                <w:b/>
                <w:sz w:val="24"/>
                <w:szCs w:val="24"/>
              </w:rPr>
            </w:pPr>
            <w:r w:rsidRPr="00CE56D6">
              <w:rPr>
                <w:rFonts w:cs="Arial"/>
                <w:b/>
                <w:sz w:val="24"/>
                <w:szCs w:val="24"/>
              </w:rPr>
              <w:t>2025/26</w:t>
            </w:r>
            <w:r>
              <w:rPr>
                <w:rFonts w:cs="Arial"/>
                <w:b/>
                <w:sz w:val="24"/>
                <w:szCs w:val="24"/>
              </w:rPr>
              <w:t xml:space="preserve">** </w:t>
            </w:r>
            <w:r w:rsidRPr="00CE56D6">
              <w:rPr>
                <w:rFonts w:cs="Arial"/>
                <w:b/>
                <w:sz w:val="24"/>
                <w:szCs w:val="24"/>
              </w:rPr>
              <w:t>Plan</w:t>
            </w:r>
          </w:p>
        </w:tc>
      </w:tr>
      <w:tr w:rsidR="00DB3036" w14:paraId="46FE8D69" w14:textId="77777777" w:rsidTr="00DB3036">
        <w:tc>
          <w:tcPr>
            <w:tcW w:w="3261" w:type="dxa"/>
          </w:tcPr>
          <w:p w14:paraId="28D271C5" w14:textId="77777777" w:rsidR="00DB3036" w:rsidRDefault="00DB3036" w:rsidP="001C2FBA">
            <w:pPr>
              <w:rPr>
                <w:rFonts w:cs="Arial"/>
                <w:sz w:val="24"/>
                <w:szCs w:val="24"/>
              </w:rPr>
            </w:pPr>
            <w:r>
              <w:rPr>
                <w:rFonts w:cs="Arial"/>
                <w:sz w:val="24"/>
                <w:szCs w:val="24"/>
              </w:rPr>
              <w:t xml:space="preserve">Serious Incidents </w:t>
            </w:r>
          </w:p>
        </w:tc>
        <w:tc>
          <w:tcPr>
            <w:tcW w:w="1488" w:type="dxa"/>
            <w:vAlign w:val="center"/>
          </w:tcPr>
          <w:p w14:paraId="2C635627" w14:textId="77777777" w:rsidR="00DB3036" w:rsidRDefault="00DB3036" w:rsidP="001C2FBA">
            <w:pPr>
              <w:jc w:val="center"/>
              <w:rPr>
                <w:rFonts w:cs="Arial"/>
                <w:sz w:val="24"/>
                <w:szCs w:val="24"/>
              </w:rPr>
            </w:pPr>
            <w:r>
              <w:rPr>
                <w:rFonts w:cs="Arial"/>
                <w:sz w:val="24"/>
                <w:szCs w:val="24"/>
              </w:rPr>
              <w:t>117</w:t>
            </w:r>
          </w:p>
        </w:tc>
        <w:tc>
          <w:tcPr>
            <w:tcW w:w="1488" w:type="dxa"/>
            <w:vAlign w:val="center"/>
          </w:tcPr>
          <w:p w14:paraId="79ECE9DC" w14:textId="77777777" w:rsidR="00DB3036" w:rsidRDefault="00DB3036" w:rsidP="001C2FBA">
            <w:pPr>
              <w:jc w:val="center"/>
              <w:rPr>
                <w:rFonts w:cs="Arial"/>
                <w:sz w:val="24"/>
                <w:szCs w:val="24"/>
              </w:rPr>
            </w:pPr>
          </w:p>
        </w:tc>
        <w:tc>
          <w:tcPr>
            <w:tcW w:w="1956" w:type="dxa"/>
            <w:vAlign w:val="center"/>
          </w:tcPr>
          <w:p w14:paraId="10D49902" w14:textId="77777777" w:rsidR="00DB3036" w:rsidRDefault="00DB3036" w:rsidP="001C2FBA">
            <w:pPr>
              <w:jc w:val="center"/>
              <w:rPr>
                <w:rFonts w:cs="Arial"/>
                <w:sz w:val="24"/>
                <w:szCs w:val="24"/>
              </w:rPr>
            </w:pPr>
          </w:p>
        </w:tc>
      </w:tr>
      <w:tr w:rsidR="00DB3036" w14:paraId="406B17E0" w14:textId="77777777" w:rsidTr="00DB3036">
        <w:tc>
          <w:tcPr>
            <w:tcW w:w="3261" w:type="dxa"/>
          </w:tcPr>
          <w:p w14:paraId="2E83CB04" w14:textId="77777777" w:rsidR="00DB3036" w:rsidRDefault="00DB3036" w:rsidP="001C2FBA">
            <w:pPr>
              <w:rPr>
                <w:rFonts w:cs="Arial"/>
                <w:sz w:val="24"/>
                <w:szCs w:val="24"/>
              </w:rPr>
            </w:pPr>
            <w:r>
              <w:rPr>
                <w:rFonts w:cs="Arial"/>
                <w:sz w:val="24"/>
                <w:szCs w:val="24"/>
              </w:rPr>
              <w:t>AAR (old)</w:t>
            </w:r>
          </w:p>
        </w:tc>
        <w:tc>
          <w:tcPr>
            <w:tcW w:w="1488" w:type="dxa"/>
            <w:vAlign w:val="center"/>
          </w:tcPr>
          <w:p w14:paraId="11101214" w14:textId="77777777" w:rsidR="00DB3036" w:rsidRDefault="00DB3036" w:rsidP="001C2FBA">
            <w:pPr>
              <w:jc w:val="center"/>
              <w:rPr>
                <w:rFonts w:cs="Arial"/>
                <w:sz w:val="24"/>
                <w:szCs w:val="24"/>
              </w:rPr>
            </w:pPr>
            <w:r>
              <w:rPr>
                <w:rFonts w:cs="Arial"/>
                <w:sz w:val="24"/>
                <w:szCs w:val="24"/>
              </w:rPr>
              <w:t>98</w:t>
            </w:r>
          </w:p>
        </w:tc>
        <w:tc>
          <w:tcPr>
            <w:tcW w:w="1488" w:type="dxa"/>
            <w:vAlign w:val="center"/>
          </w:tcPr>
          <w:p w14:paraId="30923088" w14:textId="77777777" w:rsidR="00DB3036" w:rsidRDefault="00DB3036" w:rsidP="001C2FBA">
            <w:pPr>
              <w:jc w:val="center"/>
              <w:rPr>
                <w:rFonts w:cs="Arial"/>
                <w:sz w:val="24"/>
                <w:szCs w:val="24"/>
              </w:rPr>
            </w:pPr>
          </w:p>
        </w:tc>
        <w:tc>
          <w:tcPr>
            <w:tcW w:w="1956" w:type="dxa"/>
            <w:vAlign w:val="center"/>
          </w:tcPr>
          <w:p w14:paraId="735C8BC6" w14:textId="77777777" w:rsidR="00DB3036" w:rsidRDefault="00DB3036" w:rsidP="001C2FBA">
            <w:pPr>
              <w:jc w:val="center"/>
              <w:rPr>
                <w:rFonts w:cs="Arial"/>
                <w:sz w:val="24"/>
                <w:szCs w:val="24"/>
              </w:rPr>
            </w:pPr>
          </w:p>
        </w:tc>
      </w:tr>
      <w:tr w:rsidR="00DB3036" w14:paraId="05F45F45" w14:textId="77777777" w:rsidTr="00DB3036">
        <w:tc>
          <w:tcPr>
            <w:tcW w:w="3261" w:type="dxa"/>
          </w:tcPr>
          <w:p w14:paraId="677FCA68" w14:textId="77777777" w:rsidR="00DB3036" w:rsidRDefault="00DB3036" w:rsidP="001C2FBA">
            <w:pPr>
              <w:rPr>
                <w:rFonts w:cs="Arial"/>
                <w:sz w:val="24"/>
                <w:szCs w:val="24"/>
              </w:rPr>
            </w:pPr>
            <w:r>
              <w:rPr>
                <w:rFonts w:cs="Arial"/>
                <w:sz w:val="24"/>
                <w:szCs w:val="24"/>
              </w:rPr>
              <w:t>PSII, Thematic, MDT review</w:t>
            </w:r>
          </w:p>
        </w:tc>
        <w:tc>
          <w:tcPr>
            <w:tcW w:w="1488" w:type="dxa"/>
            <w:vAlign w:val="center"/>
          </w:tcPr>
          <w:p w14:paraId="2C84F669" w14:textId="77777777" w:rsidR="00DB3036" w:rsidRDefault="00DB3036" w:rsidP="001C2FBA">
            <w:pPr>
              <w:jc w:val="center"/>
              <w:rPr>
                <w:rFonts w:cs="Arial"/>
                <w:sz w:val="24"/>
                <w:szCs w:val="24"/>
              </w:rPr>
            </w:pPr>
          </w:p>
        </w:tc>
        <w:tc>
          <w:tcPr>
            <w:tcW w:w="1488" w:type="dxa"/>
            <w:vAlign w:val="center"/>
          </w:tcPr>
          <w:p w14:paraId="03EDF2F0" w14:textId="77777777" w:rsidR="00DB3036" w:rsidRDefault="00DB3036" w:rsidP="001C2FBA">
            <w:pPr>
              <w:jc w:val="center"/>
              <w:rPr>
                <w:rFonts w:cs="Arial"/>
                <w:sz w:val="24"/>
                <w:szCs w:val="24"/>
              </w:rPr>
            </w:pPr>
            <w:r>
              <w:rPr>
                <w:rFonts w:cs="Arial"/>
                <w:sz w:val="24"/>
                <w:szCs w:val="24"/>
              </w:rPr>
              <w:t>29</w:t>
            </w:r>
          </w:p>
        </w:tc>
        <w:tc>
          <w:tcPr>
            <w:tcW w:w="1956" w:type="dxa"/>
            <w:vAlign w:val="center"/>
          </w:tcPr>
          <w:p w14:paraId="5A8D9E07" w14:textId="77777777" w:rsidR="00DB3036" w:rsidRDefault="00DB3036" w:rsidP="001C2FBA">
            <w:pPr>
              <w:jc w:val="center"/>
              <w:rPr>
                <w:rFonts w:cs="Arial"/>
                <w:sz w:val="24"/>
                <w:szCs w:val="24"/>
              </w:rPr>
            </w:pPr>
            <w:r>
              <w:rPr>
                <w:rFonts w:cs="Arial"/>
                <w:sz w:val="24"/>
                <w:szCs w:val="24"/>
              </w:rPr>
              <w:t>20</w:t>
            </w:r>
          </w:p>
        </w:tc>
      </w:tr>
      <w:tr w:rsidR="00DB3036" w14:paraId="59E48027" w14:textId="77777777" w:rsidTr="00DB3036">
        <w:tc>
          <w:tcPr>
            <w:tcW w:w="3261" w:type="dxa"/>
          </w:tcPr>
          <w:p w14:paraId="0AF77CB0" w14:textId="77777777" w:rsidR="00DB3036" w:rsidRDefault="00DB3036" w:rsidP="001C2FBA">
            <w:pPr>
              <w:rPr>
                <w:rFonts w:cs="Arial"/>
                <w:sz w:val="24"/>
                <w:szCs w:val="24"/>
              </w:rPr>
            </w:pPr>
            <w:r>
              <w:rPr>
                <w:rFonts w:cs="Arial"/>
                <w:sz w:val="24"/>
                <w:szCs w:val="24"/>
              </w:rPr>
              <w:t>AAR (new)</w:t>
            </w:r>
          </w:p>
        </w:tc>
        <w:tc>
          <w:tcPr>
            <w:tcW w:w="1488" w:type="dxa"/>
            <w:vAlign w:val="center"/>
          </w:tcPr>
          <w:p w14:paraId="53771C44" w14:textId="77777777" w:rsidR="00DB3036" w:rsidRDefault="00DB3036" w:rsidP="001C2FBA">
            <w:pPr>
              <w:jc w:val="center"/>
              <w:rPr>
                <w:rFonts w:cs="Arial"/>
                <w:sz w:val="24"/>
                <w:szCs w:val="24"/>
              </w:rPr>
            </w:pPr>
          </w:p>
        </w:tc>
        <w:tc>
          <w:tcPr>
            <w:tcW w:w="1488" w:type="dxa"/>
            <w:vAlign w:val="center"/>
          </w:tcPr>
          <w:p w14:paraId="1B843C9D" w14:textId="77777777" w:rsidR="00DB3036" w:rsidRDefault="00DB3036" w:rsidP="001C2FBA">
            <w:pPr>
              <w:jc w:val="center"/>
              <w:rPr>
                <w:rFonts w:cs="Arial"/>
                <w:sz w:val="24"/>
                <w:szCs w:val="24"/>
              </w:rPr>
            </w:pPr>
            <w:r>
              <w:rPr>
                <w:rFonts w:cs="Arial"/>
                <w:sz w:val="24"/>
                <w:szCs w:val="24"/>
              </w:rPr>
              <w:t>105</w:t>
            </w:r>
          </w:p>
        </w:tc>
        <w:tc>
          <w:tcPr>
            <w:tcW w:w="1956" w:type="dxa"/>
            <w:vAlign w:val="center"/>
          </w:tcPr>
          <w:p w14:paraId="3B1619B1" w14:textId="77777777" w:rsidR="00DB3036" w:rsidRDefault="00DB3036" w:rsidP="001C2FBA">
            <w:pPr>
              <w:jc w:val="center"/>
              <w:rPr>
                <w:rFonts w:cs="Arial"/>
                <w:sz w:val="24"/>
                <w:szCs w:val="24"/>
              </w:rPr>
            </w:pPr>
            <w:r>
              <w:rPr>
                <w:rFonts w:cs="Arial"/>
                <w:sz w:val="24"/>
                <w:szCs w:val="24"/>
              </w:rPr>
              <w:t>30</w:t>
            </w:r>
          </w:p>
        </w:tc>
      </w:tr>
      <w:tr w:rsidR="00DB3036" w14:paraId="31134E15" w14:textId="77777777" w:rsidTr="00DB3036">
        <w:tc>
          <w:tcPr>
            <w:tcW w:w="3261" w:type="dxa"/>
          </w:tcPr>
          <w:p w14:paraId="2E1544BE" w14:textId="77777777" w:rsidR="00DB3036" w:rsidRDefault="00DB3036" w:rsidP="001C2FBA">
            <w:pPr>
              <w:rPr>
                <w:rFonts w:cs="Arial"/>
                <w:sz w:val="24"/>
                <w:szCs w:val="24"/>
              </w:rPr>
            </w:pPr>
            <w:r>
              <w:rPr>
                <w:rFonts w:cs="Arial"/>
                <w:sz w:val="24"/>
                <w:szCs w:val="24"/>
              </w:rPr>
              <w:t>Swarm huddle</w:t>
            </w:r>
          </w:p>
        </w:tc>
        <w:tc>
          <w:tcPr>
            <w:tcW w:w="1488" w:type="dxa"/>
            <w:vAlign w:val="center"/>
          </w:tcPr>
          <w:p w14:paraId="00FAE812" w14:textId="77777777" w:rsidR="00DB3036" w:rsidRDefault="00DB3036" w:rsidP="001C2FBA">
            <w:pPr>
              <w:jc w:val="center"/>
              <w:rPr>
                <w:rFonts w:cs="Arial"/>
                <w:sz w:val="24"/>
                <w:szCs w:val="24"/>
              </w:rPr>
            </w:pPr>
          </w:p>
        </w:tc>
        <w:tc>
          <w:tcPr>
            <w:tcW w:w="1488" w:type="dxa"/>
            <w:vAlign w:val="center"/>
          </w:tcPr>
          <w:p w14:paraId="34A5B31C" w14:textId="77777777" w:rsidR="00DB3036" w:rsidRDefault="00DB3036" w:rsidP="001C2FBA">
            <w:pPr>
              <w:jc w:val="center"/>
              <w:rPr>
                <w:rFonts w:cs="Arial"/>
                <w:sz w:val="24"/>
                <w:szCs w:val="24"/>
              </w:rPr>
            </w:pPr>
            <w:r>
              <w:rPr>
                <w:rFonts w:cs="Arial"/>
                <w:sz w:val="24"/>
                <w:szCs w:val="24"/>
              </w:rPr>
              <w:t>9</w:t>
            </w:r>
          </w:p>
        </w:tc>
        <w:tc>
          <w:tcPr>
            <w:tcW w:w="1956" w:type="dxa"/>
            <w:vAlign w:val="center"/>
          </w:tcPr>
          <w:p w14:paraId="53D51855" w14:textId="77777777" w:rsidR="00DB3036" w:rsidRDefault="00DB3036" w:rsidP="001C2FBA">
            <w:pPr>
              <w:jc w:val="center"/>
              <w:rPr>
                <w:rFonts w:cs="Arial"/>
                <w:sz w:val="24"/>
                <w:szCs w:val="24"/>
              </w:rPr>
            </w:pPr>
            <w:r>
              <w:rPr>
                <w:rFonts w:cs="Arial"/>
                <w:sz w:val="24"/>
                <w:szCs w:val="24"/>
              </w:rPr>
              <w:t>30</w:t>
            </w:r>
          </w:p>
        </w:tc>
      </w:tr>
      <w:tr w:rsidR="00DB3036" w:rsidRPr="00CE56D6" w14:paraId="4F062854" w14:textId="77777777" w:rsidTr="00DB3036">
        <w:tc>
          <w:tcPr>
            <w:tcW w:w="3261" w:type="dxa"/>
          </w:tcPr>
          <w:p w14:paraId="4CA74BA7" w14:textId="77777777" w:rsidR="00DB3036" w:rsidRPr="00CE56D6" w:rsidRDefault="00DB3036" w:rsidP="001C2FBA">
            <w:pPr>
              <w:rPr>
                <w:rFonts w:cs="Arial"/>
                <w:b/>
                <w:sz w:val="24"/>
                <w:szCs w:val="24"/>
              </w:rPr>
            </w:pPr>
            <w:r w:rsidRPr="00CE56D6">
              <w:rPr>
                <w:rFonts w:cs="Arial"/>
                <w:b/>
                <w:sz w:val="24"/>
                <w:szCs w:val="24"/>
              </w:rPr>
              <w:t>Total</w:t>
            </w:r>
          </w:p>
        </w:tc>
        <w:tc>
          <w:tcPr>
            <w:tcW w:w="1488" w:type="dxa"/>
            <w:vAlign w:val="center"/>
          </w:tcPr>
          <w:p w14:paraId="490E1F35" w14:textId="77777777" w:rsidR="00DB3036" w:rsidRPr="00CE56D6" w:rsidRDefault="00DB3036" w:rsidP="001C2FBA">
            <w:pPr>
              <w:jc w:val="center"/>
              <w:rPr>
                <w:rFonts w:cs="Arial"/>
                <w:b/>
                <w:sz w:val="24"/>
                <w:szCs w:val="24"/>
              </w:rPr>
            </w:pPr>
            <w:r w:rsidRPr="00CE56D6">
              <w:rPr>
                <w:rFonts w:cs="Arial"/>
                <w:b/>
                <w:sz w:val="24"/>
                <w:szCs w:val="24"/>
              </w:rPr>
              <w:t>215</w:t>
            </w:r>
          </w:p>
        </w:tc>
        <w:tc>
          <w:tcPr>
            <w:tcW w:w="1488" w:type="dxa"/>
            <w:vAlign w:val="center"/>
          </w:tcPr>
          <w:p w14:paraId="3DD0106B" w14:textId="77777777" w:rsidR="00DB3036" w:rsidRPr="00CE56D6" w:rsidRDefault="00DB3036" w:rsidP="001C2FBA">
            <w:pPr>
              <w:jc w:val="center"/>
              <w:rPr>
                <w:rFonts w:cs="Arial"/>
                <w:b/>
                <w:sz w:val="24"/>
                <w:szCs w:val="24"/>
              </w:rPr>
            </w:pPr>
            <w:r w:rsidRPr="00CE56D6">
              <w:rPr>
                <w:rFonts w:cs="Arial"/>
                <w:b/>
                <w:sz w:val="24"/>
                <w:szCs w:val="24"/>
              </w:rPr>
              <w:t>143</w:t>
            </w:r>
          </w:p>
        </w:tc>
        <w:tc>
          <w:tcPr>
            <w:tcW w:w="1956" w:type="dxa"/>
            <w:vAlign w:val="center"/>
          </w:tcPr>
          <w:p w14:paraId="72129C61" w14:textId="77777777" w:rsidR="00DB3036" w:rsidRPr="00CE56D6" w:rsidRDefault="00DB3036" w:rsidP="001C2FBA">
            <w:pPr>
              <w:jc w:val="center"/>
              <w:rPr>
                <w:rFonts w:cs="Arial"/>
                <w:b/>
                <w:sz w:val="24"/>
                <w:szCs w:val="24"/>
              </w:rPr>
            </w:pPr>
            <w:r>
              <w:rPr>
                <w:rFonts w:cs="Arial"/>
                <w:b/>
                <w:sz w:val="24"/>
                <w:szCs w:val="24"/>
              </w:rPr>
              <w:t>8</w:t>
            </w:r>
            <w:r w:rsidRPr="00CE56D6">
              <w:rPr>
                <w:rFonts w:cs="Arial"/>
                <w:b/>
                <w:sz w:val="24"/>
                <w:szCs w:val="24"/>
              </w:rPr>
              <w:t>0</w:t>
            </w:r>
          </w:p>
        </w:tc>
      </w:tr>
    </w:tbl>
    <w:p w14:paraId="3A45F85B" w14:textId="77777777" w:rsidR="00DB3036" w:rsidRDefault="00DB3036" w:rsidP="00DB3036">
      <w:pPr>
        <w:spacing w:after="0" w:line="240" w:lineRule="auto"/>
        <w:ind w:left="567"/>
        <w:rPr>
          <w:rFonts w:cs="Arial"/>
          <w:sz w:val="20"/>
          <w:szCs w:val="20"/>
        </w:rPr>
      </w:pPr>
      <w:r w:rsidRPr="00CE56D6">
        <w:rPr>
          <w:rFonts w:cs="Arial"/>
          <w:sz w:val="20"/>
          <w:szCs w:val="20"/>
        </w:rPr>
        <w:t>Table 7: Actual a</w:t>
      </w:r>
      <w:r>
        <w:rPr>
          <w:rFonts w:cs="Arial"/>
          <w:sz w:val="20"/>
          <w:szCs w:val="20"/>
        </w:rPr>
        <w:t>nd planned learning responses (2023/24, 2024/25 and 2025/26)</w:t>
      </w:r>
    </w:p>
    <w:p w14:paraId="29558CBB" w14:textId="77777777" w:rsidR="00DB3036" w:rsidRPr="00CE56D6" w:rsidRDefault="00DB3036" w:rsidP="00DB3036">
      <w:pPr>
        <w:spacing w:after="0" w:line="240" w:lineRule="auto"/>
        <w:ind w:left="567"/>
        <w:rPr>
          <w:rFonts w:cs="Arial"/>
          <w:sz w:val="16"/>
          <w:szCs w:val="16"/>
        </w:rPr>
      </w:pPr>
      <w:r w:rsidRPr="00CE56D6">
        <w:rPr>
          <w:rFonts w:cs="Arial"/>
          <w:sz w:val="16"/>
          <w:szCs w:val="16"/>
        </w:rPr>
        <w:t>* June to June</w:t>
      </w:r>
    </w:p>
    <w:p w14:paraId="5204BB53" w14:textId="17C881B6" w:rsidR="00DB3036" w:rsidRPr="00CE56D6" w:rsidRDefault="00DB3036" w:rsidP="00DB3036">
      <w:pPr>
        <w:spacing w:after="120" w:line="240" w:lineRule="auto"/>
        <w:ind w:left="567"/>
        <w:rPr>
          <w:rFonts w:cs="Arial"/>
          <w:sz w:val="16"/>
          <w:szCs w:val="16"/>
        </w:rPr>
      </w:pPr>
      <w:r w:rsidRPr="00CE56D6">
        <w:rPr>
          <w:rFonts w:cs="Arial"/>
          <w:sz w:val="16"/>
          <w:szCs w:val="16"/>
        </w:rPr>
        <w:t>*</w:t>
      </w:r>
      <w:r w:rsidR="00820DB2">
        <w:rPr>
          <w:rFonts w:cs="Arial"/>
          <w:sz w:val="16"/>
          <w:szCs w:val="16"/>
        </w:rPr>
        <w:t xml:space="preserve">* </w:t>
      </w:r>
      <w:r w:rsidRPr="00CE56D6">
        <w:rPr>
          <w:rFonts w:cs="Arial"/>
          <w:sz w:val="16"/>
          <w:szCs w:val="16"/>
        </w:rPr>
        <w:t>April 2025 to March 2026</w:t>
      </w:r>
    </w:p>
    <w:p w14:paraId="1A932D61" w14:textId="5F81A238" w:rsidR="00180E5C" w:rsidRDefault="00DB3036"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Structured Judgement Reviews completed for the Learning from Deaths process have not been incorporated as these are case note reviews which are initiated by the Medical Examiner Service and thus are subject to a</w:t>
      </w:r>
      <w:r w:rsidR="00051E8B">
        <w:rPr>
          <w:rFonts w:cs="Arial"/>
          <w:sz w:val="24"/>
          <w:szCs w:val="24"/>
        </w:rPr>
        <w:t xml:space="preserve">n initial </w:t>
      </w:r>
      <w:r>
        <w:rPr>
          <w:rFonts w:cs="Arial"/>
          <w:sz w:val="24"/>
          <w:szCs w:val="24"/>
        </w:rPr>
        <w:t>scrutiny process</w:t>
      </w:r>
      <w:r w:rsidR="00051E8B">
        <w:rPr>
          <w:rFonts w:cs="Arial"/>
          <w:sz w:val="24"/>
          <w:szCs w:val="24"/>
        </w:rPr>
        <w:t xml:space="preserve"> which is outside of but may feed into the PSIRF processes</w:t>
      </w:r>
      <w:r>
        <w:rPr>
          <w:rFonts w:cs="Arial"/>
          <w:sz w:val="24"/>
          <w:szCs w:val="24"/>
        </w:rPr>
        <w:t xml:space="preserve">.  The SJRs contribute to learning and improvements via the Mortality and Morbidity Meeting and Learning from Deaths panel process.  The latter feeds directly into </w:t>
      </w:r>
      <w:r w:rsidR="00820DB2">
        <w:rPr>
          <w:rFonts w:cs="Arial"/>
          <w:sz w:val="24"/>
          <w:szCs w:val="24"/>
        </w:rPr>
        <w:t>Incident Review Panel</w:t>
      </w:r>
      <w:r>
        <w:rPr>
          <w:rFonts w:cs="Arial"/>
          <w:sz w:val="24"/>
          <w:szCs w:val="24"/>
        </w:rPr>
        <w:t xml:space="preserve"> for any reviews which meet national criteria - d</w:t>
      </w:r>
      <w:r w:rsidRPr="00F57973">
        <w:rPr>
          <w:rFonts w:cs="Arial"/>
          <w:sz w:val="24"/>
          <w:szCs w:val="24"/>
        </w:rPr>
        <w:t>eath</w:t>
      </w:r>
      <w:r>
        <w:rPr>
          <w:rFonts w:cs="Arial"/>
          <w:sz w:val="24"/>
          <w:szCs w:val="24"/>
        </w:rPr>
        <w:t>s</w:t>
      </w:r>
      <w:r w:rsidRPr="00F57973">
        <w:rPr>
          <w:rFonts w:cs="Arial"/>
          <w:sz w:val="24"/>
          <w:szCs w:val="24"/>
        </w:rPr>
        <w:t xml:space="preserve"> thought more likely than not due to problems in care</w:t>
      </w:r>
      <w:r>
        <w:rPr>
          <w:rFonts w:cs="Arial"/>
          <w:sz w:val="24"/>
          <w:szCs w:val="24"/>
        </w:rPr>
        <w:t>.</w:t>
      </w:r>
    </w:p>
    <w:p w14:paraId="727A2BDE" w14:textId="53F1C8A7" w:rsidR="004D46DD" w:rsidRDefault="004D46DD" w:rsidP="004D46DD">
      <w:pPr>
        <w:pStyle w:val="ListParagraph"/>
        <w:spacing w:after="120" w:line="240" w:lineRule="auto"/>
        <w:ind w:left="567"/>
        <w:contextualSpacing w:val="0"/>
        <w:rPr>
          <w:rFonts w:cs="Arial"/>
          <w:sz w:val="24"/>
          <w:szCs w:val="24"/>
        </w:rPr>
      </w:pPr>
    </w:p>
    <w:p w14:paraId="7DAB82CF" w14:textId="77777777" w:rsidR="004D46DD" w:rsidRDefault="004D46DD" w:rsidP="004D46DD">
      <w:pPr>
        <w:pStyle w:val="ListParagraph"/>
        <w:spacing w:after="120" w:line="240" w:lineRule="auto"/>
        <w:ind w:left="567"/>
        <w:contextualSpacing w:val="0"/>
        <w:rPr>
          <w:rFonts w:cs="Arial"/>
          <w:sz w:val="24"/>
          <w:szCs w:val="24"/>
        </w:rPr>
      </w:pPr>
    </w:p>
    <w:p w14:paraId="1B40ADFE" w14:textId="0899D400" w:rsidR="00DB3036" w:rsidRDefault="00DB3036" w:rsidP="007E357A">
      <w:pPr>
        <w:pStyle w:val="ListParagraph"/>
        <w:numPr>
          <w:ilvl w:val="1"/>
          <w:numId w:val="20"/>
        </w:numPr>
        <w:spacing w:after="120" w:line="240" w:lineRule="auto"/>
        <w:contextualSpacing w:val="0"/>
        <w:rPr>
          <w:rFonts w:cs="Arial"/>
          <w:b/>
          <w:sz w:val="24"/>
          <w:szCs w:val="24"/>
        </w:rPr>
      </w:pPr>
      <w:r w:rsidRPr="008C01D9">
        <w:rPr>
          <w:rFonts w:cs="Arial"/>
          <w:b/>
          <w:sz w:val="24"/>
          <w:szCs w:val="24"/>
        </w:rPr>
        <w:t>Learning response and oversight capacity</w:t>
      </w:r>
    </w:p>
    <w:p w14:paraId="3A13C39C" w14:textId="77777777" w:rsidR="00051E8B" w:rsidRDefault="00DB3036"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The PSII leads have completed the Healthcare Safety Investigation Branch (HSIB) Patient Safety Syllabus Level 3 training or equivalent and two staff have completed the Level 4.  </w:t>
      </w:r>
    </w:p>
    <w:p w14:paraId="03471873" w14:textId="77777777" w:rsidR="00051E8B" w:rsidRDefault="00DB3036"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Additional courses, such as SEIPS in Action have also been completed by some staff.  </w:t>
      </w:r>
    </w:p>
    <w:p w14:paraId="5E6A553E" w14:textId="77777777" w:rsidR="00051E8B" w:rsidRDefault="00DB3036"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In-house AAR and Swarm huddle training commenced in 2024.  </w:t>
      </w:r>
    </w:p>
    <w:p w14:paraId="1B5FB541" w14:textId="797C0A50" w:rsidR="00DB3036" w:rsidRPr="009910CF" w:rsidRDefault="00DB3036" w:rsidP="00DB3036">
      <w:pPr>
        <w:pStyle w:val="ListParagraph"/>
        <w:numPr>
          <w:ilvl w:val="2"/>
          <w:numId w:val="20"/>
        </w:numPr>
        <w:spacing w:after="120" w:line="240" w:lineRule="auto"/>
        <w:ind w:left="567" w:firstLine="0"/>
        <w:contextualSpacing w:val="0"/>
        <w:rPr>
          <w:rFonts w:cs="Arial"/>
          <w:sz w:val="24"/>
          <w:szCs w:val="24"/>
        </w:rPr>
      </w:pPr>
      <w:r>
        <w:rPr>
          <w:rFonts w:cs="Arial"/>
          <w:sz w:val="24"/>
          <w:szCs w:val="24"/>
        </w:rPr>
        <w:t>Only one member of staff is recorded as having completed the HSIB Oversight training which comprises of two half day sessions.  A</w:t>
      </w:r>
      <w:r w:rsidR="00FC48D9">
        <w:rPr>
          <w:rFonts w:cs="Arial"/>
          <w:sz w:val="24"/>
          <w:szCs w:val="24"/>
        </w:rPr>
        <w:t xml:space="preserve"> bespoke</w:t>
      </w:r>
      <w:r>
        <w:rPr>
          <w:rFonts w:cs="Arial"/>
          <w:sz w:val="24"/>
          <w:szCs w:val="24"/>
        </w:rPr>
        <w:t xml:space="preserve"> in-house version is under development.</w:t>
      </w:r>
    </w:p>
    <w:tbl>
      <w:tblPr>
        <w:tblStyle w:val="TableGrid"/>
        <w:tblW w:w="0" w:type="auto"/>
        <w:tblInd w:w="562" w:type="dxa"/>
        <w:tblCellMar>
          <w:top w:w="57" w:type="dxa"/>
          <w:bottom w:w="57" w:type="dxa"/>
        </w:tblCellMar>
        <w:tblLook w:val="04A0" w:firstRow="1" w:lastRow="0" w:firstColumn="1" w:lastColumn="0" w:noHBand="0" w:noVBand="1"/>
      </w:tblPr>
      <w:tblGrid>
        <w:gridCol w:w="4096"/>
        <w:gridCol w:w="4097"/>
      </w:tblGrid>
      <w:tr w:rsidR="00DB3036" w14:paraId="7A3BBDA7" w14:textId="77777777" w:rsidTr="00DB3036">
        <w:tc>
          <w:tcPr>
            <w:tcW w:w="4096" w:type="dxa"/>
            <w:shd w:val="clear" w:color="auto" w:fill="DDEEFF"/>
          </w:tcPr>
          <w:p w14:paraId="41B93922" w14:textId="77777777" w:rsidR="00DB3036" w:rsidRDefault="00DB3036" w:rsidP="001C2FBA">
            <w:pPr>
              <w:rPr>
                <w:rFonts w:cs="Arial"/>
                <w:b/>
                <w:sz w:val="24"/>
                <w:szCs w:val="24"/>
              </w:rPr>
            </w:pPr>
            <w:r>
              <w:rPr>
                <w:rFonts w:cs="Arial"/>
                <w:b/>
                <w:sz w:val="24"/>
                <w:szCs w:val="24"/>
              </w:rPr>
              <w:t>Learning response type</w:t>
            </w:r>
          </w:p>
        </w:tc>
        <w:tc>
          <w:tcPr>
            <w:tcW w:w="4097" w:type="dxa"/>
            <w:shd w:val="clear" w:color="auto" w:fill="DDEEFF"/>
          </w:tcPr>
          <w:p w14:paraId="79D1A1DE" w14:textId="77777777" w:rsidR="00DB3036" w:rsidRDefault="00DB3036" w:rsidP="001C2FBA">
            <w:pPr>
              <w:rPr>
                <w:rFonts w:cs="Arial"/>
                <w:b/>
                <w:sz w:val="24"/>
                <w:szCs w:val="24"/>
              </w:rPr>
            </w:pPr>
            <w:r>
              <w:rPr>
                <w:rFonts w:cs="Arial"/>
                <w:b/>
                <w:sz w:val="24"/>
                <w:szCs w:val="24"/>
              </w:rPr>
              <w:t>Staff trained (confirmed)</w:t>
            </w:r>
          </w:p>
        </w:tc>
      </w:tr>
      <w:tr w:rsidR="00DB3036" w14:paraId="1D101344" w14:textId="77777777" w:rsidTr="00DB3036">
        <w:tc>
          <w:tcPr>
            <w:tcW w:w="4096" w:type="dxa"/>
          </w:tcPr>
          <w:p w14:paraId="60E7A12F" w14:textId="77777777" w:rsidR="00DB3036" w:rsidRPr="008C01D9" w:rsidRDefault="00DB3036" w:rsidP="001C2FBA">
            <w:pPr>
              <w:rPr>
                <w:rFonts w:cs="Arial"/>
                <w:sz w:val="24"/>
                <w:szCs w:val="24"/>
              </w:rPr>
            </w:pPr>
            <w:r w:rsidRPr="008C01D9">
              <w:rPr>
                <w:rFonts w:cs="Arial"/>
                <w:sz w:val="24"/>
                <w:szCs w:val="24"/>
              </w:rPr>
              <w:t>PSII</w:t>
            </w:r>
          </w:p>
        </w:tc>
        <w:tc>
          <w:tcPr>
            <w:tcW w:w="4097" w:type="dxa"/>
          </w:tcPr>
          <w:p w14:paraId="311F691C" w14:textId="77777777" w:rsidR="00DB3036" w:rsidRPr="008C01D9" w:rsidRDefault="00DB3036" w:rsidP="001C2FBA">
            <w:pPr>
              <w:rPr>
                <w:rFonts w:cs="Arial"/>
                <w:sz w:val="24"/>
                <w:szCs w:val="24"/>
              </w:rPr>
            </w:pPr>
            <w:r>
              <w:rPr>
                <w:rFonts w:cs="Arial"/>
                <w:sz w:val="24"/>
                <w:szCs w:val="24"/>
              </w:rPr>
              <w:t>13</w:t>
            </w:r>
          </w:p>
        </w:tc>
      </w:tr>
      <w:tr w:rsidR="00DB3036" w14:paraId="79E92828" w14:textId="77777777" w:rsidTr="00DB3036">
        <w:tc>
          <w:tcPr>
            <w:tcW w:w="4096" w:type="dxa"/>
          </w:tcPr>
          <w:p w14:paraId="0CBFE51C" w14:textId="77777777" w:rsidR="00DB3036" w:rsidRPr="008C01D9" w:rsidRDefault="00DB3036" w:rsidP="001C2FBA">
            <w:pPr>
              <w:rPr>
                <w:rFonts w:cs="Arial"/>
                <w:sz w:val="24"/>
                <w:szCs w:val="24"/>
              </w:rPr>
            </w:pPr>
            <w:r w:rsidRPr="008C01D9">
              <w:rPr>
                <w:rFonts w:cs="Arial"/>
                <w:sz w:val="24"/>
                <w:szCs w:val="24"/>
              </w:rPr>
              <w:t>AAR (new)</w:t>
            </w:r>
          </w:p>
        </w:tc>
        <w:tc>
          <w:tcPr>
            <w:tcW w:w="4097" w:type="dxa"/>
          </w:tcPr>
          <w:p w14:paraId="38C508A3" w14:textId="77777777" w:rsidR="00DB3036" w:rsidRPr="008C01D9" w:rsidRDefault="00DB3036" w:rsidP="001C2FBA">
            <w:pPr>
              <w:rPr>
                <w:rFonts w:cs="Arial"/>
                <w:sz w:val="24"/>
                <w:szCs w:val="24"/>
              </w:rPr>
            </w:pPr>
            <w:r>
              <w:rPr>
                <w:rFonts w:cs="Arial"/>
                <w:sz w:val="24"/>
                <w:szCs w:val="24"/>
              </w:rPr>
              <w:t>73</w:t>
            </w:r>
          </w:p>
        </w:tc>
      </w:tr>
      <w:tr w:rsidR="00DB3036" w14:paraId="25A103F7" w14:textId="77777777" w:rsidTr="00DB3036">
        <w:tc>
          <w:tcPr>
            <w:tcW w:w="4096" w:type="dxa"/>
          </w:tcPr>
          <w:p w14:paraId="00B689A9" w14:textId="77777777" w:rsidR="00DB3036" w:rsidRPr="008C01D9" w:rsidRDefault="00DB3036" w:rsidP="001C2FBA">
            <w:pPr>
              <w:rPr>
                <w:rFonts w:cs="Arial"/>
                <w:sz w:val="24"/>
                <w:szCs w:val="24"/>
              </w:rPr>
            </w:pPr>
            <w:r w:rsidRPr="008C01D9">
              <w:rPr>
                <w:rFonts w:cs="Arial"/>
                <w:sz w:val="24"/>
                <w:szCs w:val="24"/>
              </w:rPr>
              <w:t>Swarm huddle</w:t>
            </w:r>
          </w:p>
        </w:tc>
        <w:tc>
          <w:tcPr>
            <w:tcW w:w="4097" w:type="dxa"/>
          </w:tcPr>
          <w:p w14:paraId="75CBC712" w14:textId="77777777" w:rsidR="00DB3036" w:rsidRPr="008C01D9" w:rsidRDefault="00DB3036" w:rsidP="001C2FBA">
            <w:pPr>
              <w:rPr>
                <w:rFonts w:cs="Arial"/>
                <w:sz w:val="24"/>
                <w:szCs w:val="24"/>
              </w:rPr>
            </w:pPr>
            <w:r>
              <w:rPr>
                <w:rFonts w:cs="Arial"/>
                <w:sz w:val="24"/>
                <w:szCs w:val="24"/>
              </w:rPr>
              <w:t>268</w:t>
            </w:r>
          </w:p>
        </w:tc>
      </w:tr>
      <w:tr w:rsidR="00DB3036" w14:paraId="4C42544D" w14:textId="77777777" w:rsidTr="00DB3036">
        <w:tc>
          <w:tcPr>
            <w:tcW w:w="4096" w:type="dxa"/>
          </w:tcPr>
          <w:p w14:paraId="2D21D480" w14:textId="77777777" w:rsidR="00DB3036" w:rsidRPr="008C01D9" w:rsidRDefault="00DB3036" w:rsidP="001C2FBA">
            <w:pPr>
              <w:rPr>
                <w:rFonts w:cs="Arial"/>
                <w:sz w:val="24"/>
                <w:szCs w:val="24"/>
              </w:rPr>
            </w:pPr>
            <w:r w:rsidRPr="008C01D9">
              <w:rPr>
                <w:rFonts w:cs="Arial"/>
                <w:sz w:val="24"/>
                <w:szCs w:val="24"/>
              </w:rPr>
              <w:t xml:space="preserve">Oversight </w:t>
            </w:r>
          </w:p>
        </w:tc>
        <w:tc>
          <w:tcPr>
            <w:tcW w:w="4097" w:type="dxa"/>
          </w:tcPr>
          <w:p w14:paraId="05E20E11" w14:textId="77777777" w:rsidR="00DB3036" w:rsidRPr="008C01D9" w:rsidRDefault="00DB3036" w:rsidP="001C2FBA">
            <w:pPr>
              <w:rPr>
                <w:rFonts w:cs="Arial"/>
                <w:sz w:val="24"/>
                <w:szCs w:val="24"/>
              </w:rPr>
            </w:pPr>
            <w:r w:rsidRPr="008C01D9">
              <w:rPr>
                <w:rFonts w:cs="Arial"/>
                <w:sz w:val="24"/>
                <w:szCs w:val="24"/>
              </w:rPr>
              <w:t>1</w:t>
            </w:r>
          </w:p>
        </w:tc>
      </w:tr>
    </w:tbl>
    <w:p w14:paraId="27A8FBAB" w14:textId="77777777" w:rsidR="00DB3036" w:rsidRPr="008C01D9" w:rsidRDefault="00DB3036" w:rsidP="00DB3036">
      <w:pPr>
        <w:spacing w:after="120" w:line="240" w:lineRule="auto"/>
        <w:rPr>
          <w:rFonts w:cs="Arial"/>
          <w:sz w:val="20"/>
          <w:szCs w:val="20"/>
        </w:rPr>
      </w:pPr>
      <w:r w:rsidRPr="008C01D9">
        <w:rPr>
          <w:rFonts w:cs="Arial"/>
          <w:sz w:val="20"/>
          <w:szCs w:val="20"/>
        </w:rPr>
        <w:t>Table 8: number of staff confirmed trained in learning response methodology</w:t>
      </w:r>
    </w:p>
    <w:p w14:paraId="7C097B5A" w14:textId="7F716D70" w:rsidR="00DB3036" w:rsidRPr="00DB3036" w:rsidRDefault="00DB3036" w:rsidP="00DB3036">
      <w:pPr>
        <w:pStyle w:val="ListParagraph"/>
        <w:numPr>
          <w:ilvl w:val="2"/>
          <w:numId w:val="20"/>
        </w:numPr>
        <w:spacing w:after="120" w:line="240" w:lineRule="auto"/>
        <w:ind w:left="567" w:firstLine="0"/>
        <w:contextualSpacing w:val="0"/>
        <w:rPr>
          <w:rFonts w:cs="Arial"/>
          <w:sz w:val="24"/>
          <w:szCs w:val="24"/>
        </w:rPr>
      </w:pPr>
      <w:r w:rsidRPr="00DB3036">
        <w:rPr>
          <w:rFonts w:cs="Arial"/>
          <w:sz w:val="24"/>
          <w:szCs w:val="24"/>
        </w:rPr>
        <w:t xml:space="preserve">Both the Swarm huddle and AAR training include use of SEIPS.  The Human Factors training available on request also includes SEIPS.  The </w:t>
      </w:r>
      <w:r w:rsidR="00820DB2">
        <w:rPr>
          <w:rFonts w:cs="Arial"/>
          <w:sz w:val="24"/>
          <w:szCs w:val="24"/>
        </w:rPr>
        <w:t xml:space="preserve">staffing </w:t>
      </w:r>
      <w:r w:rsidRPr="00DB3036">
        <w:rPr>
          <w:rFonts w:cs="Arial"/>
          <w:sz w:val="24"/>
          <w:szCs w:val="24"/>
        </w:rPr>
        <w:t>resource for system focused learning responses and investigations will be further expanded in 2025/26.</w:t>
      </w:r>
    </w:p>
    <w:p w14:paraId="52FF68D5" w14:textId="1D91C399" w:rsidR="00DB1373" w:rsidRPr="0032373F" w:rsidRDefault="00DB1373" w:rsidP="00001AFB">
      <w:pPr>
        <w:pStyle w:val="ListParagraph"/>
        <w:numPr>
          <w:ilvl w:val="1"/>
          <w:numId w:val="20"/>
        </w:numPr>
        <w:spacing w:after="120" w:line="240" w:lineRule="auto"/>
        <w:contextualSpacing w:val="0"/>
        <w:rPr>
          <w:rFonts w:cs="Arial"/>
          <w:b/>
          <w:sz w:val="24"/>
          <w:szCs w:val="24"/>
        </w:rPr>
      </w:pPr>
      <w:r w:rsidRPr="0032373F">
        <w:rPr>
          <w:rFonts w:cs="Arial"/>
          <w:b/>
          <w:sz w:val="24"/>
          <w:szCs w:val="24"/>
        </w:rPr>
        <w:t>Collaborative working</w:t>
      </w:r>
    </w:p>
    <w:p w14:paraId="658CED04" w14:textId="2A63AE2C" w:rsidR="0032373F" w:rsidRDefault="0032373F" w:rsidP="00001AFB">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When the </w:t>
      </w:r>
      <w:r w:rsidRPr="00DF01F3">
        <w:rPr>
          <w:rFonts w:cs="Arial"/>
          <w:sz w:val="24"/>
          <w:szCs w:val="24"/>
        </w:rPr>
        <w:t xml:space="preserve">Trust </w:t>
      </w:r>
      <w:r>
        <w:rPr>
          <w:rFonts w:cs="Arial"/>
          <w:sz w:val="24"/>
          <w:szCs w:val="24"/>
        </w:rPr>
        <w:t xml:space="preserve">is </w:t>
      </w:r>
      <w:r w:rsidRPr="00DF01F3">
        <w:rPr>
          <w:rFonts w:cs="Arial"/>
          <w:sz w:val="24"/>
          <w:szCs w:val="24"/>
        </w:rPr>
        <w:t>aware of an incident that involves a system partner</w:t>
      </w:r>
      <w:r>
        <w:rPr>
          <w:rFonts w:cs="Arial"/>
          <w:sz w:val="24"/>
          <w:szCs w:val="24"/>
        </w:rPr>
        <w:t xml:space="preserve">, the corporate patient safety team contacts the patient safety or governance team within the </w:t>
      </w:r>
      <w:r w:rsidRPr="00DF01F3">
        <w:rPr>
          <w:rFonts w:cs="Arial"/>
          <w:sz w:val="24"/>
          <w:szCs w:val="24"/>
        </w:rPr>
        <w:t>partner organisation, via their generic email</w:t>
      </w:r>
      <w:r>
        <w:rPr>
          <w:rFonts w:cs="Arial"/>
          <w:sz w:val="24"/>
          <w:szCs w:val="24"/>
        </w:rPr>
        <w:t xml:space="preserve"> account.  The r</w:t>
      </w:r>
      <w:r w:rsidRPr="00DF01F3">
        <w:rPr>
          <w:rFonts w:cs="Arial"/>
          <w:sz w:val="24"/>
          <w:szCs w:val="24"/>
        </w:rPr>
        <w:t xml:space="preserve">elationships </w:t>
      </w:r>
      <w:r>
        <w:rPr>
          <w:rFonts w:cs="Arial"/>
          <w:sz w:val="24"/>
          <w:szCs w:val="24"/>
        </w:rPr>
        <w:t xml:space="preserve">with local and tertiary providers </w:t>
      </w:r>
      <w:r w:rsidRPr="00DF01F3">
        <w:rPr>
          <w:rFonts w:cs="Arial"/>
          <w:sz w:val="24"/>
          <w:szCs w:val="24"/>
        </w:rPr>
        <w:t xml:space="preserve">have been forged over several years and </w:t>
      </w:r>
      <w:r>
        <w:rPr>
          <w:rFonts w:cs="Arial"/>
          <w:sz w:val="24"/>
          <w:szCs w:val="24"/>
        </w:rPr>
        <w:t>collaborative working is the norm</w:t>
      </w:r>
      <w:r w:rsidRPr="00DF01F3">
        <w:rPr>
          <w:rFonts w:cs="Arial"/>
          <w:sz w:val="24"/>
          <w:szCs w:val="24"/>
        </w:rPr>
        <w:t xml:space="preserve">. Should there be a significant incident, one which either affects many patients or is a very concerning nature, the ICB and Care Quality Commission (CQC) will be notified. </w:t>
      </w:r>
    </w:p>
    <w:p w14:paraId="4D1D9DB5" w14:textId="7994086C" w:rsidR="0032373F" w:rsidRPr="00DF01F3" w:rsidRDefault="0032373F" w:rsidP="00001AFB">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The ICB may decide to lead on the learning response if the incident involves multiple providers and/or there is learning for </w:t>
      </w:r>
      <w:r w:rsidR="00375D2F">
        <w:rPr>
          <w:rFonts w:cs="Arial"/>
          <w:sz w:val="24"/>
          <w:szCs w:val="24"/>
        </w:rPr>
        <w:t xml:space="preserve">an ICB function e.g. </w:t>
      </w:r>
      <w:r>
        <w:rPr>
          <w:rFonts w:cs="Arial"/>
          <w:sz w:val="24"/>
          <w:szCs w:val="24"/>
        </w:rPr>
        <w:t>commissioning.</w:t>
      </w:r>
    </w:p>
    <w:p w14:paraId="1DFF924C" w14:textId="6A326ED5" w:rsidR="009E4EB9" w:rsidRPr="00DF01F3" w:rsidRDefault="008734A9" w:rsidP="00001AFB">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The regional Patient Safety Incident Response Framework Oversight Group (POG) hosted by the ICB ensures cross provider understanding of </w:t>
      </w:r>
      <w:r w:rsidR="00375D2F">
        <w:rPr>
          <w:rFonts w:cs="Arial"/>
          <w:sz w:val="24"/>
          <w:szCs w:val="24"/>
        </w:rPr>
        <w:t xml:space="preserve">partner provider </w:t>
      </w:r>
      <w:r>
        <w:rPr>
          <w:rFonts w:cs="Arial"/>
          <w:sz w:val="24"/>
          <w:szCs w:val="24"/>
        </w:rPr>
        <w:t>PSIR plans.</w:t>
      </w:r>
    </w:p>
    <w:p w14:paraId="320A8F01" w14:textId="5A1CED0F" w:rsidR="009E4EB9" w:rsidRPr="00DF01F3" w:rsidRDefault="009E4EB9" w:rsidP="00001AFB">
      <w:pPr>
        <w:pStyle w:val="ListParagraph"/>
        <w:numPr>
          <w:ilvl w:val="2"/>
          <w:numId w:val="20"/>
        </w:numPr>
        <w:spacing w:after="120" w:line="240" w:lineRule="auto"/>
        <w:ind w:left="567" w:firstLine="0"/>
        <w:contextualSpacing w:val="0"/>
        <w:rPr>
          <w:rFonts w:cs="Arial"/>
          <w:sz w:val="24"/>
          <w:szCs w:val="24"/>
        </w:rPr>
      </w:pPr>
      <w:r w:rsidRPr="00DF01F3">
        <w:rPr>
          <w:rFonts w:cs="Arial"/>
          <w:sz w:val="24"/>
          <w:szCs w:val="24"/>
        </w:rPr>
        <w:t xml:space="preserve">If information needs to be shared with other providers within the learning response, information governance standards must be met. Please see more details within the Information Governance Policy.  Staff can access this via the </w:t>
      </w:r>
      <w:hyperlink r:id="rId14" w:history="1">
        <w:r w:rsidRPr="00DF01F3">
          <w:rPr>
            <w:rStyle w:val="Hyperlink"/>
            <w:rFonts w:cs="Arial"/>
            <w:sz w:val="24"/>
            <w:szCs w:val="24"/>
          </w:rPr>
          <w:t>Policy Centre</w:t>
        </w:r>
      </w:hyperlink>
      <w:r w:rsidRPr="00DF01F3">
        <w:rPr>
          <w:rFonts w:cs="Arial"/>
          <w:sz w:val="24"/>
          <w:szCs w:val="24"/>
        </w:rPr>
        <w:t xml:space="preserve"> and the public can request this by contacting the </w:t>
      </w:r>
      <w:hyperlink r:id="rId15" w:history="1">
        <w:r w:rsidRPr="00DF01F3">
          <w:rPr>
            <w:rStyle w:val="Hyperlink"/>
            <w:rFonts w:cs="Arial"/>
            <w:sz w:val="24"/>
            <w:szCs w:val="24"/>
          </w:rPr>
          <w:t>Freedom of Information Team</w:t>
        </w:r>
      </w:hyperlink>
      <w:r w:rsidRPr="00DF01F3">
        <w:rPr>
          <w:rFonts w:cs="Arial"/>
          <w:sz w:val="24"/>
          <w:szCs w:val="24"/>
        </w:rPr>
        <w:t>.</w:t>
      </w:r>
    </w:p>
    <w:p w14:paraId="6A97C6C2" w14:textId="328C440C" w:rsidR="00DB1373" w:rsidRDefault="00DB1373" w:rsidP="00001AFB">
      <w:pPr>
        <w:pStyle w:val="ListParagraph"/>
        <w:numPr>
          <w:ilvl w:val="1"/>
          <w:numId w:val="20"/>
        </w:numPr>
        <w:spacing w:after="120" w:line="240" w:lineRule="auto"/>
        <w:contextualSpacing w:val="0"/>
        <w:rPr>
          <w:rFonts w:cs="Arial"/>
          <w:b/>
          <w:sz w:val="24"/>
          <w:szCs w:val="24"/>
        </w:rPr>
      </w:pPr>
      <w:r w:rsidRPr="00421589">
        <w:rPr>
          <w:rFonts w:cs="Arial"/>
          <w:b/>
          <w:sz w:val="24"/>
          <w:szCs w:val="24"/>
        </w:rPr>
        <w:t>Oversight</w:t>
      </w:r>
    </w:p>
    <w:p w14:paraId="50E507BB" w14:textId="05E39476" w:rsidR="00421589" w:rsidRPr="00421589" w:rsidRDefault="00421589" w:rsidP="00001AFB">
      <w:pPr>
        <w:pStyle w:val="ListParagraph"/>
        <w:numPr>
          <w:ilvl w:val="2"/>
          <w:numId w:val="20"/>
        </w:numPr>
        <w:spacing w:after="120" w:line="240" w:lineRule="auto"/>
        <w:ind w:left="567" w:firstLine="0"/>
        <w:contextualSpacing w:val="0"/>
        <w:rPr>
          <w:rFonts w:cs="Arial"/>
          <w:sz w:val="24"/>
          <w:szCs w:val="24"/>
        </w:rPr>
      </w:pPr>
      <w:r w:rsidRPr="00421589">
        <w:rPr>
          <w:rFonts w:cs="Arial"/>
          <w:sz w:val="24"/>
          <w:szCs w:val="24"/>
        </w:rPr>
        <w:lastRenderedPageBreak/>
        <w:t xml:space="preserve">The Trust oversight responsibilities are </w:t>
      </w:r>
      <w:r>
        <w:rPr>
          <w:rFonts w:cs="Arial"/>
          <w:sz w:val="24"/>
          <w:szCs w:val="24"/>
        </w:rPr>
        <w:t xml:space="preserve">outlined within the </w:t>
      </w:r>
      <w:hyperlink r:id="rId16" w:history="1">
        <w:r w:rsidRPr="00421589">
          <w:rPr>
            <w:rStyle w:val="Hyperlink"/>
            <w:rFonts w:cs="Arial"/>
            <w:sz w:val="24"/>
            <w:szCs w:val="24"/>
          </w:rPr>
          <w:t>Oversight roles and responsibilities specification</w:t>
        </w:r>
      </w:hyperlink>
      <w:r>
        <w:rPr>
          <w:rFonts w:cs="Arial"/>
          <w:sz w:val="24"/>
          <w:szCs w:val="24"/>
        </w:rPr>
        <w:t xml:space="preserve"> (NHS England, 2022).  These are </w:t>
      </w:r>
      <w:r w:rsidRPr="00421589">
        <w:rPr>
          <w:rFonts w:cs="Arial"/>
          <w:sz w:val="24"/>
          <w:szCs w:val="24"/>
        </w:rPr>
        <w:t>to:</w:t>
      </w:r>
    </w:p>
    <w:p w14:paraId="4558637F" w14:textId="79DDB5F4" w:rsidR="00421589" w:rsidRPr="00421589" w:rsidRDefault="00421589" w:rsidP="00001AFB">
      <w:pPr>
        <w:pStyle w:val="ListParagraph"/>
        <w:numPr>
          <w:ilvl w:val="0"/>
          <w:numId w:val="21"/>
        </w:numPr>
        <w:spacing w:after="120" w:line="240" w:lineRule="auto"/>
        <w:rPr>
          <w:rFonts w:cs="Arial"/>
          <w:sz w:val="24"/>
          <w:szCs w:val="24"/>
        </w:rPr>
      </w:pPr>
      <w:r w:rsidRPr="00421589">
        <w:rPr>
          <w:rFonts w:cs="Arial"/>
          <w:sz w:val="24"/>
          <w:szCs w:val="24"/>
        </w:rPr>
        <w:t>Ensure the Trust meets national patient safety incident response standards</w:t>
      </w:r>
      <w:r>
        <w:rPr>
          <w:rFonts w:cs="Arial"/>
          <w:sz w:val="24"/>
          <w:szCs w:val="24"/>
        </w:rPr>
        <w:t xml:space="preserve"> through the development and embedding of the Trust PSIRF policy and plan.</w:t>
      </w:r>
    </w:p>
    <w:p w14:paraId="256671C3" w14:textId="664739ED" w:rsidR="00421589" w:rsidRPr="00421589" w:rsidRDefault="00421589" w:rsidP="00001AFB">
      <w:pPr>
        <w:pStyle w:val="ListParagraph"/>
        <w:numPr>
          <w:ilvl w:val="0"/>
          <w:numId w:val="21"/>
        </w:numPr>
        <w:spacing w:after="120" w:line="240" w:lineRule="auto"/>
        <w:rPr>
          <w:rFonts w:cs="Arial"/>
          <w:sz w:val="24"/>
          <w:szCs w:val="24"/>
        </w:rPr>
      </w:pPr>
      <w:r w:rsidRPr="00421589">
        <w:rPr>
          <w:rFonts w:cs="Arial"/>
          <w:sz w:val="24"/>
          <w:szCs w:val="24"/>
        </w:rPr>
        <w:t>Ensure PSIRF is central to overarching safety governance arrangements</w:t>
      </w:r>
      <w:r w:rsidR="002810A6">
        <w:rPr>
          <w:rFonts w:cs="Arial"/>
          <w:sz w:val="24"/>
          <w:szCs w:val="24"/>
        </w:rPr>
        <w:t>.</w:t>
      </w:r>
    </w:p>
    <w:p w14:paraId="2766AD0A" w14:textId="2BD2D5E5" w:rsidR="00421589" w:rsidRDefault="00421589" w:rsidP="00001AFB">
      <w:pPr>
        <w:pStyle w:val="ListParagraph"/>
        <w:numPr>
          <w:ilvl w:val="0"/>
          <w:numId w:val="21"/>
        </w:numPr>
        <w:spacing w:after="120" w:line="240" w:lineRule="auto"/>
        <w:ind w:left="924" w:hanging="357"/>
        <w:contextualSpacing w:val="0"/>
        <w:rPr>
          <w:rFonts w:cs="Arial"/>
          <w:sz w:val="24"/>
          <w:szCs w:val="24"/>
        </w:rPr>
      </w:pPr>
      <w:r w:rsidRPr="00421589">
        <w:rPr>
          <w:rFonts w:cs="Arial"/>
          <w:sz w:val="24"/>
          <w:szCs w:val="24"/>
        </w:rPr>
        <w:t>Quality assure learning response outputs.</w:t>
      </w:r>
    </w:p>
    <w:p w14:paraId="526476FA" w14:textId="4565F0C5" w:rsidR="00375D2F" w:rsidRDefault="00375D2F" w:rsidP="00375D2F">
      <w:pPr>
        <w:pStyle w:val="ListParagraph"/>
        <w:numPr>
          <w:ilvl w:val="1"/>
          <w:numId w:val="20"/>
        </w:numPr>
        <w:spacing w:after="120" w:line="240" w:lineRule="auto"/>
        <w:contextualSpacing w:val="0"/>
        <w:rPr>
          <w:rFonts w:cs="Arial"/>
          <w:b/>
          <w:sz w:val="24"/>
          <w:szCs w:val="24"/>
        </w:rPr>
      </w:pPr>
      <w:r w:rsidRPr="00375D2F">
        <w:rPr>
          <w:rFonts w:cs="Arial"/>
          <w:b/>
          <w:sz w:val="24"/>
          <w:szCs w:val="24"/>
        </w:rPr>
        <w:t>Sharing learning</w:t>
      </w:r>
    </w:p>
    <w:p w14:paraId="72D27DA5" w14:textId="284F9A38" w:rsidR="00375D2F" w:rsidRPr="00375D2F" w:rsidRDefault="00375D2F" w:rsidP="00375D2F">
      <w:pPr>
        <w:pStyle w:val="ListParagraph"/>
        <w:numPr>
          <w:ilvl w:val="2"/>
          <w:numId w:val="20"/>
        </w:numPr>
        <w:spacing w:after="120" w:line="240" w:lineRule="auto"/>
        <w:ind w:left="567" w:firstLine="0"/>
        <w:contextualSpacing w:val="0"/>
        <w:rPr>
          <w:rFonts w:cs="Arial"/>
          <w:sz w:val="24"/>
          <w:szCs w:val="24"/>
        </w:rPr>
      </w:pPr>
      <w:r w:rsidRPr="00375D2F">
        <w:rPr>
          <w:rFonts w:cs="Arial"/>
          <w:sz w:val="24"/>
          <w:szCs w:val="24"/>
        </w:rPr>
        <w:t>During 2025/26 the mechanisms to share learning will</w:t>
      </w:r>
      <w:r w:rsidR="00180E5C">
        <w:rPr>
          <w:rFonts w:cs="Arial"/>
          <w:sz w:val="24"/>
          <w:szCs w:val="24"/>
        </w:rPr>
        <w:t xml:space="preserve"> continue to</w:t>
      </w:r>
      <w:r w:rsidRPr="00375D2F">
        <w:rPr>
          <w:rFonts w:cs="Arial"/>
          <w:sz w:val="24"/>
          <w:szCs w:val="24"/>
        </w:rPr>
        <w:t xml:space="preserve"> be strengthened within the Trust.</w:t>
      </w:r>
    </w:p>
    <w:p w14:paraId="7AF10E13" w14:textId="4FFFFB24" w:rsidR="00375D2F" w:rsidRPr="00375D2F" w:rsidRDefault="00375D2F" w:rsidP="00375D2F">
      <w:pPr>
        <w:pStyle w:val="ListParagraph"/>
        <w:numPr>
          <w:ilvl w:val="2"/>
          <w:numId w:val="20"/>
        </w:numPr>
        <w:spacing w:after="120" w:line="240" w:lineRule="auto"/>
        <w:ind w:left="567" w:firstLine="0"/>
        <w:contextualSpacing w:val="0"/>
        <w:rPr>
          <w:rFonts w:cs="Arial"/>
          <w:sz w:val="24"/>
          <w:szCs w:val="24"/>
        </w:rPr>
      </w:pPr>
      <w:r w:rsidRPr="00375D2F">
        <w:rPr>
          <w:rFonts w:cs="Arial"/>
          <w:sz w:val="24"/>
          <w:szCs w:val="24"/>
        </w:rPr>
        <w:t>Safety Pins are short messages, including learning, which are shared weekly via Trust News (circulated to all staff).</w:t>
      </w:r>
    </w:p>
    <w:p w14:paraId="677E05F8" w14:textId="0760AA35" w:rsidR="00375D2F" w:rsidRDefault="00375D2F" w:rsidP="00375D2F">
      <w:pPr>
        <w:pStyle w:val="ListParagraph"/>
        <w:numPr>
          <w:ilvl w:val="2"/>
          <w:numId w:val="20"/>
        </w:numPr>
        <w:spacing w:after="120" w:line="240" w:lineRule="auto"/>
        <w:ind w:left="567" w:firstLine="0"/>
        <w:contextualSpacing w:val="0"/>
        <w:rPr>
          <w:rFonts w:cs="Arial"/>
          <w:sz w:val="24"/>
          <w:szCs w:val="24"/>
        </w:rPr>
      </w:pPr>
      <w:r w:rsidRPr="00375D2F">
        <w:rPr>
          <w:rFonts w:cs="Arial"/>
          <w:sz w:val="24"/>
          <w:szCs w:val="24"/>
        </w:rPr>
        <w:t xml:space="preserve">The template for sharing learning </w:t>
      </w:r>
      <w:r w:rsidR="00180E5C">
        <w:rPr>
          <w:rFonts w:cs="Arial"/>
          <w:sz w:val="24"/>
          <w:szCs w:val="24"/>
        </w:rPr>
        <w:t>following safety events</w:t>
      </w:r>
      <w:r w:rsidR="007E357A">
        <w:rPr>
          <w:rFonts w:cs="Arial"/>
          <w:sz w:val="24"/>
          <w:szCs w:val="24"/>
        </w:rPr>
        <w:t xml:space="preserve"> </w:t>
      </w:r>
      <w:r w:rsidRPr="00375D2F">
        <w:rPr>
          <w:rFonts w:cs="Arial"/>
          <w:sz w:val="24"/>
          <w:szCs w:val="24"/>
        </w:rPr>
        <w:t>has been updated and is used for patient safety events, complaint learning and learning from deaths.  These are circulated by email, shared at governance meetings and Mortality and Morbidity meetings and displayed on screens within Medical Education.</w:t>
      </w:r>
    </w:p>
    <w:p w14:paraId="388894C5" w14:textId="7EB895E5" w:rsidR="00375D2F" w:rsidRPr="00375D2F" w:rsidRDefault="00B35401" w:rsidP="00375D2F">
      <w:pPr>
        <w:pStyle w:val="ListParagraph"/>
        <w:numPr>
          <w:ilvl w:val="2"/>
          <w:numId w:val="20"/>
        </w:numPr>
        <w:spacing w:after="120" w:line="240" w:lineRule="auto"/>
        <w:ind w:left="567" w:firstLine="0"/>
        <w:contextualSpacing w:val="0"/>
        <w:rPr>
          <w:rFonts w:cs="Arial"/>
          <w:sz w:val="24"/>
          <w:szCs w:val="24"/>
        </w:rPr>
      </w:pPr>
      <w:r>
        <w:rPr>
          <w:rFonts w:cs="Arial"/>
          <w:sz w:val="24"/>
          <w:szCs w:val="24"/>
        </w:rPr>
        <w:t>A maturity matrix for Mortality and Morbidity meetings has been developed and implementation will support improved learning and sharing of learning</w:t>
      </w:r>
      <w:r w:rsidR="00180E5C">
        <w:rPr>
          <w:rFonts w:cs="Arial"/>
          <w:sz w:val="24"/>
          <w:szCs w:val="24"/>
        </w:rPr>
        <w:t xml:space="preserve"> within the multidisciplinary team</w:t>
      </w:r>
      <w:r>
        <w:rPr>
          <w:rFonts w:cs="Arial"/>
          <w:sz w:val="24"/>
          <w:szCs w:val="24"/>
        </w:rPr>
        <w:t>.</w:t>
      </w:r>
    </w:p>
    <w:p w14:paraId="32631405" w14:textId="652CF9B3" w:rsidR="00375D2F" w:rsidRDefault="00375D2F" w:rsidP="00375D2F">
      <w:pPr>
        <w:pStyle w:val="ListParagraph"/>
        <w:numPr>
          <w:ilvl w:val="2"/>
          <w:numId w:val="20"/>
        </w:numPr>
        <w:spacing w:after="120" w:line="240" w:lineRule="auto"/>
        <w:ind w:left="567" w:firstLine="0"/>
        <w:contextualSpacing w:val="0"/>
        <w:rPr>
          <w:rFonts w:cs="Arial"/>
          <w:sz w:val="24"/>
          <w:szCs w:val="24"/>
        </w:rPr>
      </w:pPr>
      <w:r w:rsidRPr="00375D2F">
        <w:rPr>
          <w:rFonts w:cs="Arial"/>
          <w:sz w:val="24"/>
          <w:szCs w:val="24"/>
        </w:rPr>
        <w:t xml:space="preserve">Patient Safety Focus is a new monthly newsletter which </w:t>
      </w:r>
      <w:r w:rsidR="00180E5C">
        <w:rPr>
          <w:rFonts w:cs="Arial"/>
          <w:sz w:val="24"/>
          <w:szCs w:val="24"/>
        </w:rPr>
        <w:t>shares</w:t>
      </w:r>
      <w:r w:rsidRPr="00375D2F">
        <w:rPr>
          <w:rFonts w:cs="Arial"/>
          <w:sz w:val="24"/>
          <w:szCs w:val="24"/>
        </w:rPr>
        <w:t xml:space="preserve"> information and learning in relation to patient safety.</w:t>
      </w:r>
    </w:p>
    <w:p w14:paraId="2037797A" w14:textId="6E6EBD07" w:rsidR="00375D2F" w:rsidRDefault="00820DB2" w:rsidP="00375D2F">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Patient </w:t>
      </w:r>
      <w:r w:rsidR="00375D2F">
        <w:rPr>
          <w:rFonts w:cs="Arial"/>
          <w:sz w:val="24"/>
          <w:szCs w:val="24"/>
        </w:rPr>
        <w:t>Safety Alerts for issues of immediate concern and/or action were implemented in 2025.  These are cascaded via the Trust Communications team and via care group email cascade.</w:t>
      </w:r>
    </w:p>
    <w:p w14:paraId="795A4797" w14:textId="2956A56A" w:rsidR="00375D2F" w:rsidRDefault="00375D2F" w:rsidP="00375D2F">
      <w:pPr>
        <w:pStyle w:val="ListParagraph"/>
        <w:numPr>
          <w:ilvl w:val="2"/>
          <w:numId w:val="20"/>
        </w:numPr>
        <w:spacing w:after="120" w:line="240" w:lineRule="auto"/>
        <w:ind w:left="567" w:firstLine="0"/>
        <w:contextualSpacing w:val="0"/>
        <w:rPr>
          <w:rFonts w:cs="Arial"/>
          <w:sz w:val="24"/>
          <w:szCs w:val="24"/>
        </w:rPr>
      </w:pPr>
      <w:r>
        <w:rPr>
          <w:rFonts w:cs="Arial"/>
          <w:sz w:val="24"/>
          <w:szCs w:val="24"/>
        </w:rPr>
        <w:t xml:space="preserve">Maternity has introduced Safety Summits and work </w:t>
      </w:r>
      <w:r w:rsidR="00B35401">
        <w:rPr>
          <w:rFonts w:cs="Arial"/>
          <w:sz w:val="24"/>
          <w:szCs w:val="24"/>
        </w:rPr>
        <w:t xml:space="preserve">is planned to introduce these </w:t>
      </w:r>
      <w:r>
        <w:rPr>
          <w:rFonts w:cs="Arial"/>
          <w:sz w:val="24"/>
          <w:szCs w:val="24"/>
        </w:rPr>
        <w:t>Trust wide</w:t>
      </w:r>
      <w:r w:rsidR="00180E5C">
        <w:rPr>
          <w:rFonts w:cs="Arial"/>
          <w:sz w:val="24"/>
          <w:szCs w:val="24"/>
        </w:rPr>
        <w:t xml:space="preserve"> for other specialities</w:t>
      </w:r>
      <w:r w:rsidR="007556CD">
        <w:rPr>
          <w:rFonts w:cs="Arial"/>
          <w:sz w:val="24"/>
          <w:szCs w:val="24"/>
        </w:rPr>
        <w:t>.</w:t>
      </w:r>
      <w:r>
        <w:rPr>
          <w:rFonts w:cs="Arial"/>
          <w:sz w:val="24"/>
          <w:szCs w:val="24"/>
        </w:rPr>
        <w:t xml:space="preserve">  Th</w:t>
      </w:r>
      <w:r w:rsidR="007556CD">
        <w:rPr>
          <w:rFonts w:cs="Arial"/>
          <w:sz w:val="24"/>
          <w:szCs w:val="24"/>
        </w:rPr>
        <w:t>is</w:t>
      </w:r>
      <w:r>
        <w:rPr>
          <w:rFonts w:cs="Arial"/>
          <w:sz w:val="24"/>
          <w:szCs w:val="24"/>
        </w:rPr>
        <w:t xml:space="preserve"> </w:t>
      </w:r>
      <w:r w:rsidR="00B35401">
        <w:rPr>
          <w:rFonts w:cs="Arial"/>
          <w:sz w:val="24"/>
          <w:szCs w:val="24"/>
        </w:rPr>
        <w:t xml:space="preserve">will be a </w:t>
      </w:r>
      <w:r>
        <w:rPr>
          <w:rFonts w:cs="Arial"/>
          <w:sz w:val="24"/>
          <w:szCs w:val="24"/>
        </w:rPr>
        <w:t>forum to share learning and discuss patient safety</w:t>
      </w:r>
      <w:r w:rsidR="00B35401">
        <w:rPr>
          <w:rFonts w:cs="Arial"/>
          <w:sz w:val="24"/>
          <w:szCs w:val="24"/>
        </w:rPr>
        <w:t xml:space="preserve"> issues</w:t>
      </w:r>
      <w:r>
        <w:rPr>
          <w:rFonts w:cs="Arial"/>
          <w:sz w:val="24"/>
          <w:szCs w:val="24"/>
        </w:rPr>
        <w:t xml:space="preserve"> with </w:t>
      </w:r>
      <w:r w:rsidR="00B35401">
        <w:rPr>
          <w:rFonts w:cs="Arial"/>
          <w:sz w:val="24"/>
          <w:szCs w:val="24"/>
        </w:rPr>
        <w:t xml:space="preserve">the </w:t>
      </w:r>
      <w:r>
        <w:rPr>
          <w:rFonts w:cs="Arial"/>
          <w:sz w:val="24"/>
          <w:szCs w:val="24"/>
        </w:rPr>
        <w:t>clinical executives.</w:t>
      </w:r>
    </w:p>
    <w:p w14:paraId="2811AC62" w14:textId="404A48E8" w:rsidR="00375D2F" w:rsidRDefault="00375D2F" w:rsidP="00377581">
      <w:pPr>
        <w:pStyle w:val="ListParagraph"/>
        <w:numPr>
          <w:ilvl w:val="2"/>
          <w:numId w:val="20"/>
        </w:numPr>
        <w:spacing w:after="240" w:line="240" w:lineRule="auto"/>
        <w:ind w:left="567" w:firstLine="0"/>
        <w:contextualSpacing w:val="0"/>
        <w:rPr>
          <w:rFonts w:cs="Arial"/>
          <w:sz w:val="24"/>
          <w:szCs w:val="24"/>
        </w:rPr>
      </w:pPr>
      <w:r>
        <w:rPr>
          <w:rFonts w:cs="Arial"/>
          <w:sz w:val="24"/>
          <w:szCs w:val="24"/>
        </w:rPr>
        <w:t xml:space="preserve">The Trust Patient Safety Network (MS Teams) </w:t>
      </w:r>
      <w:r w:rsidR="00B35401">
        <w:rPr>
          <w:rFonts w:cs="Arial"/>
          <w:sz w:val="24"/>
          <w:szCs w:val="24"/>
        </w:rPr>
        <w:t xml:space="preserve">has been set up and membership is slowing increasing.  This network shares </w:t>
      </w:r>
      <w:r>
        <w:rPr>
          <w:rFonts w:cs="Arial"/>
          <w:sz w:val="24"/>
          <w:szCs w:val="24"/>
        </w:rPr>
        <w:t>information and learning in relation to patient safety.</w:t>
      </w:r>
    </w:p>
    <w:p w14:paraId="52BB3591" w14:textId="3D03AB88" w:rsidR="002810A6" w:rsidRPr="00001AFB" w:rsidRDefault="002810A6" w:rsidP="00001AFB">
      <w:pPr>
        <w:pStyle w:val="Heading1"/>
        <w:spacing w:line="240" w:lineRule="auto"/>
        <w:rPr>
          <w:rFonts w:cs="Arial"/>
        </w:rPr>
      </w:pPr>
      <w:bookmarkStart w:id="12" w:name="_Toc205755279"/>
      <w:r w:rsidRPr="00001AFB">
        <w:rPr>
          <w:rFonts w:cs="Arial"/>
        </w:rPr>
        <w:t>Governance arrangements</w:t>
      </w:r>
      <w:bookmarkEnd w:id="12"/>
    </w:p>
    <w:p w14:paraId="4A3AADB4" w14:textId="7C148E53" w:rsidR="00037756" w:rsidRDefault="002810A6" w:rsidP="00001AFB">
      <w:pPr>
        <w:pStyle w:val="ListParagraph"/>
        <w:numPr>
          <w:ilvl w:val="1"/>
          <w:numId w:val="20"/>
        </w:numPr>
        <w:spacing w:after="120" w:line="240" w:lineRule="auto"/>
        <w:contextualSpacing w:val="0"/>
        <w:rPr>
          <w:rFonts w:cs="Arial"/>
          <w:sz w:val="24"/>
          <w:szCs w:val="24"/>
        </w:rPr>
      </w:pPr>
      <w:r w:rsidRPr="00F57973">
        <w:rPr>
          <w:rFonts w:cs="Arial"/>
          <w:sz w:val="24"/>
          <w:szCs w:val="24"/>
        </w:rPr>
        <w:t xml:space="preserve">Patient safety incidents </w:t>
      </w:r>
      <w:r>
        <w:rPr>
          <w:rFonts w:cs="Arial"/>
          <w:sz w:val="24"/>
          <w:szCs w:val="24"/>
        </w:rPr>
        <w:t>are</w:t>
      </w:r>
      <w:r w:rsidRPr="00F57973">
        <w:rPr>
          <w:rFonts w:cs="Arial"/>
          <w:sz w:val="24"/>
          <w:szCs w:val="24"/>
        </w:rPr>
        <w:t xml:space="preserve"> reviewed against the national and local </w:t>
      </w:r>
      <w:r w:rsidRPr="00001AFB">
        <w:rPr>
          <w:rFonts w:cs="Arial"/>
          <w:sz w:val="24"/>
          <w:szCs w:val="24"/>
        </w:rPr>
        <w:t xml:space="preserve">requirements </w:t>
      </w:r>
      <w:r w:rsidR="00820DB2">
        <w:rPr>
          <w:rFonts w:cs="Arial"/>
          <w:sz w:val="24"/>
          <w:szCs w:val="24"/>
        </w:rPr>
        <w:t>(</w:t>
      </w:r>
      <w:r w:rsidRPr="00001AFB">
        <w:rPr>
          <w:rFonts w:cs="Arial"/>
          <w:sz w:val="24"/>
          <w:szCs w:val="24"/>
        </w:rPr>
        <w:t>Tables 4, 5 and 6)  Clinical, specialist, patient safety and governance staff review patient safety incidents on a daily basis, escalating any incidents</w:t>
      </w:r>
      <w:r>
        <w:rPr>
          <w:rFonts w:cs="Arial"/>
          <w:sz w:val="24"/>
          <w:szCs w:val="24"/>
        </w:rPr>
        <w:t xml:space="preserve"> of concern or interest to our PSIRF review governance processes.  The flowchart in Appendix 1 summarises how reviews are undertaken and actioned.  </w:t>
      </w:r>
    </w:p>
    <w:p w14:paraId="7000A080" w14:textId="76D8C8BC" w:rsidR="002810A6" w:rsidRDefault="00037756" w:rsidP="00001AFB">
      <w:pPr>
        <w:pStyle w:val="ListParagraph"/>
        <w:numPr>
          <w:ilvl w:val="1"/>
          <w:numId w:val="20"/>
        </w:numPr>
        <w:spacing w:after="120" w:line="240" w:lineRule="auto"/>
        <w:contextualSpacing w:val="0"/>
        <w:rPr>
          <w:rFonts w:cs="Arial"/>
          <w:sz w:val="24"/>
          <w:szCs w:val="24"/>
        </w:rPr>
      </w:pPr>
      <w:r w:rsidRPr="00037756">
        <w:rPr>
          <w:rFonts w:cs="Arial"/>
          <w:sz w:val="24"/>
          <w:szCs w:val="24"/>
        </w:rPr>
        <w:t>Patient safety insight, involvement and insigh</w:t>
      </w:r>
      <w:r>
        <w:rPr>
          <w:rFonts w:cs="Arial"/>
          <w:sz w:val="24"/>
          <w:szCs w:val="24"/>
        </w:rPr>
        <w:t>t data and patient safety training data</w:t>
      </w:r>
      <w:r w:rsidRPr="00037756">
        <w:rPr>
          <w:rFonts w:cs="Arial"/>
          <w:sz w:val="24"/>
          <w:szCs w:val="24"/>
        </w:rPr>
        <w:t xml:space="preserve"> is reviewed via the Operational Quality Governance Committee</w:t>
      </w:r>
      <w:r>
        <w:rPr>
          <w:rFonts w:cs="Arial"/>
          <w:sz w:val="24"/>
          <w:szCs w:val="24"/>
        </w:rPr>
        <w:t>,</w:t>
      </w:r>
      <w:r w:rsidRPr="00037756">
        <w:rPr>
          <w:rFonts w:cs="Arial"/>
          <w:sz w:val="24"/>
          <w:szCs w:val="24"/>
        </w:rPr>
        <w:t xml:space="preserve"> and subgroups</w:t>
      </w:r>
      <w:r>
        <w:rPr>
          <w:rFonts w:cs="Arial"/>
          <w:sz w:val="24"/>
          <w:szCs w:val="24"/>
        </w:rPr>
        <w:t>,</w:t>
      </w:r>
      <w:r w:rsidRPr="00037756">
        <w:rPr>
          <w:rFonts w:cs="Arial"/>
          <w:sz w:val="24"/>
          <w:szCs w:val="24"/>
        </w:rPr>
        <w:t xml:space="preserve"> to the Quality and Safety Committee.</w:t>
      </w:r>
      <w:r>
        <w:rPr>
          <w:rFonts w:cs="Arial"/>
          <w:sz w:val="24"/>
          <w:szCs w:val="24"/>
        </w:rPr>
        <w:t xml:space="preserve">  </w:t>
      </w:r>
      <w:r w:rsidR="002810A6" w:rsidRPr="00037756">
        <w:rPr>
          <w:rFonts w:cs="Arial"/>
          <w:sz w:val="24"/>
          <w:szCs w:val="24"/>
        </w:rPr>
        <w:t>The governance structure is illustrated in Appendix 2.</w:t>
      </w:r>
    </w:p>
    <w:p w14:paraId="7599C25D" w14:textId="5D600383" w:rsidR="00CC2CC3" w:rsidRDefault="00CC2CC3" w:rsidP="00001AFB">
      <w:pPr>
        <w:pStyle w:val="ListParagraph"/>
        <w:numPr>
          <w:ilvl w:val="1"/>
          <w:numId w:val="20"/>
        </w:numPr>
        <w:spacing w:after="120" w:line="240" w:lineRule="auto"/>
        <w:contextualSpacing w:val="0"/>
        <w:rPr>
          <w:rFonts w:cs="Arial"/>
          <w:sz w:val="24"/>
          <w:szCs w:val="24"/>
        </w:rPr>
      </w:pPr>
      <w:r>
        <w:rPr>
          <w:rFonts w:cs="Arial"/>
          <w:sz w:val="24"/>
          <w:szCs w:val="24"/>
        </w:rPr>
        <w:lastRenderedPageBreak/>
        <w:t>During 2025, it is proposed that care group governance reports are aligned to PSIRF to provide assurance in relation to the Trust Themes and Trust wide (continuous) improvement workstreams.</w:t>
      </w:r>
    </w:p>
    <w:p w14:paraId="7F564EA8" w14:textId="451B32C1" w:rsidR="002810A6" w:rsidRDefault="002810A6" w:rsidP="00001AFB">
      <w:pPr>
        <w:pStyle w:val="ListParagraph"/>
        <w:numPr>
          <w:ilvl w:val="1"/>
          <w:numId w:val="20"/>
        </w:numPr>
        <w:spacing w:after="120" w:line="240" w:lineRule="auto"/>
        <w:contextualSpacing w:val="0"/>
        <w:rPr>
          <w:rFonts w:cs="Arial"/>
          <w:sz w:val="24"/>
          <w:szCs w:val="24"/>
        </w:rPr>
      </w:pPr>
      <w:r w:rsidRPr="00D821AD">
        <w:rPr>
          <w:rFonts w:cs="Arial"/>
          <w:b/>
          <w:sz w:val="24"/>
          <w:szCs w:val="24"/>
        </w:rPr>
        <w:t>Pre-incident review panel (</w:t>
      </w:r>
      <w:r w:rsidR="00037756">
        <w:rPr>
          <w:rFonts w:cs="Arial"/>
          <w:b/>
          <w:sz w:val="24"/>
          <w:szCs w:val="24"/>
        </w:rPr>
        <w:t>P</w:t>
      </w:r>
      <w:r w:rsidRPr="00D821AD">
        <w:rPr>
          <w:rFonts w:cs="Arial"/>
          <w:b/>
          <w:sz w:val="24"/>
          <w:szCs w:val="24"/>
        </w:rPr>
        <w:t>re-IRP), Fundamentals of Care Incident Panel</w:t>
      </w:r>
      <w:r w:rsidR="00037756">
        <w:rPr>
          <w:rFonts w:cs="Arial"/>
          <w:b/>
          <w:sz w:val="24"/>
          <w:szCs w:val="24"/>
        </w:rPr>
        <w:t xml:space="preserve"> (FoCIP)</w:t>
      </w:r>
      <w:r w:rsidRPr="00D821AD">
        <w:rPr>
          <w:rFonts w:cs="Arial"/>
          <w:b/>
          <w:sz w:val="24"/>
          <w:szCs w:val="24"/>
        </w:rPr>
        <w:t>, Maternity and Neonatal Rapid Review</w:t>
      </w:r>
      <w:r w:rsidR="00037756">
        <w:rPr>
          <w:rFonts w:cs="Arial"/>
          <w:b/>
          <w:sz w:val="24"/>
          <w:szCs w:val="24"/>
        </w:rPr>
        <w:t xml:space="preserve"> (MatNeoRR)</w:t>
      </w:r>
      <w:r>
        <w:rPr>
          <w:rFonts w:cs="Arial"/>
          <w:sz w:val="24"/>
          <w:szCs w:val="24"/>
        </w:rPr>
        <w:t xml:space="preserve"> – these groups review</w:t>
      </w:r>
      <w:r w:rsidR="00D821AD">
        <w:rPr>
          <w:rFonts w:cs="Arial"/>
          <w:sz w:val="24"/>
          <w:szCs w:val="24"/>
        </w:rPr>
        <w:t xml:space="preserve"> </w:t>
      </w:r>
      <w:r>
        <w:rPr>
          <w:rFonts w:cs="Arial"/>
          <w:sz w:val="24"/>
          <w:szCs w:val="24"/>
        </w:rPr>
        <w:t xml:space="preserve">incidents of concern or interest and determine the appropriate response against the PSIR Plan.  These </w:t>
      </w:r>
      <w:r w:rsidR="00D821AD">
        <w:rPr>
          <w:rFonts w:cs="Arial"/>
          <w:sz w:val="24"/>
          <w:szCs w:val="24"/>
        </w:rPr>
        <w:t xml:space="preserve">determinations from these </w:t>
      </w:r>
      <w:r>
        <w:rPr>
          <w:rFonts w:cs="Arial"/>
          <w:sz w:val="24"/>
          <w:szCs w:val="24"/>
        </w:rPr>
        <w:t>groups feed into the Incident R</w:t>
      </w:r>
      <w:r w:rsidR="00337A99">
        <w:rPr>
          <w:rFonts w:cs="Arial"/>
          <w:sz w:val="24"/>
          <w:szCs w:val="24"/>
        </w:rPr>
        <w:t>eview</w:t>
      </w:r>
      <w:r>
        <w:rPr>
          <w:rFonts w:cs="Arial"/>
          <w:sz w:val="24"/>
          <w:szCs w:val="24"/>
        </w:rPr>
        <w:t xml:space="preserve"> Panel (IRP)</w:t>
      </w:r>
      <w:r w:rsidR="00D25282">
        <w:rPr>
          <w:rFonts w:cs="Arial"/>
          <w:sz w:val="24"/>
          <w:szCs w:val="24"/>
        </w:rPr>
        <w:t>.</w:t>
      </w:r>
      <w:r w:rsidR="00D821AD">
        <w:rPr>
          <w:rFonts w:cs="Arial"/>
          <w:sz w:val="24"/>
          <w:szCs w:val="24"/>
        </w:rPr>
        <w:t xml:space="preserve">  Note, where it is obvious the national requirements are met, these cases bypass these groups and are presented directly to the IRP.  </w:t>
      </w:r>
    </w:p>
    <w:p w14:paraId="208ED2FE" w14:textId="01231A4F" w:rsidR="00D25282" w:rsidRDefault="00D25282" w:rsidP="00001AFB">
      <w:pPr>
        <w:pStyle w:val="ListParagraph"/>
        <w:numPr>
          <w:ilvl w:val="1"/>
          <w:numId w:val="20"/>
        </w:numPr>
        <w:spacing w:after="120" w:line="240" w:lineRule="auto"/>
        <w:contextualSpacing w:val="0"/>
        <w:rPr>
          <w:rFonts w:cs="Arial"/>
          <w:sz w:val="24"/>
          <w:szCs w:val="24"/>
        </w:rPr>
      </w:pPr>
      <w:r>
        <w:rPr>
          <w:rFonts w:cs="Arial"/>
          <w:sz w:val="24"/>
          <w:szCs w:val="24"/>
        </w:rPr>
        <w:t>Learning responses initiated from these groups will have oversight approval by a member of the responsible Care Group Triumvirate</w:t>
      </w:r>
      <w:r w:rsidR="00180E5C">
        <w:rPr>
          <w:rFonts w:cs="Arial"/>
          <w:sz w:val="24"/>
          <w:szCs w:val="24"/>
        </w:rPr>
        <w:t>.</w:t>
      </w:r>
    </w:p>
    <w:p w14:paraId="2DEA3A60" w14:textId="1F8C62D8" w:rsidR="00180E5C" w:rsidRDefault="002810A6" w:rsidP="00DB3036">
      <w:pPr>
        <w:pStyle w:val="ListParagraph"/>
        <w:numPr>
          <w:ilvl w:val="1"/>
          <w:numId w:val="20"/>
        </w:numPr>
        <w:spacing w:after="120" w:line="240" w:lineRule="auto"/>
        <w:contextualSpacing w:val="0"/>
        <w:rPr>
          <w:rFonts w:cs="Arial"/>
          <w:sz w:val="24"/>
          <w:szCs w:val="24"/>
        </w:rPr>
      </w:pPr>
      <w:r w:rsidRPr="00D821AD">
        <w:rPr>
          <w:rFonts w:cs="Arial"/>
          <w:b/>
          <w:sz w:val="24"/>
          <w:szCs w:val="24"/>
        </w:rPr>
        <w:t xml:space="preserve">Incident </w:t>
      </w:r>
      <w:r w:rsidR="00337A99">
        <w:rPr>
          <w:rFonts w:cs="Arial"/>
          <w:b/>
          <w:sz w:val="24"/>
          <w:szCs w:val="24"/>
        </w:rPr>
        <w:t>Review</w:t>
      </w:r>
      <w:r w:rsidRPr="00D821AD">
        <w:rPr>
          <w:rFonts w:cs="Arial"/>
          <w:b/>
          <w:sz w:val="24"/>
          <w:szCs w:val="24"/>
        </w:rPr>
        <w:t xml:space="preserve"> Panel</w:t>
      </w:r>
      <w:r>
        <w:rPr>
          <w:rFonts w:cs="Arial"/>
          <w:sz w:val="24"/>
          <w:szCs w:val="24"/>
        </w:rPr>
        <w:t xml:space="preserve"> – incidents meeting national requirements, potential thematic reviews and incidents which do not align with the PSIR plan </w:t>
      </w:r>
      <w:r w:rsidR="00037756">
        <w:rPr>
          <w:rFonts w:cs="Arial"/>
          <w:sz w:val="24"/>
          <w:szCs w:val="24"/>
        </w:rPr>
        <w:t xml:space="preserve">and </w:t>
      </w:r>
      <w:r>
        <w:rPr>
          <w:rFonts w:cs="Arial"/>
          <w:sz w:val="24"/>
          <w:szCs w:val="24"/>
        </w:rPr>
        <w:t>are potentially very concerning are presented and a decision taken regarding the appropriate learning response.</w:t>
      </w:r>
      <w:r w:rsidR="00D25282">
        <w:rPr>
          <w:rFonts w:cs="Arial"/>
          <w:sz w:val="24"/>
          <w:szCs w:val="24"/>
        </w:rPr>
        <w:t xml:space="preserve">  This includes inquest cases where there are patient safety concerns and potential learning is apparent.</w:t>
      </w:r>
      <w:r w:rsidR="00037756">
        <w:rPr>
          <w:rFonts w:cs="Arial"/>
          <w:sz w:val="24"/>
          <w:szCs w:val="24"/>
        </w:rPr>
        <w:t xml:space="preserve">  This panel receives a log for oversight of the determinations from the Pre-IRP, </w:t>
      </w:r>
      <w:proofErr w:type="spellStart"/>
      <w:r w:rsidR="00037756">
        <w:rPr>
          <w:rFonts w:cs="Arial"/>
          <w:sz w:val="24"/>
          <w:szCs w:val="24"/>
        </w:rPr>
        <w:t>FoCIP</w:t>
      </w:r>
      <w:proofErr w:type="spellEnd"/>
      <w:r w:rsidR="00037756">
        <w:rPr>
          <w:rFonts w:cs="Arial"/>
          <w:sz w:val="24"/>
          <w:szCs w:val="24"/>
        </w:rPr>
        <w:t xml:space="preserve"> and </w:t>
      </w:r>
      <w:proofErr w:type="spellStart"/>
      <w:r w:rsidR="00037756">
        <w:rPr>
          <w:rFonts w:cs="Arial"/>
          <w:sz w:val="24"/>
          <w:szCs w:val="24"/>
        </w:rPr>
        <w:t>MatNeoRR</w:t>
      </w:r>
      <w:proofErr w:type="spellEnd"/>
      <w:r w:rsidR="00037756">
        <w:rPr>
          <w:rFonts w:cs="Arial"/>
          <w:sz w:val="24"/>
          <w:szCs w:val="24"/>
        </w:rPr>
        <w:t>.</w:t>
      </w:r>
      <w:r w:rsidR="00180E5C">
        <w:rPr>
          <w:rFonts w:cs="Arial"/>
          <w:sz w:val="24"/>
          <w:szCs w:val="24"/>
        </w:rPr>
        <w:t xml:space="preserve">  </w:t>
      </w:r>
    </w:p>
    <w:p w14:paraId="02320D4E" w14:textId="17A4F225" w:rsidR="002810A6" w:rsidRDefault="00180E5C" w:rsidP="00DB3036">
      <w:pPr>
        <w:pStyle w:val="ListParagraph"/>
        <w:numPr>
          <w:ilvl w:val="1"/>
          <w:numId w:val="20"/>
        </w:numPr>
        <w:spacing w:after="120" w:line="240" w:lineRule="auto"/>
        <w:contextualSpacing w:val="0"/>
        <w:rPr>
          <w:rFonts w:cs="Arial"/>
          <w:sz w:val="24"/>
          <w:szCs w:val="24"/>
        </w:rPr>
      </w:pPr>
      <w:r>
        <w:rPr>
          <w:rFonts w:cs="Arial"/>
          <w:sz w:val="24"/>
          <w:szCs w:val="24"/>
        </w:rPr>
        <w:t xml:space="preserve">The findings and actions from learning responses initiated from Pre-IRP, </w:t>
      </w:r>
      <w:proofErr w:type="spellStart"/>
      <w:r>
        <w:rPr>
          <w:rFonts w:cs="Arial"/>
          <w:sz w:val="24"/>
          <w:szCs w:val="24"/>
        </w:rPr>
        <w:t>FoCIP</w:t>
      </w:r>
      <w:proofErr w:type="spellEnd"/>
      <w:r>
        <w:rPr>
          <w:rFonts w:cs="Arial"/>
          <w:sz w:val="24"/>
          <w:szCs w:val="24"/>
        </w:rPr>
        <w:t xml:space="preserve"> and </w:t>
      </w:r>
      <w:proofErr w:type="spellStart"/>
      <w:r>
        <w:rPr>
          <w:rFonts w:cs="Arial"/>
          <w:sz w:val="24"/>
          <w:szCs w:val="24"/>
        </w:rPr>
        <w:t>MatNeoRR</w:t>
      </w:r>
      <w:proofErr w:type="spellEnd"/>
      <w:r>
        <w:rPr>
          <w:rFonts w:cs="Arial"/>
          <w:sz w:val="24"/>
          <w:szCs w:val="24"/>
        </w:rPr>
        <w:t xml:space="preserve"> should be presented to Care Group Governance meetings and summarised within reports to the Operational Quality Governance Committee.</w:t>
      </w:r>
    </w:p>
    <w:p w14:paraId="1FB6126E" w14:textId="7753C2D1" w:rsidR="002810A6" w:rsidRDefault="002810A6" w:rsidP="00DB3036">
      <w:pPr>
        <w:pStyle w:val="ListParagraph"/>
        <w:numPr>
          <w:ilvl w:val="1"/>
          <w:numId w:val="20"/>
        </w:numPr>
        <w:spacing w:after="120" w:line="240" w:lineRule="auto"/>
        <w:contextualSpacing w:val="0"/>
        <w:rPr>
          <w:rFonts w:cs="Arial"/>
          <w:sz w:val="24"/>
          <w:szCs w:val="24"/>
        </w:rPr>
      </w:pPr>
      <w:r w:rsidRPr="00D821AD">
        <w:rPr>
          <w:rFonts w:cs="Arial"/>
          <w:b/>
          <w:sz w:val="24"/>
          <w:szCs w:val="24"/>
        </w:rPr>
        <w:t>Learning Response Approval Panel</w:t>
      </w:r>
      <w:r w:rsidR="00D25282" w:rsidRPr="00D821AD">
        <w:rPr>
          <w:rFonts w:cs="Arial"/>
          <w:b/>
          <w:sz w:val="24"/>
          <w:szCs w:val="24"/>
        </w:rPr>
        <w:t xml:space="preserve"> (LRAP)</w:t>
      </w:r>
      <w:r>
        <w:rPr>
          <w:rFonts w:cs="Arial"/>
          <w:sz w:val="24"/>
          <w:szCs w:val="24"/>
        </w:rPr>
        <w:t xml:space="preserve"> – reviews learning responses (PSIIs, Thematic and MDT reviews, some AARs</w:t>
      </w:r>
      <w:r w:rsidR="00D25282">
        <w:rPr>
          <w:rFonts w:cs="Arial"/>
          <w:sz w:val="24"/>
          <w:szCs w:val="24"/>
        </w:rPr>
        <w:t xml:space="preserve">) and resultant safety </w:t>
      </w:r>
      <w:r w:rsidR="00D25282" w:rsidRPr="00DB3036">
        <w:rPr>
          <w:rFonts w:cs="Arial"/>
          <w:sz w:val="24"/>
          <w:szCs w:val="24"/>
        </w:rPr>
        <w:t xml:space="preserve">improvement plans.  The purpose is to ensure that the national standards for responses have been met and to seek assurance regarding the effectiveness of proposed and implemented safety actions.  The Chief Nursing and Midwifery Officer, executive lead for patient safety, supported by the Chief Medical Officer, </w:t>
      </w:r>
      <w:r w:rsidR="00820DB2">
        <w:rPr>
          <w:rFonts w:cs="Arial"/>
          <w:sz w:val="24"/>
          <w:szCs w:val="24"/>
        </w:rPr>
        <w:t>has</w:t>
      </w:r>
      <w:r w:rsidR="00D25282" w:rsidRPr="00DB3036">
        <w:rPr>
          <w:rFonts w:cs="Arial"/>
          <w:sz w:val="24"/>
          <w:szCs w:val="24"/>
        </w:rPr>
        <w:t xml:space="preserve"> oversight of learning responses</w:t>
      </w:r>
      <w:r w:rsidR="00820DB2">
        <w:rPr>
          <w:rFonts w:cs="Arial"/>
          <w:sz w:val="24"/>
          <w:szCs w:val="24"/>
        </w:rPr>
        <w:t xml:space="preserve"> prior to approval v</w:t>
      </w:r>
      <w:r w:rsidR="00D25282" w:rsidRPr="00DB3036">
        <w:rPr>
          <w:rFonts w:cs="Arial"/>
          <w:sz w:val="24"/>
          <w:szCs w:val="24"/>
        </w:rPr>
        <w:t>ia LRAP.</w:t>
      </w:r>
    </w:p>
    <w:p w14:paraId="3F4F8CE9" w14:textId="16CA9EEC" w:rsidR="00180E5C" w:rsidRPr="00DB3036" w:rsidRDefault="00180E5C" w:rsidP="00DB3036">
      <w:pPr>
        <w:pStyle w:val="ListParagraph"/>
        <w:numPr>
          <w:ilvl w:val="1"/>
          <w:numId w:val="20"/>
        </w:numPr>
        <w:spacing w:after="120" w:line="240" w:lineRule="auto"/>
        <w:contextualSpacing w:val="0"/>
        <w:rPr>
          <w:rFonts w:cs="Arial"/>
          <w:sz w:val="24"/>
          <w:szCs w:val="24"/>
        </w:rPr>
      </w:pPr>
      <w:r w:rsidRPr="00180E5C">
        <w:rPr>
          <w:rFonts w:cs="Arial"/>
          <w:sz w:val="24"/>
          <w:szCs w:val="24"/>
        </w:rPr>
        <w:t>The cases from LRAP are included within the Weekly Quality Governance report to the Executives and summarised within the Monthly Quality Governance report presented at Operational Quality Governance Committee, Trust Management Committee and Quality and Safety Committee.</w:t>
      </w:r>
    </w:p>
    <w:p w14:paraId="00CD3D76" w14:textId="4CC09048" w:rsidR="009403CF" w:rsidRPr="00DB3036" w:rsidRDefault="00037756" w:rsidP="00DB3036">
      <w:pPr>
        <w:pStyle w:val="ListParagraph"/>
        <w:numPr>
          <w:ilvl w:val="1"/>
          <w:numId w:val="20"/>
        </w:numPr>
        <w:spacing w:after="120" w:line="240" w:lineRule="auto"/>
        <w:contextualSpacing w:val="0"/>
        <w:rPr>
          <w:rFonts w:cs="Arial"/>
          <w:sz w:val="24"/>
          <w:szCs w:val="24"/>
        </w:rPr>
      </w:pPr>
      <w:r w:rsidRPr="00DB3036">
        <w:rPr>
          <w:rFonts w:cs="Arial"/>
          <w:sz w:val="24"/>
          <w:szCs w:val="24"/>
        </w:rPr>
        <w:t>The determinations and decisions from these groups are recorded on the Trust Incident Management System.</w:t>
      </w:r>
    </w:p>
    <w:p w14:paraId="5BCE6F61" w14:textId="77777777" w:rsidR="008B0EDE" w:rsidRDefault="009910CF" w:rsidP="008B0EDE">
      <w:pPr>
        <w:spacing w:before="120" w:after="120" w:line="240" w:lineRule="auto"/>
        <w:rPr>
          <w:rFonts w:cs="Arial"/>
          <w:sz w:val="24"/>
          <w:szCs w:val="24"/>
        </w:rPr>
        <w:sectPr w:rsidR="008B0EDE" w:rsidSect="00ED30E6">
          <w:footerReference w:type="default" r:id="rId17"/>
          <w:headerReference w:type="first" r:id="rId18"/>
          <w:pgSz w:w="11906" w:h="16838"/>
          <w:pgMar w:top="1440" w:right="1440" w:bottom="1440" w:left="1701" w:header="708" w:footer="708" w:gutter="0"/>
          <w:cols w:space="708"/>
          <w:titlePg/>
          <w:docGrid w:linePitch="360"/>
        </w:sectPr>
      </w:pPr>
      <w:r>
        <w:rPr>
          <w:rFonts w:cs="Arial"/>
          <w:sz w:val="24"/>
          <w:szCs w:val="24"/>
        </w:rPr>
        <w:t xml:space="preserve"> </w:t>
      </w:r>
    </w:p>
    <w:p w14:paraId="3D7FD551" w14:textId="01B645C8" w:rsidR="008B0EDE" w:rsidRPr="00E256AC" w:rsidRDefault="008B0EDE" w:rsidP="008B0EDE">
      <w:pPr>
        <w:pStyle w:val="Header2"/>
        <w:rPr>
          <w:lang w:val="en"/>
        </w:rPr>
      </w:pPr>
      <w:bookmarkStart w:id="13" w:name="_Hlk163218559"/>
      <w:bookmarkStart w:id="14" w:name="_Toc166674448"/>
      <w:bookmarkStart w:id="15" w:name="_Toc199923759"/>
      <w:r w:rsidRPr="00E256AC">
        <w:rPr>
          <w:lang w:val="en"/>
        </w:rPr>
        <w:lastRenderedPageBreak/>
        <w:t>Appendix 1: Incident Response Decision Making Flowchart</w:t>
      </w:r>
      <w:bookmarkEnd w:id="13"/>
      <w:bookmarkEnd w:id="14"/>
      <w:bookmarkEnd w:id="15"/>
    </w:p>
    <w:p w14:paraId="0C2755D2" w14:textId="25DAA911" w:rsidR="008B0EDE" w:rsidRDefault="008B0EDE" w:rsidP="00E84C19"/>
    <w:p w14:paraId="3D35A9ED" w14:textId="3CD46FF1" w:rsidR="00E84C19" w:rsidRPr="008B0EDE" w:rsidRDefault="00ED30E6" w:rsidP="00E84C19">
      <w:pPr>
        <w:sectPr w:rsidR="00E84C19" w:rsidRPr="008B0EDE" w:rsidSect="006C44AE">
          <w:footerReference w:type="first" r:id="rId19"/>
          <w:pgSz w:w="16838" w:h="11906" w:orient="landscape" w:code="9"/>
          <w:pgMar w:top="851" w:right="1440" w:bottom="1134" w:left="1383" w:header="697" w:footer="454" w:gutter="0"/>
          <w:cols w:space="708"/>
          <w:titlePg/>
          <w:docGrid w:linePitch="360"/>
        </w:sectPr>
      </w:pPr>
      <w:r w:rsidRPr="00E84C19">
        <w:rPr>
          <w:lang w:val="en"/>
        </w:rPr>
        <w:lastRenderedPageBreak/>
        <w:drawing>
          <wp:inline distT="0" distB="0" distL="0" distR="0" wp14:anchorId="3CD73603" wp14:editId="55AF5B41">
            <wp:extent cx="8899525" cy="5051796"/>
            <wp:effectExtent l="0" t="0" r="0" b="0"/>
            <wp:docPr id="2" name="Picture 2" descr="PSIR Decision making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899525" cy="5051796"/>
                    </a:xfrm>
                    <a:prstGeom prst="rect">
                      <a:avLst/>
                    </a:prstGeom>
                  </pic:spPr>
                </pic:pic>
              </a:graphicData>
            </a:graphic>
          </wp:inline>
        </w:drawing>
      </w:r>
    </w:p>
    <w:p w14:paraId="12C1B411" w14:textId="3BEFC4BC" w:rsidR="00087BDC" w:rsidRDefault="00D65738" w:rsidP="00D65738">
      <w:pPr>
        <w:spacing w:line="240" w:lineRule="auto"/>
        <w:rPr>
          <w:rFonts w:eastAsiaTheme="majorEastAsia" w:cs="Arial"/>
          <w:b/>
          <w:sz w:val="24"/>
          <w:szCs w:val="24"/>
        </w:rPr>
      </w:pPr>
      <w:r>
        <w:rPr>
          <w:rFonts w:eastAsiaTheme="majorEastAsia" w:cs="Arial"/>
          <w:b/>
          <w:sz w:val="24"/>
          <w:szCs w:val="24"/>
        </w:rPr>
        <w:lastRenderedPageBreak/>
        <w:t>Appendix 2</w:t>
      </w:r>
      <w:r w:rsidR="008B0EDE">
        <w:rPr>
          <w:rFonts w:eastAsiaTheme="majorEastAsia" w:cs="Arial"/>
          <w:b/>
          <w:sz w:val="24"/>
          <w:szCs w:val="24"/>
        </w:rPr>
        <w:t>: PSIRF</w:t>
      </w:r>
      <w:r>
        <w:rPr>
          <w:rFonts w:eastAsiaTheme="majorEastAsia" w:cs="Arial"/>
          <w:b/>
          <w:sz w:val="24"/>
          <w:szCs w:val="24"/>
        </w:rPr>
        <w:t xml:space="preserve"> Governance structure</w:t>
      </w:r>
      <w:r w:rsidR="00087BDC">
        <w:rPr>
          <w:rFonts w:eastAsiaTheme="majorEastAsia" w:cs="Arial"/>
          <w:b/>
          <w:sz w:val="24"/>
          <w:szCs w:val="24"/>
        </w:rPr>
        <w:t xml:space="preserve"> – initiation</w:t>
      </w:r>
    </w:p>
    <w:p w14:paraId="03C5338A" w14:textId="6CDDE29C" w:rsidR="00D65738" w:rsidRDefault="00087BDC" w:rsidP="00D65738">
      <w:pPr>
        <w:spacing w:line="240" w:lineRule="auto"/>
        <w:rPr>
          <w:rFonts w:eastAsiaTheme="majorEastAsia" w:cs="Arial"/>
          <w:b/>
          <w:sz w:val="24"/>
          <w:szCs w:val="24"/>
        </w:rPr>
      </w:pPr>
      <w:r w:rsidRPr="00087BDC">
        <w:rPr>
          <w:rFonts w:eastAsiaTheme="majorEastAsia" w:cs="Arial"/>
          <w:b/>
          <w:noProof/>
          <w:sz w:val="24"/>
          <w:szCs w:val="24"/>
        </w:rPr>
        <w:drawing>
          <wp:inline distT="0" distB="0" distL="0" distR="0" wp14:anchorId="174B6A05" wp14:editId="41152867">
            <wp:extent cx="6774511" cy="5735398"/>
            <wp:effectExtent l="0" t="0" r="7620" b="0"/>
            <wp:docPr id="1028" name="Picture 4" descr="Diagram of governance structure for initiation of learning responses">
              <a:extLst xmlns:a="http://schemas.openxmlformats.org/drawingml/2006/main">
                <a:ext uri="{FF2B5EF4-FFF2-40B4-BE49-F238E27FC236}">
                  <a16:creationId xmlns:a16="http://schemas.microsoft.com/office/drawing/2014/main" id="{EDF230BD-9FB7-4950-A54D-E8E9E4D06E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EDF230BD-9FB7-4950-A54D-E8E9E4D06E80}"/>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36308" cy="5787716"/>
                    </a:xfrm>
                    <a:prstGeom prst="rect">
                      <a:avLst/>
                    </a:prstGeom>
                    <a:noFill/>
                    <a:extLst/>
                  </pic:spPr>
                </pic:pic>
              </a:graphicData>
            </a:graphic>
          </wp:inline>
        </w:drawing>
      </w:r>
      <w:r w:rsidR="00D65738">
        <w:rPr>
          <w:rFonts w:eastAsiaTheme="majorEastAsia" w:cs="Arial"/>
          <w:b/>
          <w:sz w:val="24"/>
          <w:szCs w:val="24"/>
        </w:rPr>
        <w:br w:type="page"/>
      </w:r>
    </w:p>
    <w:p w14:paraId="666627D6" w14:textId="77777777" w:rsidR="006C44AE" w:rsidRDefault="006A7757" w:rsidP="006C44AE">
      <w:pPr>
        <w:rPr>
          <w:rFonts w:cs="Arial"/>
          <w:b/>
          <w:bCs/>
          <w:sz w:val="24"/>
          <w:szCs w:val="24"/>
        </w:rPr>
      </w:pPr>
      <w:r>
        <w:rPr>
          <w:rFonts w:eastAsiaTheme="majorEastAsia" w:cs="Arial"/>
          <w:b/>
          <w:sz w:val="24"/>
          <w:szCs w:val="24"/>
        </w:rPr>
        <w:lastRenderedPageBreak/>
        <w:t xml:space="preserve">Appendix 3: </w:t>
      </w:r>
      <w:r w:rsidR="006C44AE" w:rsidRPr="005709F8">
        <w:rPr>
          <w:rFonts w:cs="Arial"/>
          <w:b/>
          <w:bCs/>
          <w:sz w:val="24"/>
          <w:szCs w:val="24"/>
        </w:rPr>
        <w:t>Infection Prevention and Control PSIRF Plan 2025/26</w:t>
      </w:r>
    </w:p>
    <w:p w14:paraId="78133766" w14:textId="77777777" w:rsidR="006C44AE" w:rsidRPr="003D50CF" w:rsidRDefault="006C44AE" w:rsidP="006C44AE">
      <w:pPr>
        <w:spacing w:after="160" w:line="259" w:lineRule="auto"/>
        <w:rPr>
          <w:rFonts w:cs="Arial"/>
          <w:bCs/>
          <w:sz w:val="24"/>
          <w:szCs w:val="24"/>
        </w:rPr>
      </w:pPr>
      <w:r w:rsidRPr="003D50CF">
        <w:rPr>
          <w:rFonts w:cs="Arial"/>
          <w:bCs/>
          <w:sz w:val="24"/>
          <w:szCs w:val="24"/>
        </w:rPr>
        <w:t>If, on initial review, there are exceptional circumstances or significant potential for learning related to any of the IPC incident types, an incident should be reported and the incident escalated to the Patient Safety Team for PSIRF review.</w:t>
      </w:r>
    </w:p>
    <w:tbl>
      <w:tblPr>
        <w:tblStyle w:val="TableGrid"/>
        <w:tblW w:w="13892" w:type="dxa"/>
        <w:tblInd w:w="-5" w:type="dxa"/>
        <w:tblLayout w:type="fixed"/>
        <w:tblCellMar>
          <w:top w:w="28" w:type="dxa"/>
          <w:bottom w:w="28" w:type="dxa"/>
        </w:tblCellMar>
        <w:tblLook w:val="04A0" w:firstRow="1" w:lastRow="0" w:firstColumn="1" w:lastColumn="0" w:noHBand="0" w:noVBand="1"/>
      </w:tblPr>
      <w:tblGrid>
        <w:gridCol w:w="1560"/>
        <w:gridCol w:w="1701"/>
        <w:gridCol w:w="1417"/>
        <w:gridCol w:w="1276"/>
        <w:gridCol w:w="1417"/>
        <w:gridCol w:w="1985"/>
        <w:gridCol w:w="1134"/>
        <w:gridCol w:w="3402"/>
      </w:tblGrid>
      <w:tr w:rsidR="006C44AE" w:rsidRPr="00AE16B7" w14:paraId="14156B67" w14:textId="77777777" w:rsidTr="00AE16B7">
        <w:trPr>
          <w:trHeight w:val="365"/>
          <w:tblHeader/>
        </w:trPr>
        <w:tc>
          <w:tcPr>
            <w:tcW w:w="1560" w:type="dxa"/>
            <w:shd w:val="clear" w:color="auto" w:fill="DDEEFF"/>
          </w:tcPr>
          <w:p w14:paraId="14412B29" w14:textId="77777777" w:rsidR="006C44AE" w:rsidRPr="00AE16B7" w:rsidRDefault="006C44AE" w:rsidP="00AE16B7">
            <w:pPr>
              <w:rPr>
                <w:rFonts w:cs="Arial"/>
                <w:b/>
                <w:bCs/>
                <w:color w:val="000000" w:themeColor="text1"/>
              </w:rPr>
            </w:pPr>
            <w:r w:rsidRPr="00AE16B7">
              <w:rPr>
                <w:rFonts w:cs="Arial"/>
                <w:b/>
                <w:bCs/>
                <w:color w:val="000000" w:themeColor="text1"/>
              </w:rPr>
              <w:t>Incident type</w:t>
            </w:r>
          </w:p>
        </w:tc>
        <w:tc>
          <w:tcPr>
            <w:tcW w:w="1701" w:type="dxa"/>
            <w:shd w:val="clear" w:color="auto" w:fill="DDEEFF"/>
          </w:tcPr>
          <w:p w14:paraId="232174FA" w14:textId="77777777" w:rsidR="006C44AE" w:rsidRPr="00AE16B7" w:rsidRDefault="006C44AE" w:rsidP="00AE16B7">
            <w:pPr>
              <w:jc w:val="center"/>
              <w:rPr>
                <w:rFonts w:cs="Arial"/>
                <w:b/>
                <w:bCs/>
                <w:color w:val="000000" w:themeColor="text1"/>
              </w:rPr>
            </w:pPr>
            <w:r w:rsidRPr="00AE16B7">
              <w:rPr>
                <w:rFonts w:cs="Arial"/>
                <w:b/>
                <w:bCs/>
                <w:color w:val="000000" w:themeColor="text1"/>
              </w:rPr>
              <w:t>Apportioning criteria / source</w:t>
            </w:r>
          </w:p>
        </w:tc>
        <w:tc>
          <w:tcPr>
            <w:tcW w:w="1417" w:type="dxa"/>
            <w:shd w:val="clear" w:color="auto" w:fill="DDEEFF"/>
          </w:tcPr>
          <w:p w14:paraId="55914D52" w14:textId="77777777" w:rsidR="006C44AE" w:rsidRPr="00AE16B7" w:rsidRDefault="006C44AE" w:rsidP="00AE16B7">
            <w:pPr>
              <w:jc w:val="center"/>
              <w:rPr>
                <w:rFonts w:cs="Arial"/>
                <w:b/>
                <w:bCs/>
                <w:color w:val="000000" w:themeColor="text1"/>
              </w:rPr>
            </w:pPr>
            <w:r w:rsidRPr="00AE16B7">
              <w:rPr>
                <w:rFonts w:cs="Arial"/>
                <w:b/>
                <w:bCs/>
                <w:color w:val="000000" w:themeColor="text1"/>
              </w:rPr>
              <w:t>Mandatory Reporting</w:t>
            </w:r>
          </w:p>
        </w:tc>
        <w:tc>
          <w:tcPr>
            <w:tcW w:w="1276" w:type="dxa"/>
            <w:shd w:val="clear" w:color="auto" w:fill="DDEEFF"/>
          </w:tcPr>
          <w:p w14:paraId="42502CF6" w14:textId="77777777" w:rsidR="006C44AE" w:rsidRPr="00AE16B7" w:rsidRDefault="006C44AE" w:rsidP="00AE16B7">
            <w:pPr>
              <w:jc w:val="center"/>
              <w:rPr>
                <w:rFonts w:cs="Arial"/>
                <w:b/>
                <w:bCs/>
                <w:color w:val="000000" w:themeColor="text1"/>
              </w:rPr>
            </w:pPr>
            <w:r w:rsidRPr="00AE16B7">
              <w:rPr>
                <w:rFonts w:cs="Arial"/>
                <w:b/>
                <w:bCs/>
                <w:color w:val="000000" w:themeColor="text1"/>
              </w:rPr>
              <w:t>Report an incident?</w:t>
            </w:r>
          </w:p>
        </w:tc>
        <w:tc>
          <w:tcPr>
            <w:tcW w:w="1417" w:type="dxa"/>
            <w:shd w:val="clear" w:color="auto" w:fill="DDEEFF"/>
          </w:tcPr>
          <w:p w14:paraId="18D9C1F8" w14:textId="77777777" w:rsidR="006C44AE" w:rsidRPr="00AE16B7" w:rsidRDefault="006C44AE" w:rsidP="00AE16B7">
            <w:pPr>
              <w:jc w:val="center"/>
              <w:rPr>
                <w:rFonts w:cs="Arial"/>
                <w:b/>
                <w:bCs/>
                <w:color w:val="000000" w:themeColor="text1"/>
              </w:rPr>
            </w:pPr>
            <w:r w:rsidRPr="00AE16B7">
              <w:rPr>
                <w:rFonts w:cs="Arial"/>
                <w:b/>
                <w:bCs/>
                <w:color w:val="000000" w:themeColor="text1"/>
              </w:rPr>
              <w:t>IPC review required?</w:t>
            </w:r>
          </w:p>
        </w:tc>
        <w:tc>
          <w:tcPr>
            <w:tcW w:w="1985" w:type="dxa"/>
            <w:shd w:val="clear" w:color="auto" w:fill="DDEEFF"/>
          </w:tcPr>
          <w:p w14:paraId="74F31072" w14:textId="77777777" w:rsidR="006C44AE" w:rsidRPr="00AE16B7" w:rsidRDefault="006C44AE" w:rsidP="00AE16B7">
            <w:pPr>
              <w:rPr>
                <w:rFonts w:cs="Arial"/>
                <w:b/>
                <w:bCs/>
                <w:color w:val="000000" w:themeColor="text1"/>
              </w:rPr>
            </w:pPr>
            <w:r w:rsidRPr="00AE16B7">
              <w:rPr>
                <w:rFonts w:cs="Arial"/>
                <w:b/>
                <w:bCs/>
                <w:color w:val="000000" w:themeColor="text1"/>
              </w:rPr>
              <w:t>Learning response method</w:t>
            </w:r>
          </w:p>
        </w:tc>
        <w:tc>
          <w:tcPr>
            <w:tcW w:w="1134" w:type="dxa"/>
            <w:shd w:val="clear" w:color="auto" w:fill="DDEEFF"/>
          </w:tcPr>
          <w:p w14:paraId="2BCADEF3" w14:textId="77777777" w:rsidR="006C44AE" w:rsidRPr="00AE16B7" w:rsidRDefault="006C44AE" w:rsidP="00AE16B7">
            <w:pPr>
              <w:jc w:val="center"/>
              <w:rPr>
                <w:rFonts w:cs="Arial"/>
                <w:b/>
                <w:bCs/>
                <w:color w:val="000000" w:themeColor="text1"/>
              </w:rPr>
            </w:pPr>
            <w:r w:rsidRPr="00AE16B7">
              <w:rPr>
                <w:rFonts w:cs="Arial"/>
                <w:b/>
                <w:bCs/>
                <w:color w:val="000000" w:themeColor="text1"/>
              </w:rPr>
              <w:t>PSII required?</w:t>
            </w:r>
          </w:p>
        </w:tc>
        <w:tc>
          <w:tcPr>
            <w:tcW w:w="3402" w:type="dxa"/>
            <w:shd w:val="clear" w:color="auto" w:fill="DDEEFF"/>
          </w:tcPr>
          <w:p w14:paraId="20D7DBBB" w14:textId="77777777" w:rsidR="006C44AE" w:rsidRPr="00AE16B7" w:rsidRDefault="006C44AE" w:rsidP="00AE16B7">
            <w:pPr>
              <w:rPr>
                <w:rFonts w:cs="Arial"/>
                <w:b/>
                <w:bCs/>
                <w:color w:val="000000" w:themeColor="text1"/>
              </w:rPr>
            </w:pPr>
            <w:r w:rsidRPr="00AE16B7">
              <w:rPr>
                <w:rFonts w:cs="Arial"/>
                <w:b/>
                <w:bCs/>
                <w:color w:val="000000" w:themeColor="text1"/>
              </w:rPr>
              <w:t>Governance route</w:t>
            </w:r>
          </w:p>
        </w:tc>
      </w:tr>
      <w:tr w:rsidR="006C44AE" w:rsidRPr="00AE16B7" w14:paraId="442C2AD6" w14:textId="77777777" w:rsidTr="00AE16B7">
        <w:tc>
          <w:tcPr>
            <w:tcW w:w="1560" w:type="dxa"/>
            <w:shd w:val="clear" w:color="auto" w:fill="DDEEFF"/>
          </w:tcPr>
          <w:p w14:paraId="14C6196D" w14:textId="77777777" w:rsidR="006C44AE" w:rsidRPr="00AE16B7" w:rsidRDefault="006C44AE" w:rsidP="00AE16B7">
            <w:pPr>
              <w:rPr>
                <w:rFonts w:cs="Arial"/>
                <w:b/>
                <w:bCs/>
                <w:color w:val="000000" w:themeColor="text1"/>
              </w:rPr>
            </w:pPr>
            <w:r w:rsidRPr="00AE16B7">
              <w:rPr>
                <w:rFonts w:cs="Arial"/>
                <w:b/>
                <w:bCs/>
                <w:color w:val="000000" w:themeColor="text1"/>
              </w:rPr>
              <w:t>Outbreak</w:t>
            </w:r>
          </w:p>
          <w:p w14:paraId="0ECA1742" w14:textId="77777777" w:rsidR="006C44AE" w:rsidRPr="00AE16B7" w:rsidRDefault="006C44AE" w:rsidP="00AE16B7">
            <w:pPr>
              <w:rPr>
                <w:rFonts w:cs="Arial"/>
                <w:color w:val="000000" w:themeColor="text1"/>
              </w:rPr>
            </w:pPr>
            <w:r w:rsidRPr="00AE16B7">
              <w:rPr>
                <w:rFonts w:cs="Arial"/>
                <w:color w:val="000000" w:themeColor="text1"/>
              </w:rPr>
              <w:t>No nosocomial deaths</w:t>
            </w:r>
          </w:p>
        </w:tc>
        <w:tc>
          <w:tcPr>
            <w:tcW w:w="1701" w:type="dxa"/>
            <w:shd w:val="clear" w:color="auto" w:fill="F2F2F2" w:themeFill="background1" w:themeFillShade="F2"/>
          </w:tcPr>
          <w:p w14:paraId="79EAFC57" w14:textId="77777777" w:rsidR="006C44AE" w:rsidRPr="00AE16B7" w:rsidRDefault="006C44AE" w:rsidP="00AE16B7">
            <w:pPr>
              <w:jc w:val="center"/>
              <w:rPr>
                <w:rFonts w:cs="Arial"/>
                <w:color w:val="000000" w:themeColor="text1"/>
              </w:rPr>
            </w:pPr>
            <w:r w:rsidRPr="00AE16B7">
              <w:rPr>
                <w:rFonts w:cs="Arial"/>
                <w:color w:val="000000" w:themeColor="text1"/>
              </w:rPr>
              <w:t>N/A</w:t>
            </w:r>
          </w:p>
        </w:tc>
        <w:tc>
          <w:tcPr>
            <w:tcW w:w="1417" w:type="dxa"/>
            <w:shd w:val="clear" w:color="auto" w:fill="F2F2F2" w:themeFill="background1" w:themeFillShade="F2"/>
          </w:tcPr>
          <w:p w14:paraId="46DF8CBE" w14:textId="77777777" w:rsidR="006C44AE" w:rsidRPr="00AE16B7" w:rsidRDefault="006C44AE" w:rsidP="00AE16B7">
            <w:pPr>
              <w:jc w:val="center"/>
              <w:rPr>
                <w:rFonts w:cs="Arial"/>
                <w:color w:val="000000" w:themeColor="text1"/>
              </w:rPr>
            </w:pPr>
            <w:r w:rsidRPr="00AE16B7">
              <w:rPr>
                <w:rFonts w:cs="Arial"/>
                <w:color w:val="000000" w:themeColor="text1"/>
              </w:rPr>
              <w:t>N/A</w:t>
            </w:r>
          </w:p>
        </w:tc>
        <w:tc>
          <w:tcPr>
            <w:tcW w:w="1276" w:type="dxa"/>
            <w:shd w:val="clear" w:color="auto" w:fill="92D050"/>
          </w:tcPr>
          <w:p w14:paraId="092727AC"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417" w:type="dxa"/>
            <w:shd w:val="clear" w:color="auto" w:fill="92D050"/>
          </w:tcPr>
          <w:p w14:paraId="3E29B25F"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985" w:type="dxa"/>
          </w:tcPr>
          <w:p w14:paraId="60ACCBE3"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 xml:space="preserve">Outbreak meeting or local discussion (&lt;2 cases) </w:t>
            </w:r>
          </w:p>
          <w:p w14:paraId="6016BA73"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non TB respiratory outbreaks (includes public health)</w:t>
            </w:r>
          </w:p>
        </w:tc>
        <w:tc>
          <w:tcPr>
            <w:tcW w:w="1134" w:type="dxa"/>
            <w:shd w:val="clear" w:color="auto" w:fill="auto"/>
          </w:tcPr>
          <w:p w14:paraId="62FBB8B3" w14:textId="77777777" w:rsidR="006C44AE" w:rsidRPr="00AE16B7" w:rsidRDefault="006C44AE" w:rsidP="00AE16B7">
            <w:pPr>
              <w:jc w:val="center"/>
              <w:rPr>
                <w:rFonts w:cs="Arial"/>
                <w:color w:val="000000" w:themeColor="text1"/>
              </w:rPr>
            </w:pPr>
            <w:r w:rsidRPr="00AE16B7">
              <w:rPr>
                <w:rFonts w:cs="Arial"/>
                <w:color w:val="000000" w:themeColor="text1"/>
              </w:rPr>
              <w:t>No</w:t>
            </w:r>
          </w:p>
          <w:p w14:paraId="6DE98C95" w14:textId="77777777" w:rsidR="006C44AE" w:rsidRPr="00AE16B7" w:rsidRDefault="006C44AE" w:rsidP="00AE16B7">
            <w:pPr>
              <w:jc w:val="center"/>
              <w:rPr>
                <w:rFonts w:cs="Arial"/>
                <w:color w:val="000000" w:themeColor="text1"/>
              </w:rPr>
            </w:pPr>
          </w:p>
        </w:tc>
        <w:tc>
          <w:tcPr>
            <w:tcW w:w="3402" w:type="dxa"/>
          </w:tcPr>
          <w:p w14:paraId="33C31D00"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Email alert to clinical teams</w:t>
            </w:r>
          </w:p>
          <w:p w14:paraId="5F3C5FFD"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IPCC and Q&amp;SC reports</w:t>
            </w:r>
          </w:p>
          <w:p w14:paraId="2A3B68B1"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 ICB</w:t>
            </w:r>
          </w:p>
        </w:tc>
      </w:tr>
      <w:tr w:rsidR="006C44AE" w:rsidRPr="00AE16B7" w14:paraId="0541B2B3" w14:textId="77777777" w:rsidTr="00AE16B7">
        <w:tc>
          <w:tcPr>
            <w:tcW w:w="1560" w:type="dxa"/>
            <w:shd w:val="clear" w:color="auto" w:fill="DDEEFF"/>
          </w:tcPr>
          <w:p w14:paraId="6D743A17" w14:textId="77777777" w:rsidR="006C44AE" w:rsidRPr="00AE16B7" w:rsidRDefault="006C44AE" w:rsidP="00AE16B7">
            <w:pPr>
              <w:rPr>
                <w:rFonts w:cs="Arial"/>
                <w:b/>
                <w:bCs/>
                <w:color w:val="000000" w:themeColor="text1"/>
              </w:rPr>
            </w:pPr>
            <w:r w:rsidRPr="00AE16B7">
              <w:rPr>
                <w:rFonts w:cs="Arial"/>
                <w:b/>
                <w:bCs/>
                <w:color w:val="000000" w:themeColor="text1"/>
              </w:rPr>
              <w:t>Outbreak</w:t>
            </w:r>
          </w:p>
          <w:p w14:paraId="1EE58935" w14:textId="77777777" w:rsidR="006C44AE" w:rsidRPr="00AE16B7" w:rsidRDefault="006C44AE" w:rsidP="00AE16B7">
            <w:pPr>
              <w:rPr>
                <w:rFonts w:cs="Arial"/>
                <w:color w:val="000000" w:themeColor="text1"/>
              </w:rPr>
            </w:pPr>
            <w:r w:rsidRPr="00AE16B7">
              <w:rPr>
                <w:rFonts w:cs="Arial"/>
                <w:color w:val="000000" w:themeColor="text1"/>
              </w:rPr>
              <w:t>Nosocomial deaths</w:t>
            </w:r>
          </w:p>
        </w:tc>
        <w:tc>
          <w:tcPr>
            <w:tcW w:w="1701" w:type="dxa"/>
            <w:shd w:val="clear" w:color="auto" w:fill="F2F2F2" w:themeFill="background1" w:themeFillShade="F2"/>
          </w:tcPr>
          <w:p w14:paraId="66CD6BAD" w14:textId="77777777" w:rsidR="006C44AE" w:rsidRPr="00AE16B7" w:rsidRDefault="006C44AE" w:rsidP="00AE16B7">
            <w:pPr>
              <w:jc w:val="center"/>
              <w:rPr>
                <w:rFonts w:cs="Arial"/>
                <w:color w:val="000000" w:themeColor="text1"/>
              </w:rPr>
            </w:pPr>
            <w:r w:rsidRPr="00AE16B7">
              <w:rPr>
                <w:rFonts w:cs="Arial"/>
                <w:color w:val="000000" w:themeColor="text1"/>
              </w:rPr>
              <w:t>N/A</w:t>
            </w:r>
          </w:p>
        </w:tc>
        <w:tc>
          <w:tcPr>
            <w:tcW w:w="1417" w:type="dxa"/>
            <w:shd w:val="clear" w:color="auto" w:fill="F2F2F2" w:themeFill="background1" w:themeFillShade="F2"/>
          </w:tcPr>
          <w:p w14:paraId="71A8B93E" w14:textId="77777777" w:rsidR="006C44AE" w:rsidRPr="00AE16B7" w:rsidRDefault="006C44AE" w:rsidP="00AE16B7">
            <w:pPr>
              <w:jc w:val="center"/>
              <w:rPr>
                <w:rFonts w:cs="Arial"/>
                <w:color w:val="000000" w:themeColor="text1"/>
              </w:rPr>
            </w:pPr>
            <w:r w:rsidRPr="00AE16B7">
              <w:rPr>
                <w:rFonts w:cs="Arial"/>
                <w:color w:val="000000" w:themeColor="text1"/>
              </w:rPr>
              <w:t>N/A</w:t>
            </w:r>
          </w:p>
        </w:tc>
        <w:tc>
          <w:tcPr>
            <w:tcW w:w="1276" w:type="dxa"/>
            <w:shd w:val="clear" w:color="auto" w:fill="92D050"/>
          </w:tcPr>
          <w:p w14:paraId="70D760DA"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417" w:type="dxa"/>
            <w:shd w:val="clear" w:color="auto" w:fill="92D050"/>
          </w:tcPr>
          <w:p w14:paraId="11AB899A"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985" w:type="dxa"/>
          </w:tcPr>
          <w:p w14:paraId="7CCA9CE7"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Outbreak meeting / Post Infection Review (PIR)</w:t>
            </w:r>
          </w:p>
          <w:p w14:paraId="03F24075"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Consultation with PHE re: next steps</w:t>
            </w:r>
          </w:p>
          <w:p w14:paraId="7F9F89C3"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Notify DIPC / patient safety</w:t>
            </w:r>
          </w:p>
        </w:tc>
        <w:tc>
          <w:tcPr>
            <w:tcW w:w="1134" w:type="dxa"/>
            <w:shd w:val="clear" w:color="auto" w:fill="FFC000"/>
          </w:tcPr>
          <w:p w14:paraId="26750610" w14:textId="77777777" w:rsidR="006C44AE" w:rsidRPr="00AE16B7" w:rsidRDefault="006C44AE" w:rsidP="00AE16B7">
            <w:pPr>
              <w:jc w:val="center"/>
              <w:rPr>
                <w:rFonts w:cs="Arial"/>
                <w:color w:val="000000" w:themeColor="text1"/>
              </w:rPr>
            </w:pPr>
            <w:r w:rsidRPr="00AE16B7">
              <w:rPr>
                <w:rFonts w:cs="Arial"/>
                <w:color w:val="000000" w:themeColor="text1"/>
              </w:rPr>
              <w:t>IRP and CNMO and CMO decision</w:t>
            </w:r>
          </w:p>
        </w:tc>
        <w:tc>
          <w:tcPr>
            <w:tcW w:w="3402" w:type="dxa"/>
          </w:tcPr>
          <w:p w14:paraId="72764FFA"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Email alert to clinical teams</w:t>
            </w:r>
          </w:p>
          <w:p w14:paraId="3FE7248E"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ICB</w:t>
            </w:r>
          </w:p>
          <w:p w14:paraId="21722372"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IPCC and Q&amp;SC reports</w:t>
            </w:r>
          </w:p>
          <w:p w14:paraId="32C6874F"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IPCC if PSII commissioned</w:t>
            </w:r>
          </w:p>
        </w:tc>
      </w:tr>
      <w:tr w:rsidR="006C44AE" w:rsidRPr="00AE16B7" w14:paraId="2FEE006E" w14:textId="77777777" w:rsidTr="00AE16B7">
        <w:trPr>
          <w:trHeight w:val="2271"/>
        </w:trPr>
        <w:tc>
          <w:tcPr>
            <w:tcW w:w="1560" w:type="dxa"/>
            <w:shd w:val="clear" w:color="auto" w:fill="DDEEFF"/>
          </w:tcPr>
          <w:p w14:paraId="44713E11" w14:textId="77777777" w:rsidR="006C44AE" w:rsidRPr="00AE16B7" w:rsidRDefault="006C44AE" w:rsidP="00AE16B7">
            <w:pPr>
              <w:rPr>
                <w:rFonts w:cs="Arial"/>
                <w:b/>
                <w:bCs/>
                <w:color w:val="000000" w:themeColor="text1"/>
              </w:rPr>
            </w:pPr>
            <w:r w:rsidRPr="00AE16B7">
              <w:rPr>
                <w:rFonts w:cs="Arial"/>
                <w:b/>
                <w:bCs/>
                <w:color w:val="000000" w:themeColor="text1"/>
              </w:rPr>
              <w:t>C.difficile</w:t>
            </w:r>
          </w:p>
          <w:p w14:paraId="4766DF21" w14:textId="77777777" w:rsidR="006C44AE" w:rsidRPr="00AE16B7" w:rsidRDefault="006C44AE" w:rsidP="00AE16B7">
            <w:pPr>
              <w:rPr>
                <w:rFonts w:cs="Arial"/>
                <w:color w:val="000000" w:themeColor="text1"/>
              </w:rPr>
            </w:pPr>
            <w:r w:rsidRPr="00AE16B7">
              <w:rPr>
                <w:rFonts w:cs="Arial"/>
                <w:b/>
                <w:bCs/>
                <w:color w:val="000000" w:themeColor="text1"/>
              </w:rPr>
              <w:t>Toxin positive</w:t>
            </w:r>
          </w:p>
        </w:tc>
        <w:tc>
          <w:tcPr>
            <w:tcW w:w="1701" w:type="dxa"/>
          </w:tcPr>
          <w:p w14:paraId="508ABD5E" w14:textId="77777777" w:rsidR="006C44AE" w:rsidRPr="00AE16B7" w:rsidRDefault="006C44AE" w:rsidP="00AE16B7">
            <w:pPr>
              <w:jc w:val="center"/>
              <w:rPr>
                <w:rFonts w:cs="Arial"/>
                <w:color w:val="000000" w:themeColor="text1"/>
              </w:rPr>
            </w:pPr>
            <w:r w:rsidRPr="00AE16B7">
              <w:rPr>
                <w:rFonts w:cs="Arial"/>
                <w:color w:val="000000" w:themeColor="text1"/>
              </w:rPr>
              <w:t>All cases</w:t>
            </w:r>
          </w:p>
        </w:tc>
        <w:tc>
          <w:tcPr>
            <w:tcW w:w="1417" w:type="dxa"/>
          </w:tcPr>
          <w:p w14:paraId="758FAAD1" w14:textId="77777777" w:rsidR="006C44AE" w:rsidRPr="00AE16B7" w:rsidRDefault="006C44AE" w:rsidP="00AE16B7">
            <w:pPr>
              <w:jc w:val="center"/>
              <w:rPr>
                <w:rFonts w:cs="Arial"/>
                <w:color w:val="000000" w:themeColor="text1"/>
              </w:rPr>
            </w:pPr>
            <w:r w:rsidRPr="00AE16B7">
              <w:rPr>
                <w:rFonts w:cs="Arial"/>
                <w:color w:val="000000" w:themeColor="text1"/>
              </w:rPr>
              <w:t>UKHSA HCAI DCS</w:t>
            </w:r>
          </w:p>
        </w:tc>
        <w:tc>
          <w:tcPr>
            <w:tcW w:w="1276" w:type="dxa"/>
            <w:shd w:val="clear" w:color="auto" w:fill="92D050"/>
          </w:tcPr>
          <w:p w14:paraId="239914CE"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417" w:type="dxa"/>
            <w:shd w:val="clear" w:color="auto" w:fill="92D050"/>
          </w:tcPr>
          <w:p w14:paraId="42BFE67F"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985" w:type="dxa"/>
          </w:tcPr>
          <w:p w14:paraId="56FA70CD"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 Rapid review / PIR (within 7 days)</w:t>
            </w:r>
          </w:p>
          <w:p w14:paraId="60C63A11"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Inclusion in Thematic reviews bi-monthly (panel)</w:t>
            </w:r>
          </w:p>
        </w:tc>
        <w:tc>
          <w:tcPr>
            <w:tcW w:w="1134" w:type="dxa"/>
            <w:shd w:val="clear" w:color="auto" w:fill="auto"/>
          </w:tcPr>
          <w:p w14:paraId="2FAE96F6" w14:textId="77777777" w:rsidR="006C44AE" w:rsidRPr="00AE16B7" w:rsidRDefault="006C44AE" w:rsidP="00AE16B7">
            <w:pPr>
              <w:jc w:val="center"/>
              <w:rPr>
                <w:rFonts w:cs="Arial"/>
                <w:color w:val="000000" w:themeColor="text1"/>
              </w:rPr>
            </w:pPr>
            <w:r w:rsidRPr="00AE16B7">
              <w:rPr>
                <w:rFonts w:cs="Arial"/>
                <w:color w:val="000000" w:themeColor="text1"/>
              </w:rPr>
              <w:t>No</w:t>
            </w:r>
          </w:p>
        </w:tc>
        <w:tc>
          <w:tcPr>
            <w:tcW w:w="3402" w:type="dxa"/>
          </w:tcPr>
          <w:p w14:paraId="57E22DB6"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IPCC and Q&amp;SC reports</w:t>
            </w:r>
          </w:p>
          <w:p w14:paraId="1B0090DC"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Sunrise alert to clinical teams</w:t>
            </w:r>
          </w:p>
          <w:p w14:paraId="7FC2176B"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Trust wide performance reporting</w:t>
            </w:r>
          </w:p>
          <w:p w14:paraId="5409595C"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 ICB</w:t>
            </w:r>
          </w:p>
          <w:p w14:paraId="05B5F112"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IPR performance dashboard</w:t>
            </w:r>
          </w:p>
        </w:tc>
      </w:tr>
      <w:tr w:rsidR="006C44AE" w:rsidRPr="00AE16B7" w14:paraId="15B60578" w14:textId="77777777" w:rsidTr="00AE16B7">
        <w:trPr>
          <w:trHeight w:val="882"/>
        </w:trPr>
        <w:tc>
          <w:tcPr>
            <w:tcW w:w="1560" w:type="dxa"/>
            <w:shd w:val="clear" w:color="auto" w:fill="DDEEFF"/>
          </w:tcPr>
          <w:p w14:paraId="58933AF9" w14:textId="77777777" w:rsidR="006C44AE" w:rsidRPr="00AE16B7" w:rsidRDefault="006C44AE" w:rsidP="00AE16B7">
            <w:pPr>
              <w:rPr>
                <w:rFonts w:cs="Arial"/>
                <w:b/>
                <w:bCs/>
                <w:color w:val="000000" w:themeColor="text1"/>
              </w:rPr>
            </w:pPr>
            <w:r w:rsidRPr="00AE16B7">
              <w:rPr>
                <w:rFonts w:cs="Arial"/>
                <w:b/>
                <w:bCs/>
                <w:color w:val="000000" w:themeColor="text1"/>
              </w:rPr>
              <w:lastRenderedPageBreak/>
              <w:t xml:space="preserve">C.difficile carriers (toxin neg, PCR </w:t>
            </w:r>
            <w:proofErr w:type="spellStart"/>
            <w:r w:rsidRPr="00AE16B7">
              <w:rPr>
                <w:rFonts w:cs="Arial"/>
                <w:b/>
                <w:bCs/>
                <w:color w:val="000000" w:themeColor="text1"/>
              </w:rPr>
              <w:t>pos</w:t>
            </w:r>
            <w:proofErr w:type="spellEnd"/>
            <w:r w:rsidRPr="00AE16B7">
              <w:rPr>
                <w:rFonts w:cs="Arial"/>
                <w:b/>
                <w:bCs/>
                <w:color w:val="000000" w:themeColor="text1"/>
              </w:rPr>
              <w:t>)</w:t>
            </w:r>
          </w:p>
        </w:tc>
        <w:tc>
          <w:tcPr>
            <w:tcW w:w="1701" w:type="dxa"/>
          </w:tcPr>
          <w:p w14:paraId="234A5972" w14:textId="77777777" w:rsidR="006C44AE" w:rsidRPr="00AE16B7" w:rsidRDefault="006C44AE" w:rsidP="00AE16B7">
            <w:pPr>
              <w:jc w:val="center"/>
              <w:rPr>
                <w:rFonts w:cs="Arial"/>
                <w:color w:val="000000" w:themeColor="text1"/>
              </w:rPr>
            </w:pPr>
            <w:r w:rsidRPr="00AE16B7">
              <w:rPr>
                <w:rFonts w:cs="Arial"/>
                <w:color w:val="000000" w:themeColor="text1"/>
              </w:rPr>
              <w:t>All cases</w:t>
            </w:r>
          </w:p>
        </w:tc>
        <w:tc>
          <w:tcPr>
            <w:tcW w:w="1417" w:type="dxa"/>
            <w:shd w:val="clear" w:color="auto" w:fill="F2F2F2" w:themeFill="background1" w:themeFillShade="F2"/>
          </w:tcPr>
          <w:p w14:paraId="76562EF8" w14:textId="77777777" w:rsidR="006C44AE" w:rsidRPr="00AE16B7" w:rsidRDefault="006C44AE" w:rsidP="00AE16B7">
            <w:pPr>
              <w:jc w:val="center"/>
              <w:rPr>
                <w:rFonts w:cs="Arial"/>
                <w:color w:val="000000" w:themeColor="text1"/>
              </w:rPr>
            </w:pPr>
            <w:r w:rsidRPr="00AE16B7">
              <w:rPr>
                <w:rFonts w:cs="Arial"/>
                <w:color w:val="000000" w:themeColor="text1"/>
              </w:rPr>
              <w:t>N/A</w:t>
            </w:r>
          </w:p>
        </w:tc>
        <w:tc>
          <w:tcPr>
            <w:tcW w:w="1276" w:type="dxa"/>
            <w:shd w:val="clear" w:color="auto" w:fill="auto"/>
          </w:tcPr>
          <w:p w14:paraId="6354E803" w14:textId="77777777" w:rsidR="006C44AE" w:rsidRPr="00AE16B7" w:rsidRDefault="006C44AE" w:rsidP="00AE16B7">
            <w:pPr>
              <w:jc w:val="center"/>
              <w:rPr>
                <w:rFonts w:cs="Arial"/>
                <w:color w:val="000000" w:themeColor="text1"/>
              </w:rPr>
            </w:pPr>
            <w:r w:rsidRPr="00AE16B7">
              <w:rPr>
                <w:rFonts w:cs="Arial"/>
                <w:color w:val="000000" w:themeColor="text1"/>
              </w:rPr>
              <w:t>No</w:t>
            </w:r>
          </w:p>
        </w:tc>
        <w:tc>
          <w:tcPr>
            <w:tcW w:w="1417" w:type="dxa"/>
            <w:shd w:val="clear" w:color="auto" w:fill="92D050"/>
          </w:tcPr>
          <w:p w14:paraId="4B55A81C"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985" w:type="dxa"/>
            <w:shd w:val="clear" w:color="auto" w:fill="F2F2F2" w:themeFill="background1" w:themeFillShade="F2"/>
          </w:tcPr>
          <w:p w14:paraId="301F1F07" w14:textId="77777777" w:rsidR="006C44AE" w:rsidRPr="00AE16B7" w:rsidRDefault="006C44AE" w:rsidP="00AE16B7">
            <w:pPr>
              <w:rPr>
                <w:rFonts w:cs="Arial"/>
                <w:color w:val="000000" w:themeColor="text1"/>
              </w:rPr>
            </w:pPr>
            <w:r w:rsidRPr="00AE16B7">
              <w:rPr>
                <w:rFonts w:cs="Arial"/>
                <w:color w:val="000000" w:themeColor="text1"/>
              </w:rPr>
              <w:t>N/A</w:t>
            </w:r>
          </w:p>
        </w:tc>
        <w:tc>
          <w:tcPr>
            <w:tcW w:w="1134" w:type="dxa"/>
            <w:shd w:val="clear" w:color="auto" w:fill="auto"/>
          </w:tcPr>
          <w:p w14:paraId="34F615C0" w14:textId="77777777" w:rsidR="006C44AE" w:rsidRPr="00AE16B7" w:rsidRDefault="006C44AE" w:rsidP="00AE16B7">
            <w:pPr>
              <w:jc w:val="center"/>
              <w:rPr>
                <w:rFonts w:cs="Arial"/>
                <w:color w:val="000000" w:themeColor="text1"/>
              </w:rPr>
            </w:pPr>
            <w:r w:rsidRPr="00AE16B7">
              <w:rPr>
                <w:rFonts w:cs="Arial"/>
                <w:color w:val="000000" w:themeColor="text1"/>
              </w:rPr>
              <w:t>No</w:t>
            </w:r>
          </w:p>
        </w:tc>
        <w:tc>
          <w:tcPr>
            <w:tcW w:w="3402" w:type="dxa"/>
            <w:shd w:val="clear" w:color="auto" w:fill="F2F2F2" w:themeFill="background1" w:themeFillShade="F2"/>
          </w:tcPr>
          <w:p w14:paraId="5FAD4828" w14:textId="77777777" w:rsidR="006C44AE" w:rsidRPr="00AE16B7" w:rsidRDefault="006C44AE" w:rsidP="00AE16B7">
            <w:pPr>
              <w:ind w:left="360"/>
              <w:rPr>
                <w:rFonts w:cs="Arial"/>
                <w:color w:val="000000" w:themeColor="text1"/>
              </w:rPr>
            </w:pPr>
            <w:r w:rsidRPr="00AE16B7">
              <w:rPr>
                <w:rFonts w:cs="Arial"/>
                <w:color w:val="000000" w:themeColor="text1"/>
              </w:rPr>
              <w:t>N/A</w:t>
            </w:r>
          </w:p>
        </w:tc>
      </w:tr>
      <w:tr w:rsidR="006C44AE" w:rsidRPr="00AE16B7" w14:paraId="02FBAA0D" w14:textId="77777777" w:rsidTr="00AE16B7">
        <w:tc>
          <w:tcPr>
            <w:tcW w:w="1560" w:type="dxa"/>
            <w:shd w:val="clear" w:color="auto" w:fill="DDEEFF"/>
          </w:tcPr>
          <w:p w14:paraId="02FC8565" w14:textId="77777777" w:rsidR="006C44AE" w:rsidRPr="00AE16B7" w:rsidRDefault="006C44AE" w:rsidP="00AE16B7">
            <w:pPr>
              <w:rPr>
                <w:rFonts w:cs="Arial"/>
                <w:b/>
                <w:bCs/>
                <w:color w:val="000000" w:themeColor="text1"/>
              </w:rPr>
            </w:pPr>
            <w:r w:rsidRPr="00AE16B7">
              <w:rPr>
                <w:rFonts w:cs="Arial"/>
                <w:b/>
                <w:bCs/>
                <w:color w:val="000000" w:themeColor="text1"/>
              </w:rPr>
              <w:t>Invasive Group A Strep (</w:t>
            </w:r>
            <w:proofErr w:type="spellStart"/>
            <w:r w:rsidRPr="00AE16B7">
              <w:rPr>
                <w:rFonts w:cs="Arial"/>
                <w:b/>
                <w:bCs/>
                <w:color w:val="000000" w:themeColor="text1"/>
              </w:rPr>
              <w:t>iGAS</w:t>
            </w:r>
            <w:proofErr w:type="spellEnd"/>
            <w:r w:rsidRPr="00AE16B7">
              <w:rPr>
                <w:rFonts w:cs="Arial"/>
                <w:b/>
                <w:bCs/>
                <w:color w:val="000000" w:themeColor="text1"/>
              </w:rPr>
              <w:t>)</w:t>
            </w:r>
          </w:p>
        </w:tc>
        <w:tc>
          <w:tcPr>
            <w:tcW w:w="1701" w:type="dxa"/>
          </w:tcPr>
          <w:p w14:paraId="2C961B08" w14:textId="77777777" w:rsidR="006C44AE" w:rsidRPr="00AE16B7" w:rsidRDefault="006C44AE" w:rsidP="00AE16B7">
            <w:pPr>
              <w:jc w:val="center"/>
              <w:rPr>
                <w:rFonts w:cs="Arial"/>
                <w:color w:val="000000" w:themeColor="text1"/>
              </w:rPr>
            </w:pPr>
            <w:r w:rsidRPr="00AE16B7">
              <w:rPr>
                <w:rFonts w:cs="Arial"/>
                <w:color w:val="000000" w:themeColor="text1"/>
              </w:rPr>
              <w:t>HOHA</w:t>
            </w:r>
          </w:p>
        </w:tc>
        <w:tc>
          <w:tcPr>
            <w:tcW w:w="1417" w:type="dxa"/>
          </w:tcPr>
          <w:p w14:paraId="1597C340" w14:textId="77777777" w:rsidR="006C44AE" w:rsidRPr="00AE16B7" w:rsidRDefault="006C44AE" w:rsidP="00AE16B7">
            <w:pPr>
              <w:jc w:val="center"/>
              <w:rPr>
                <w:rFonts w:cs="Arial"/>
                <w:color w:val="000000" w:themeColor="text1"/>
              </w:rPr>
            </w:pPr>
            <w:r w:rsidRPr="00AE16B7">
              <w:rPr>
                <w:rFonts w:cs="Arial"/>
                <w:color w:val="000000" w:themeColor="text1"/>
              </w:rPr>
              <w:t>UKHSA HCAI DCS</w:t>
            </w:r>
          </w:p>
        </w:tc>
        <w:tc>
          <w:tcPr>
            <w:tcW w:w="1276" w:type="dxa"/>
            <w:shd w:val="clear" w:color="auto" w:fill="92D050"/>
          </w:tcPr>
          <w:p w14:paraId="7A2A2159"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417" w:type="dxa"/>
            <w:shd w:val="clear" w:color="auto" w:fill="92D050"/>
          </w:tcPr>
          <w:p w14:paraId="3D4E4EE4" w14:textId="77777777" w:rsidR="006C44AE" w:rsidRPr="00AE16B7" w:rsidRDefault="006C44AE" w:rsidP="00AE16B7">
            <w:pPr>
              <w:jc w:val="center"/>
              <w:rPr>
                <w:rFonts w:cs="Arial"/>
                <w:color w:val="000000" w:themeColor="text1"/>
              </w:rPr>
            </w:pPr>
            <w:r w:rsidRPr="00AE16B7">
              <w:rPr>
                <w:rFonts w:cs="Arial"/>
                <w:color w:val="000000" w:themeColor="text1"/>
              </w:rPr>
              <w:t>Yes</w:t>
            </w:r>
          </w:p>
        </w:tc>
        <w:tc>
          <w:tcPr>
            <w:tcW w:w="1985" w:type="dxa"/>
            <w:shd w:val="clear" w:color="auto" w:fill="auto"/>
          </w:tcPr>
          <w:p w14:paraId="0035488A" w14:textId="77777777" w:rsidR="006C44AE" w:rsidRPr="00AE16B7" w:rsidRDefault="006C44AE" w:rsidP="00AE16B7">
            <w:pPr>
              <w:rPr>
                <w:rFonts w:cs="Arial"/>
                <w:color w:val="000000" w:themeColor="text1"/>
              </w:rPr>
            </w:pPr>
            <w:r w:rsidRPr="00AE16B7">
              <w:rPr>
                <w:rFonts w:cs="Arial"/>
                <w:color w:val="000000" w:themeColor="text1"/>
              </w:rPr>
              <w:t>PIR</w:t>
            </w:r>
          </w:p>
        </w:tc>
        <w:tc>
          <w:tcPr>
            <w:tcW w:w="1134" w:type="dxa"/>
            <w:shd w:val="clear" w:color="auto" w:fill="auto"/>
          </w:tcPr>
          <w:p w14:paraId="172C8318" w14:textId="77777777" w:rsidR="006C44AE" w:rsidRPr="00AE16B7" w:rsidRDefault="006C44AE" w:rsidP="00AE16B7">
            <w:pPr>
              <w:jc w:val="center"/>
              <w:rPr>
                <w:rFonts w:cs="Arial"/>
                <w:color w:val="000000" w:themeColor="text1"/>
              </w:rPr>
            </w:pPr>
            <w:r w:rsidRPr="00AE16B7">
              <w:rPr>
                <w:rFonts w:cs="Arial"/>
                <w:color w:val="000000" w:themeColor="text1"/>
              </w:rPr>
              <w:t>No</w:t>
            </w:r>
          </w:p>
        </w:tc>
        <w:tc>
          <w:tcPr>
            <w:tcW w:w="3402" w:type="dxa"/>
          </w:tcPr>
          <w:p w14:paraId="21ADE299"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Verbal / Sunrise alert/tag to relevant clinical teams</w:t>
            </w:r>
          </w:p>
          <w:p w14:paraId="26DAD63D" w14:textId="77777777" w:rsidR="006C44AE" w:rsidRPr="00AE16B7" w:rsidRDefault="006C44AE" w:rsidP="00AE16B7">
            <w:pPr>
              <w:rPr>
                <w:rFonts w:cs="Arial"/>
                <w:color w:val="000000" w:themeColor="text1"/>
              </w:rPr>
            </w:pPr>
            <w:r w:rsidRPr="00AE16B7">
              <w:rPr>
                <w:rFonts w:cs="Arial"/>
                <w:color w:val="000000" w:themeColor="text1"/>
              </w:rPr>
              <w:t xml:space="preserve">HO </w:t>
            </w:r>
          </w:p>
          <w:p w14:paraId="3459B93A"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IPCC and Q&amp;SC reports</w:t>
            </w:r>
          </w:p>
          <w:p w14:paraId="7123C274"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Sunrise alert to clinical teams</w:t>
            </w:r>
          </w:p>
          <w:p w14:paraId="03E7DAEC"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IPC ICB</w:t>
            </w:r>
          </w:p>
          <w:p w14:paraId="70C65018" w14:textId="77777777" w:rsidR="006C44AE" w:rsidRPr="00AE16B7" w:rsidRDefault="006C44AE" w:rsidP="00AE16B7">
            <w:pPr>
              <w:pStyle w:val="ListParagraph"/>
              <w:numPr>
                <w:ilvl w:val="0"/>
                <w:numId w:val="49"/>
              </w:numPr>
              <w:rPr>
                <w:rFonts w:cs="Arial"/>
                <w:color w:val="000000" w:themeColor="text1"/>
              </w:rPr>
            </w:pPr>
            <w:r w:rsidRPr="00AE16B7">
              <w:rPr>
                <w:rFonts w:cs="Arial"/>
                <w:color w:val="000000" w:themeColor="text1"/>
              </w:rPr>
              <w:t>IPR performance dashboard</w:t>
            </w:r>
          </w:p>
        </w:tc>
      </w:tr>
      <w:tr w:rsidR="00AE16B7" w:rsidRPr="00AE16B7" w14:paraId="57C25F0E" w14:textId="77777777" w:rsidTr="00AE16B7">
        <w:tc>
          <w:tcPr>
            <w:tcW w:w="1560" w:type="dxa"/>
            <w:shd w:val="clear" w:color="auto" w:fill="DDEEFF"/>
          </w:tcPr>
          <w:p w14:paraId="0BB7559F" w14:textId="1F203C42" w:rsidR="00AE16B7" w:rsidRPr="00AE16B7" w:rsidRDefault="00AE16B7" w:rsidP="00AE16B7">
            <w:pPr>
              <w:rPr>
                <w:rFonts w:cs="Arial"/>
                <w:color w:val="000000" w:themeColor="text1"/>
              </w:rPr>
            </w:pPr>
            <w:r w:rsidRPr="00AE16B7">
              <w:rPr>
                <w:rFonts w:cs="Arial"/>
                <w:b/>
                <w:bCs/>
                <w:color w:val="000000" w:themeColor="text1"/>
              </w:rPr>
              <w:t>Invasive Group A Strep (</w:t>
            </w:r>
            <w:proofErr w:type="spellStart"/>
            <w:r w:rsidRPr="00AE16B7">
              <w:rPr>
                <w:rFonts w:cs="Arial"/>
                <w:b/>
                <w:bCs/>
                <w:color w:val="000000" w:themeColor="text1"/>
              </w:rPr>
              <w:t>iGAS</w:t>
            </w:r>
            <w:proofErr w:type="spellEnd"/>
            <w:r w:rsidRPr="00AE16B7">
              <w:rPr>
                <w:rFonts w:cs="Arial"/>
                <w:b/>
                <w:bCs/>
                <w:color w:val="000000" w:themeColor="text1"/>
              </w:rPr>
              <w:t>)</w:t>
            </w:r>
          </w:p>
        </w:tc>
        <w:tc>
          <w:tcPr>
            <w:tcW w:w="1701" w:type="dxa"/>
          </w:tcPr>
          <w:p w14:paraId="135C5E47" w14:textId="77777777" w:rsidR="00AE16B7" w:rsidRPr="00AE16B7" w:rsidRDefault="00AE16B7" w:rsidP="00AE16B7">
            <w:pPr>
              <w:jc w:val="center"/>
              <w:rPr>
                <w:rFonts w:cs="Arial"/>
                <w:color w:val="000000" w:themeColor="text1"/>
              </w:rPr>
            </w:pPr>
            <w:r w:rsidRPr="00AE16B7">
              <w:rPr>
                <w:rFonts w:cs="Arial"/>
                <w:color w:val="000000" w:themeColor="text1"/>
              </w:rPr>
              <w:t xml:space="preserve">COHA </w:t>
            </w:r>
          </w:p>
        </w:tc>
        <w:tc>
          <w:tcPr>
            <w:tcW w:w="1417" w:type="dxa"/>
          </w:tcPr>
          <w:p w14:paraId="59998606" w14:textId="77777777" w:rsidR="00AE16B7" w:rsidRPr="00AE16B7" w:rsidRDefault="00AE16B7" w:rsidP="00AE16B7">
            <w:pPr>
              <w:jc w:val="center"/>
              <w:rPr>
                <w:rFonts w:cs="Arial"/>
                <w:color w:val="000000" w:themeColor="text1"/>
              </w:rPr>
            </w:pPr>
            <w:r w:rsidRPr="00AE16B7">
              <w:rPr>
                <w:rFonts w:cs="Arial"/>
                <w:color w:val="000000" w:themeColor="text1"/>
              </w:rPr>
              <w:t>UKHSA HCAI DCS</w:t>
            </w:r>
          </w:p>
        </w:tc>
        <w:tc>
          <w:tcPr>
            <w:tcW w:w="1276" w:type="dxa"/>
            <w:shd w:val="clear" w:color="auto" w:fill="92D050"/>
          </w:tcPr>
          <w:p w14:paraId="71B786A1" w14:textId="77777777" w:rsidR="00AE16B7" w:rsidRPr="00AE16B7" w:rsidRDefault="00AE16B7" w:rsidP="00AE16B7">
            <w:pPr>
              <w:jc w:val="center"/>
              <w:rPr>
                <w:rFonts w:cs="Arial"/>
                <w:color w:val="000000" w:themeColor="text1"/>
              </w:rPr>
            </w:pPr>
            <w:r w:rsidRPr="00AE16B7">
              <w:rPr>
                <w:rFonts w:cs="Arial"/>
                <w:color w:val="000000" w:themeColor="text1"/>
              </w:rPr>
              <w:t>Yes</w:t>
            </w:r>
          </w:p>
        </w:tc>
        <w:tc>
          <w:tcPr>
            <w:tcW w:w="1417" w:type="dxa"/>
            <w:shd w:val="clear" w:color="auto" w:fill="92D050"/>
          </w:tcPr>
          <w:p w14:paraId="28B4CCF8" w14:textId="77777777" w:rsidR="00AE16B7" w:rsidRPr="00AE16B7" w:rsidRDefault="00AE16B7" w:rsidP="00AE16B7">
            <w:pPr>
              <w:jc w:val="center"/>
              <w:rPr>
                <w:rFonts w:cs="Arial"/>
                <w:color w:val="000000" w:themeColor="text1"/>
              </w:rPr>
            </w:pPr>
            <w:r w:rsidRPr="00AE16B7">
              <w:rPr>
                <w:rFonts w:cs="Arial"/>
                <w:color w:val="000000" w:themeColor="text1"/>
              </w:rPr>
              <w:t>Yes</w:t>
            </w:r>
          </w:p>
        </w:tc>
        <w:tc>
          <w:tcPr>
            <w:tcW w:w="1985" w:type="dxa"/>
            <w:shd w:val="clear" w:color="auto" w:fill="auto"/>
          </w:tcPr>
          <w:p w14:paraId="3B2810F3"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 xml:space="preserve">PIR </w:t>
            </w:r>
          </w:p>
          <w:p w14:paraId="0B1EFF5D"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Support ICB with investigation</w:t>
            </w:r>
          </w:p>
        </w:tc>
        <w:tc>
          <w:tcPr>
            <w:tcW w:w="1134" w:type="dxa"/>
            <w:shd w:val="clear" w:color="auto" w:fill="auto"/>
          </w:tcPr>
          <w:p w14:paraId="3F375865"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3402" w:type="dxa"/>
          </w:tcPr>
          <w:p w14:paraId="4946EAB7"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Verbal / Sunrise alert/tag to relevant clinical teams</w:t>
            </w:r>
          </w:p>
          <w:p w14:paraId="40A74805" w14:textId="77777777" w:rsidR="00AE16B7" w:rsidRPr="00AE16B7" w:rsidRDefault="00AE16B7" w:rsidP="00AE16B7">
            <w:pPr>
              <w:rPr>
                <w:rFonts w:cs="Arial"/>
                <w:color w:val="000000" w:themeColor="text1"/>
              </w:rPr>
            </w:pPr>
            <w:r w:rsidRPr="00AE16B7">
              <w:rPr>
                <w:rFonts w:cs="Arial"/>
                <w:color w:val="000000" w:themeColor="text1"/>
              </w:rPr>
              <w:t xml:space="preserve">HO </w:t>
            </w:r>
          </w:p>
          <w:p w14:paraId="6C82C3FA"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IPCC and Q&amp;SC reports</w:t>
            </w:r>
          </w:p>
          <w:p w14:paraId="6FA537B1"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Sunrise alert to clinical teams</w:t>
            </w:r>
          </w:p>
          <w:p w14:paraId="30567478"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 ICB</w:t>
            </w:r>
          </w:p>
          <w:p w14:paraId="7FBEDA1C"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IPR performance dashboard</w:t>
            </w:r>
          </w:p>
        </w:tc>
      </w:tr>
      <w:tr w:rsidR="00AE16B7" w:rsidRPr="00AE16B7" w14:paraId="357CA6EE" w14:textId="77777777" w:rsidTr="00AE16B7">
        <w:trPr>
          <w:trHeight w:val="624"/>
        </w:trPr>
        <w:tc>
          <w:tcPr>
            <w:tcW w:w="1560" w:type="dxa"/>
            <w:shd w:val="clear" w:color="auto" w:fill="DDEEFF"/>
          </w:tcPr>
          <w:p w14:paraId="56C571BA" w14:textId="095CFC89" w:rsidR="00AE16B7" w:rsidRPr="00AE16B7" w:rsidRDefault="00AE16B7" w:rsidP="00AE16B7">
            <w:pPr>
              <w:rPr>
                <w:rFonts w:cs="Arial"/>
                <w:color w:val="000000" w:themeColor="text1"/>
              </w:rPr>
            </w:pPr>
            <w:r w:rsidRPr="00AE16B7">
              <w:rPr>
                <w:rFonts w:cs="Arial"/>
                <w:b/>
                <w:bCs/>
                <w:color w:val="000000" w:themeColor="text1"/>
              </w:rPr>
              <w:t>Invasive Group A Strep (</w:t>
            </w:r>
            <w:proofErr w:type="spellStart"/>
            <w:r w:rsidRPr="00AE16B7">
              <w:rPr>
                <w:rFonts w:cs="Arial"/>
                <w:b/>
                <w:bCs/>
                <w:color w:val="000000" w:themeColor="text1"/>
              </w:rPr>
              <w:t>iGAS</w:t>
            </w:r>
            <w:proofErr w:type="spellEnd"/>
            <w:r w:rsidRPr="00AE16B7">
              <w:rPr>
                <w:rFonts w:cs="Arial"/>
                <w:b/>
                <w:bCs/>
                <w:color w:val="000000" w:themeColor="text1"/>
              </w:rPr>
              <w:t>)</w:t>
            </w:r>
          </w:p>
        </w:tc>
        <w:tc>
          <w:tcPr>
            <w:tcW w:w="1701" w:type="dxa"/>
          </w:tcPr>
          <w:p w14:paraId="6FA8DE02" w14:textId="77777777" w:rsidR="00AE16B7" w:rsidRPr="00AE16B7" w:rsidRDefault="00AE16B7" w:rsidP="00AE16B7">
            <w:pPr>
              <w:jc w:val="center"/>
              <w:rPr>
                <w:rFonts w:cs="Arial"/>
                <w:color w:val="000000" w:themeColor="text1"/>
              </w:rPr>
            </w:pPr>
            <w:r w:rsidRPr="00AE16B7">
              <w:rPr>
                <w:rFonts w:cs="Arial"/>
                <w:color w:val="000000" w:themeColor="text1"/>
              </w:rPr>
              <w:t xml:space="preserve">COCA </w:t>
            </w:r>
          </w:p>
          <w:p w14:paraId="3C59F314" w14:textId="77777777" w:rsidR="00AE16B7" w:rsidRPr="00AE16B7" w:rsidRDefault="00AE16B7" w:rsidP="00AE16B7">
            <w:pPr>
              <w:jc w:val="center"/>
              <w:rPr>
                <w:rFonts w:cs="Arial"/>
                <w:color w:val="000000" w:themeColor="text1"/>
              </w:rPr>
            </w:pPr>
            <w:r w:rsidRPr="00AE16B7">
              <w:rPr>
                <w:rFonts w:cs="Arial"/>
                <w:color w:val="000000" w:themeColor="text1"/>
              </w:rPr>
              <w:t xml:space="preserve">COIA </w:t>
            </w:r>
          </w:p>
        </w:tc>
        <w:tc>
          <w:tcPr>
            <w:tcW w:w="1417" w:type="dxa"/>
          </w:tcPr>
          <w:p w14:paraId="61CF25F3" w14:textId="77777777" w:rsidR="00AE16B7" w:rsidRPr="00AE16B7" w:rsidRDefault="00AE16B7" w:rsidP="00AE16B7">
            <w:pPr>
              <w:jc w:val="center"/>
              <w:rPr>
                <w:rFonts w:cs="Arial"/>
                <w:color w:val="000000" w:themeColor="text1"/>
              </w:rPr>
            </w:pPr>
            <w:r w:rsidRPr="00AE16B7">
              <w:rPr>
                <w:rFonts w:cs="Arial"/>
                <w:color w:val="000000" w:themeColor="text1"/>
              </w:rPr>
              <w:t>UKHSA HCAI DCS</w:t>
            </w:r>
          </w:p>
        </w:tc>
        <w:tc>
          <w:tcPr>
            <w:tcW w:w="1276" w:type="dxa"/>
            <w:shd w:val="clear" w:color="auto" w:fill="auto"/>
          </w:tcPr>
          <w:p w14:paraId="62EFB364"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1417" w:type="dxa"/>
            <w:shd w:val="clear" w:color="auto" w:fill="auto"/>
          </w:tcPr>
          <w:p w14:paraId="20C1F48C"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1985" w:type="dxa"/>
            <w:shd w:val="clear" w:color="auto" w:fill="auto"/>
          </w:tcPr>
          <w:p w14:paraId="4BCF63F1" w14:textId="77777777" w:rsidR="00AE16B7" w:rsidRPr="00AE16B7" w:rsidRDefault="00AE16B7" w:rsidP="00AE16B7">
            <w:pPr>
              <w:rPr>
                <w:rFonts w:cs="Arial"/>
                <w:color w:val="000000" w:themeColor="text1"/>
              </w:rPr>
            </w:pPr>
            <w:r w:rsidRPr="00AE16B7">
              <w:rPr>
                <w:rFonts w:cs="Arial"/>
                <w:color w:val="000000" w:themeColor="text1"/>
              </w:rPr>
              <w:t>Support ICB with investigation</w:t>
            </w:r>
          </w:p>
        </w:tc>
        <w:tc>
          <w:tcPr>
            <w:tcW w:w="1134" w:type="dxa"/>
            <w:shd w:val="clear" w:color="auto" w:fill="auto"/>
          </w:tcPr>
          <w:p w14:paraId="6E3A0085"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3402" w:type="dxa"/>
          </w:tcPr>
          <w:p w14:paraId="4232E4B4" w14:textId="77777777" w:rsidR="00AE16B7" w:rsidRPr="00AE16B7" w:rsidRDefault="00AE16B7" w:rsidP="00AE16B7">
            <w:pPr>
              <w:rPr>
                <w:rFonts w:cs="Arial"/>
                <w:color w:val="000000" w:themeColor="text1"/>
              </w:rPr>
            </w:pPr>
          </w:p>
        </w:tc>
      </w:tr>
      <w:tr w:rsidR="00AE16B7" w:rsidRPr="00AE16B7" w14:paraId="6EDB27BE" w14:textId="77777777" w:rsidTr="00AE16B7">
        <w:tc>
          <w:tcPr>
            <w:tcW w:w="1560" w:type="dxa"/>
            <w:shd w:val="clear" w:color="auto" w:fill="DDEEFF"/>
          </w:tcPr>
          <w:p w14:paraId="0A1CD4A0" w14:textId="77777777" w:rsidR="00AE16B7" w:rsidRPr="00AE16B7" w:rsidRDefault="00AE16B7" w:rsidP="00AE16B7">
            <w:pPr>
              <w:rPr>
                <w:rFonts w:cs="Arial"/>
                <w:b/>
                <w:bCs/>
                <w:color w:val="000000" w:themeColor="text1"/>
              </w:rPr>
            </w:pPr>
            <w:r w:rsidRPr="00AE16B7">
              <w:rPr>
                <w:rFonts w:cs="Arial"/>
                <w:b/>
                <w:bCs/>
                <w:color w:val="000000" w:themeColor="text1"/>
              </w:rPr>
              <w:t>Gram Negative Blood Stream Infection:</w:t>
            </w:r>
          </w:p>
          <w:p w14:paraId="50B256F1" w14:textId="155CA31B" w:rsidR="00AE16B7" w:rsidRPr="00AE16B7" w:rsidRDefault="00AE16B7" w:rsidP="00AE16B7">
            <w:pPr>
              <w:rPr>
                <w:rFonts w:cs="Arial"/>
                <w:color w:val="000000" w:themeColor="text1"/>
              </w:rPr>
            </w:pPr>
            <w:r w:rsidRPr="00AE16B7">
              <w:rPr>
                <w:rFonts w:cs="Arial"/>
                <w:color w:val="000000" w:themeColor="text1"/>
              </w:rPr>
              <w:t xml:space="preserve">Inc </w:t>
            </w:r>
            <w:r w:rsidRPr="00AE16B7">
              <w:rPr>
                <w:rFonts w:cs="Arial"/>
                <w:i/>
                <w:iCs/>
                <w:color w:val="000000" w:themeColor="text1"/>
              </w:rPr>
              <w:t xml:space="preserve">E.coli, Pseudomonas aeruginosa </w:t>
            </w:r>
            <w:r w:rsidRPr="00AE16B7">
              <w:rPr>
                <w:rFonts w:cs="Arial"/>
                <w:color w:val="000000" w:themeColor="text1"/>
              </w:rPr>
              <w:t>and</w:t>
            </w:r>
            <w:r w:rsidRPr="00AE16B7">
              <w:rPr>
                <w:rFonts w:cs="Arial"/>
                <w:i/>
                <w:iCs/>
                <w:color w:val="000000" w:themeColor="text1"/>
              </w:rPr>
              <w:t xml:space="preserve"> Klebsiella sp</w:t>
            </w:r>
            <w:r w:rsidRPr="00AE16B7">
              <w:rPr>
                <w:rFonts w:cs="Arial"/>
                <w:color w:val="000000" w:themeColor="text1"/>
              </w:rPr>
              <w:t>.</w:t>
            </w:r>
          </w:p>
        </w:tc>
        <w:tc>
          <w:tcPr>
            <w:tcW w:w="1701" w:type="dxa"/>
          </w:tcPr>
          <w:p w14:paraId="64BE3563" w14:textId="77777777" w:rsidR="00AE16B7" w:rsidRPr="00AE16B7" w:rsidRDefault="00AE16B7" w:rsidP="00AE16B7">
            <w:pPr>
              <w:jc w:val="center"/>
              <w:rPr>
                <w:rFonts w:cs="Arial"/>
                <w:color w:val="000000" w:themeColor="text1"/>
              </w:rPr>
            </w:pPr>
            <w:r w:rsidRPr="00AE16B7">
              <w:rPr>
                <w:rFonts w:cs="Arial"/>
                <w:color w:val="000000" w:themeColor="text1"/>
              </w:rPr>
              <w:t xml:space="preserve">HOHA </w:t>
            </w:r>
          </w:p>
          <w:p w14:paraId="70130EFF" w14:textId="77777777" w:rsidR="00AE16B7" w:rsidRPr="00AE16B7" w:rsidRDefault="00AE16B7" w:rsidP="00AE16B7">
            <w:pPr>
              <w:jc w:val="center"/>
              <w:rPr>
                <w:rFonts w:cs="Arial"/>
                <w:color w:val="000000" w:themeColor="text1"/>
              </w:rPr>
            </w:pPr>
            <w:r w:rsidRPr="00AE16B7">
              <w:rPr>
                <w:rFonts w:cs="Arial"/>
                <w:color w:val="000000" w:themeColor="text1"/>
              </w:rPr>
              <w:t>COHA</w:t>
            </w:r>
          </w:p>
          <w:p w14:paraId="26334C64" w14:textId="77777777" w:rsidR="00AE16B7" w:rsidRPr="00AE16B7" w:rsidRDefault="00AE16B7" w:rsidP="00AE16B7">
            <w:pPr>
              <w:jc w:val="center"/>
              <w:rPr>
                <w:rFonts w:cs="Arial"/>
                <w:color w:val="000000" w:themeColor="text1"/>
              </w:rPr>
            </w:pPr>
          </w:p>
        </w:tc>
        <w:tc>
          <w:tcPr>
            <w:tcW w:w="1417" w:type="dxa"/>
          </w:tcPr>
          <w:p w14:paraId="190666A2" w14:textId="77777777" w:rsidR="00AE16B7" w:rsidRPr="00AE16B7" w:rsidRDefault="00AE16B7" w:rsidP="00AE16B7">
            <w:pPr>
              <w:jc w:val="center"/>
              <w:rPr>
                <w:rFonts w:cs="Arial"/>
                <w:color w:val="000000" w:themeColor="text1"/>
              </w:rPr>
            </w:pPr>
            <w:r w:rsidRPr="00AE16B7">
              <w:rPr>
                <w:rFonts w:cs="Arial"/>
                <w:color w:val="000000" w:themeColor="text1"/>
              </w:rPr>
              <w:t>UKHSA HCAI DCS</w:t>
            </w:r>
          </w:p>
        </w:tc>
        <w:tc>
          <w:tcPr>
            <w:tcW w:w="1276" w:type="dxa"/>
            <w:shd w:val="clear" w:color="auto" w:fill="auto"/>
          </w:tcPr>
          <w:p w14:paraId="259C0136" w14:textId="77777777" w:rsidR="00AE16B7" w:rsidRPr="00AE16B7" w:rsidRDefault="00AE16B7" w:rsidP="00AE16B7">
            <w:pPr>
              <w:jc w:val="center"/>
              <w:rPr>
                <w:rFonts w:cs="Arial"/>
                <w:color w:val="000000" w:themeColor="text1"/>
              </w:rPr>
            </w:pPr>
            <w:r w:rsidRPr="00AE16B7">
              <w:rPr>
                <w:rFonts w:cs="Arial"/>
                <w:color w:val="000000" w:themeColor="text1"/>
              </w:rPr>
              <w:t>No</w:t>
            </w:r>
          </w:p>
          <w:p w14:paraId="6CE73C79" w14:textId="77777777" w:rsidR="00AE16B7" w:rsidRPr="00AE16B7" w:rsidRDefault="00AE16B7" w:rsidP="00AE16B7">
            <w:pPr>
              <w:jc w:val="center"/>
              <w:rPr>
                <w:rFonts w:cs="Arial"/>
                <w:color w:val="000000" w:themeColor="text1"/>
              </w:rPr>
            </w:pPr>
            <w:r w:rsidRPr="00AE16B7">
              <w:rPr>
                <w:rFonts w:cs="Arial"/>
                <w:color w:val="000000" w:themeColor="text1"/>
              </w:rPr>
              <w:t>(2 or more linked cases see outbreak)</w:t>
            </w:r>
          </w:p>
        </w:tc>
        <w:tc>
          <w:tcPr>
            <w:tcW w:w="1417" w:type="dxa"/>
            <w:shd w:val="clear" w:color="auto" w:fill="92D050"/>
          </w:tcPr>
          <w:p w14:paraId="7E07CF36" w14:textId="77777777" w:rsidR="00AE16B7" w:rsidRPr="00AE16B7" w:rsidRDefault="00AE16B7" w:rsidP="00AE16B7">
            <w:pPr>
              <w:jc w:val="center"/>
              <w:rPr>
                <w:rFonts w:cs="Arial"/>
                <w:color w:val="000000" w:themeColor="text1"/>
              </w:rPr>
            </w:pPr>
            <w:r w:rsidRPr="00AE16B7">
              <w:rPr>
                <w:rFonts w:cs="Arial"/>
                <w:color w:val="000000" w:themeColor="text1"/>
              </w:rPr>
              <w:t>Yes</w:t>
            </w:r>
          </w:p>
        </w:tc>
        <w:tc>
          <w:tcPr>
            <w:tcW w:w="1985" w:type="dxa"/>
            <w:shd w:val="clear" w:color="auto" w:fill="auto"/>
          </w:tcPr>
          <w:p w14:paraId="0CA54222" w14:textId="77777777" w:rsidR="00AE16B7" w:rsidRPr="00AE16B7" w:rsidRDefault="00AE16B7" w:rsidP="00AE16B7">
            <w:pPr>
              <w:rPr>
                <w:rFonts w:cs="Arial"/>
                <w:color w:val="000000" w:themeColor="text1"/>
              </w:rPr>
            </w:pPr>
            <w:r w:rsidRPr="00AE16B7">
              <w:rPr>
                <w:rFonts w:cs="Arial"/>
                <w:color w:val="000000" w:themeColor="text1"/>
              </w:rPr>
              <w:t>PIR</w:t>
            </w:r>
          </w:p>
        </w:tc>
        <w:tc>
          <w:tcPr>
            <w:tcW w:w="1134" w:type="dxa"/>
            <w:shd w:val="clear" w:color="auto" w:fill="auto"/>
          </w:tcPr>
          <w:p w14:paraId="3AE6BB0A"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3402" w:type="dxa"/>
          </w:tcPr>
          <w:p w14:paraId="40A23A50"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IPCC and Q&amp;SC reports</w:t>
            </w:r>
          </w:p>
          <w:p w14:paraId="2AA3D413"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PIIs and outbreaks to IPC ICB</w:t>
            </w:r>
          </w:p>
          <w:p w14:paraId="6A0B9B8A"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IPR reporting</w:t>
            </w:r>
          </w:p>
          <w:p w14:paraId="5A5AF7A4"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Verbal alert to teams, follow up email alert to clinical teams</w:t>
            </w:r>
          </w:p>
        </w:tc>
      </w:tr>
      <w:tr w:rsidR="00AE16B7" w:rsidRPr="00AE16B7" w14:paraId="2E2D5C97" w14:textId="77777777" w:rsidTr="00AE16B7">
        <w:tc>
          <w:tcPr>
            <w:tcW w:w="1560" w:type="dxa"/>
            <w:shd w:val="clear" w:color="auto" w:fill="DDEEFF"/>
          </w:tcPr>
          <w:p w14:paraId="749BA2A4" w14:textId="77777777" w:rsidR="00AE16B7" w:rsidRPr="00AE16B7" w:rsidRDefault="00AE16B7" w:rsidP="00AE16B7">
            <w:pPr>
              <w:rPr>
                <w:rFonts w:cs="Arial"/>
                <w:b/>
                <w:bCs/>
                <w:color w:val="000000" w:themeColor="text1"/>
              </w:rPr>
            </w:pPr>
            <w:r w:rsidRPr="00AE16B7">
              <w:rPr>
                <w:rFonts w:cs="Arial"/>
                <w:b/>
                <w:bCs/>
                <w:color w:val="000000" w:themeColor="text1"/>
              </w:rPr>
              <w:lastRenderedPageBreak/>
              <w:t>Gram Negative Blood Stream Infection:</w:t>
            </w:r>
          </w:p>
          <w:p w14:paraId="689083B4" w14:textId="5C97F89C" w:rsidR="00AE16B7" w:rsidRPr="00AE16B7" w:rsidRDefault="00AE16B7" w:rsidP="00AE16B7">
            <w:pPr>
              <w:rPr>
                <w:rFonts w:cs="Arial"/>
                <w:color w:val="000000" w:themeColor="text1"/>
              </w:rPr>
            </w:pPr>
            <w:r w:rsidRPr="00AE16B7">
              <w:rPr>
                <w:rFonts w:cs="Arial"/>
                <w:color w:val="000000" w:themeColor="text1"/>
              </w:rPr>
              <w:t xml:space="preserve">Inc </w:t>
            </w:r>
            <w:r w:rsidRPr="00AE16B7">
              <w:rPr>
                <w:rFonts w:cs="Arial"/>
                <w:i/>
                <w:iCs/>
                <w:color w:val="000000" w:themeColor="text1"/>
              </w:rPr>
              <w:t xml:space="preserve">E.coli, Pseudomonas aeruginosa </w:t>
            </w:r>
            <w:r w:rsidRPr="00AE16B7">
              <w:rPr>
                <w:rFonts w:cs="Arial"/>
                <w:color w:val="000000" w:themeColor="text1"/>
              </w:rPr>
              <w:t>and</w:t>
            </w:r>
            <w:r w:rsidRPr="00AE16B7">
              <w:rPr>
                <w:rFonts w:cs="Arial"/>
                <w:i/>
                <w:iCs/>
                <w:color w:val="000000" w:themeColor="text1"/>
              </w:rPr>
              <w:t xml:space="preserve"> Klebsiella sp</w:t>
            </w:r>
            <w:r w:rsidRPr="00AE16B7">
              <w:rPr>
                <w:rFonts w:cs="Arial"/>
                <w:color w:val="000000" w:themeColor="text1"/>
              </w:rPr>
              <w:t>.</w:t>
            </w:r>
          </w:p>
        </w:tc>
        <w:tc>
          <w:tcPr>
            <w:tcW w:w="1701" w:type="dxa"/>
          </w:tcPr>
          <w:p w14:paraId="0B198EF3" w14:textId="77777777" w:rsidR="00AE16B7" w:rsidRPr="00AE16B7" w:rsidRDefault="00AE16B7" w:rsidP="00AE16B7">
            <w:pPr>
              <w:jc w:val="center"/>
              <w:rPr>
                <w:rFonts w:cs="Arial"/>
                <w:color w:val="000000" w:themeColor="text1"/>
              </w:rPr>
            </w:pPr>
            <w:r w:rsidRPr="00AE16B7">
              <w:rPr>
                <w:rFonts w:cs="Arial"/>
                <w:color w:val="000000" w:themeColor="text1"/>
              </w:rPr>
              <w:t xml:space="preserve">COCA </w:t>
            </w:r>
          </w:p>
          <w:p w14:paraId="6E8DABBC" w14:textId="77777777" w:rsidR="00AE16B7" w:rsidRPr="00AE16B7" w:rsidRDefault="00AE16B7" w:rsidP="00AE16B7">
            <w:pPr>
              <w:jc w:val="center"/>
              <w:rPr>
                <w:rFonts w:cs="Arial"/>
                <w:color w:val="000000" w:themeColor="text1"/>
              </w:rPr>
            </w:pPr>
            <w:r w:rsidRPr="00AE16B7">
              <w:rPr>
                <w:rFonts w:cs="Arial"/>
                <w:color w:val="000000" w:themeColor="text1"/>
              </w:rPr>
              <w:t>COIA</w:t>
            </w:r>
          </w:p>
        </w:tc>
        <w:tc>
          <w:tcPr>
            <w:tcW w:w="1417" w:type="dxa"/>
          </w:tcPr>
          <w:p w14:paraId="4C02329F" w14:textId="77777777" w:rsidR="00AE16B7" w:rsidRPr="00AE16B7" w:rsidRDefault="00AE16B7" w:rsidP="00AE16B7">
            <w:pPr>
              <w:jc w:val="center"/>
              <w:rPr>
                <w:rFonts w:cs="Arial"/>
                <w:color w:val="000000" w:themeColor="text1"/>
              </w:rPr>
            </w:pPr>
            <w:r w:rsidRPr="00AE16B7">
              <w:rPr>
                <w:rFonts w:cs="Arial"/>
                <w:color w:val="000000" w:themeColor="text1"/>
              </w:rPr>
              <w:t>UKHSA HCAI DCS</w:t>
            </w:r>
          </w:p>
        </w:tc>
        <w:tc>
          <w:tcPr>
            <w:tcW w:w="1276" w:type="dxa"/>
            <w:shd w:val="clear" w:color="auto" w:fill="auto"/>
          </w:tcPr>
          <w:p w14:paraId="0B5CEA30"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1417" w:type="dxa"/>
            <w:shd w:val="clear" w:color="auto" w:fill="auto"/>
          </w:tcPr>
          <w:p w14:paraId="0690E08C"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1985" w:type="dxa"/>
            <w:shd w:val="clear" w:color="auto" w:fill="auto"/>
          </w:tcPr>
          <w:p w14:paraId="7F031BAB" w14:textId="77777777" w:rsidR="00AE16B7" w:rsidRPr="00AE16B7" w:rsidRDefault="00AE16B7" w:rsidP="00AE16B7">
            <w:pPr>
              <w:rPr>
                <w:rFonts w:cs="Arial"/>
                <w:color w:val="000000" w:themeColor="text1"/>
              </w:rPr>
            </w:pPr>
            <w:r w:rsidRPr="00AE16B7">
              <w:rPr>
                <w:rFonts w:cs="Arial"/>
                <w:color w:val="000000" w:themeColor="text1"/>
              </w:rPr>
              <w:t>Support ICB / community with their investigation</w:t>
            </w:r>
          </w:p>
        </w:tc>
        <w:tc>
          <w:tcPr>
            <w:tcW w:w="1134" w:type="dxa"/>
            <w:shd w:val="clear" w:color="auto" w:fill="auto"/>
          </w:tcPr>
          <w:p w14:paraId="354973E5" w14:textId="77777777" w:rsidR="00AE16B7" w:rsidRPr="00AE16B7" w:rsidRDefault="00AE16B7" w:rsidP="00AE16B7">
            <w:pPr>
              <w:jc w:val="center"/>
              <w:rPr>
                <w:rFonts w:cs="Arial"/>
                <w:color w:val="000000" w:themeColor="text1"/>
              </w:rPr>
            </w:pPr>
            <w:r w:rsidRPr="00AE16B7">
              <w:rPr>
                <w:rFonts w:cs="Arial"/>
                <w:color w:val="000000" w:themeColor="text1"/>
              </w:rPr>
              <w:t>No</w:t>
            </w:r>
          </w:p>
        </w:tc>
        <w:tc>
          <w:tcPr>
            <w:tcW w:w="3402" w:type="dxa"/>
          </w:tcPr>
          <w:p w14:paraId="5DEFECEF" w14:textId="77777777" w:rsidR="00AE16B7" w:rsidRPr="00AE16B7" w:rsidRDefault="00AE16B7" w:rsidP="00AE16B7">
            <w:pPr>
              <w:ind w:left="360"/>
              <w:rPr>
                <w:rFonts w:cs="Arial"/>
                <w:color w:val="000000" w:themeColor="text1"/>
              </w:rPr>
            </w:pPr>
          </w:p>
          <w:p w14:paraId="5861775F" w14:textId="77777777" w:rsidR="00AE16B7" w:rsidRPr="00AE16B7" w:rsidRDefault="00AE16B7" w:rsidP="00AE16B7">
            <w:pPr>
              <w:rPr>
                <w:rFonts w:cs="Arial"/>
                <w:color w:val="000000" w:themeColor="text1"/>
              </w:rPr>
            </w:pPr>
          </w:p>
        </w:tc>
      </w:tr>
      <w:tr w:rsidR="00AE16B7" w:rsidRPr="00AE16B7" w14:paraId="05521EF2" w14:textId="77777777" w:rsidTr="00AE16B7">
        <w:tc>
          <w:tcPr>
            <w:tcW w:w="1560" w:type="dxa"/>
            <w:shd w:val="clear" w:color="auto" w:fill="DDEEFF"/>
          </w:tcPr>
          <w:p w14:paraId="1D45E7F9" w14:textId="77777777" w:rsidR="00AE16B7" w:rsidRPr="00AE16B7" w:rsidRDefault="00AE16B7" w:rsidP="00AE16B7">
            <w:pPr>
              <w:rPr>
                <w:rFonts w:cs="Arial"/>
              </w:rPr>
            </w:pPr>
            <w:r w:rsidRPr="00AE16B7">
              <w:rPr>
                <w:rFonts w:cs="Arial"/>
                <w:b/>
                <w:bCs/>
              </w:rPr>
              <w:t>MRSA</w:t>
            </w:r>
            <w:r w:rsidRPr="00AE16B7">
              <w:rPr>
                <w:rFonts w:cs="Arial"/>
              </w:rPr>
              <w:t xml:space="preserve"> bacteraemia</w:t>
            </w:r>
          </w:p>
        </w:tc>
        <w:tc>
          <w:tcPr>
            <w:tcW w:w="1701" w:type="dxa"/>
          </w:tcPr>
          <w:p w14:paraId="1DE0EA24" w14:textId="77777777" w:rsidR="00AE16B7" w:rsidRPr="00AE16B7" w:rsidRDefault="00AE16B7" w:rsidP="00AE16B7">
            <w:pPr>
              <w:jc w:val="center"/>
              <w:rPr>
                <w:rFonts w:cs="Arial"/>
              </w:rPr>
            </w:pPr>
            <w:r w:rsidRPr="00AE16B7">
              <w:rPr>
                <w:rFonts w:cs="Arial"/>
              </w:rPr>
              <w:t>HOHA</w:t>
            </w:r>
          </w:p>
          <w:p w14:paraId="588320C6" w14:textId="77777777" w:rsidR="00AE16B7" w:rsidRPr="00AE16B7" w:rsidRDefault="00AE16B7" w:rsidP="00AE16B7">
            <w:pPr>
              <w:jc w:val="center"/>
              <w:rPr>
                <w:rFonts w:cs="Arial"/>
              </w:rPr>
            </w:pPr>
            <w:r w:rsidRPr="00AE16B7">
              <w:rPr>
                <w:rFonts w:cs="Arial"/>
              </w:rPr>
              <w:t>COHA</w:t>
            </w:r>
          </w:p>
          <w:p w14:paraId="398D2086" w14:textId="77777777" w:rsidR="00AE16B7" w:rsidRPr="00AE16B7" w:rsidRDefault="00AE16B7" w:rsidP="00AE16B7">
            <w:pPr>
              <w:jc w:val="center"/>
              <w:rPr>
                <w:rFonts w:cs="Arial"/>
              </w:rPr>
            </w:pPr>
          </w:p>
        </w:tc>
        <w:tc>
          <w:tcPr>
            <w:tcW w:w="1417" w:type="dxa"/>
          </w:tcPr>
          <w:p w14:paraId="7625914A" w14:textId="77777777" w:rsidR="00AE16B7" w:rsidRPr="00AE16B7" w:rsidRDefault="00AE16B7" w:rsidP="00AE16B7">
            <w:pPr>
              <w:jc w:val="center"/>
              <w:rPr>
                <w:rFonts w:cs="Arial"/>
              </w:rPr>
            </w:pPr>
            <w:r w:rsidRPr="00AE16B7">
              <w:rPr>
                <w:rFonts w:cs="Arial"/>
              </w:rPr>
              <w:t>UKHSA HCAI DCS</w:t>
            </w:r>
          </w:p>
        </w:tc>
        <w:tc>
          <w:tcPr>
            <w:tcW w:w="1276" w:type="dxa"/>
            <w:shd w:val="clear" w:color="auto" w:fill="92D050"/>
          </w:tcPr>
          <w:p w14:paraId="1A43B135" w14:textId="77777777" w:rsidR="00AE16B7" w:rsidRPr="00AE16B7" w:rsidRDefault="00AE16B7" w:rsidP="00AE16B7">
            <w:pPr>
              <w:jc w:val="center"/>
              <w:rPr>
                <w:rFonts w:cs="Arial"/>
              </w:rPr>
            </w:pPr>
            <w:r w:rsidRPr="00AE16B7">
              <w:rPr>
                <w:rFonts w:cs="Arial"/>
              </w:rPr>
              <w:t>Yes</w:t>
            </w:r>
          </w:p>
        </w:tc>
        <w:tc>
          <w:tcPr>
            <w:tcW w:w="1417" w:type="dxa"/>
            <w:shd w:val="clear" w:color="auto" w:fill="92D050"/>
          </w:tcPr>
          <w:p w14:paraId="31F1F255" w14:textId="77777777" w:rsidR="00AE16B7" w:rsidRPr="00AE16B7" w:rsidRDefault="00AE16B7" w:rsidP="00AE16B7">
            <w:pPr>
              <w:jc w:val="center"/>
              <w:rPr>
                <w:rFonts w:cs="Arial"/>
              </w:rPr>
            </w:pPr>
            <w:r w:rsidRPr="00AE16B7">
              <w:rPr>
                <w:rFonts w:cs="Arial"/>
              </w:rPr>
              <w:t>Yes</w:t>
            </w:r>
          </w:p>
        </w:tc>
        <w:tc>
          <w:tcPr>
            <w:tcW w:w="1985" w:type="dxa"/>
          </w:tcPr>
          <w:p w14:paraId="29EA6393" w14:textId="77777777" w:rsidR="00AE16B7" w:rsidRPr="00AE16B7" w:rsidRDefault="00AE16B7" w:rsidP="00AE16B7">
            <w:pPr>
              <w:rPr>
                <w:rFonts w:cs="Arial"/>
              </w:rPr>
            </w:pPr>
            <w:r w:rsidRPr="00AE16B7">
              <w:rPr>
                <w:rFonts w:cs="Arial"/>
              </w:rPr>
              <w:t>PIR (within 7 days)</w:t>
            </w:r>
          </w:p>
          <w:p w14:paraId="1FFAB6D3" w14:textId="77777777" w:rsidR="00AE16B7" w:rsidRPr="00AE16B7" w:rsidRDefault="00AE16B7" w:rsidP="00AE16B7">
            <w:pPr>
              <w:pStyle w:val="ListParagraph"/>
              <w:ind w:left="176"/>
              <w:rPr>
                <w:rFonts w:cs="Arial"/>
              </w:rPr>
            </w:pPr>
          </w:p>
          <w:p w14:paraId="70448DDF" w14:textId="77777777" w:rsidR="00AE16B7" w:rsidRPr="00AE16B7" w:rsidRDefault="00AE16B7" w:rsidP="00AE16B7">
            <w:pPr>
              <w:rPr>
                <w:rFonts w:cs="Arial"/>
              </w:rPr>
            </w:pPr>
            <w:r w:rsidRPr="00AE16B7">
              <w:rPr>
                <w:rFonts w:cs="Arial"/>
              </w:rPr>
              <w:t>Red flags escalation to Patient safety and PSIRF review</w:t>
            </w:r>
          </w:p>
          <w:p w14:paraId="1103A052" w14:textId="77777777" w:rsidR="00AE16B7" w:rsidRPr="00AE16B7" w:rsidRDefault="00AE16B7" w:rsidP="00AE16B7">
            <w:pPr>
              <w:pStyle w:val="ListParagraph"/>
              <w:rPr>
                <w:rFonts w:cs="Arial"/>
              </w:rPr>
            </w:pPr>
          </w:p>
          <w:p w14:paraId="532A2A74" w14:textId="77777777" w:rsidR="00AE16B7" w:rsidRPr="00AE16B7" w:rsidRDefault="00AE16B7" w:rsidP="00AE16B7">
            <w:pPr>
              <w:rPr>
                <w:rFonts w:cs="Arial"/>
              </w:rPr>
            </w:pPr>
          </w:p>
        </w:tc>
        <w:tc>
          <w:tcPr>
            <w:tcW w:w="1134" w:type="dxa"/>
            <w:shd w:val="clear" w:color="auto" w:fill="auto"/>
          </w:tcPr>
          <w:p w14:paraId="13AB749E" w14:textId="77777777" w:rsidR="00AE16B7" w:rsidRPr="00AE16B7" w:rsidRDefault="00AE16B7" w:rsidP="00AE16B7">
            <w:pPr>
              <w:jc w:val="center"/>
              <w:rPr>
                <w:rFonts w:cs="Arial"/>
              </w:rPr>
            </w:pPr>
            <w:r w:rsidRPr="00AE16B7">
              <w:rPr>
                <w:rFonts w:cs="Arial"/>
              </w:rPr>
              <w:t>No</w:t>
            </w:r>
          </w:p>
        </w:tc>
        <w:tc>
          <w:tcPr>
            <w:tcW w:w="3402" w:type="dxa"/>
          </w:tcPr>
          <w:p w14:paraId="33A58806"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IPCC and QSC</w:t>
            </w:r>
          </w:p>
          <w:p w14:paraId="7060119D"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PIIs and outbreaks to ICB</w:t>
            </w:r>
          </w:p>
          <w:p w14:paraId="3090A028"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IPR reporting</w:t>
            </w:r>
          </w:p>
          <w:p w14:paraId="375CFC91"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Verbal alert to teams, follow up email alert to clinical teams</w:t>
            </w:r>
          </w:p>
        </w:tc>
      </w:tr>
      <w:tr w:rsidR="00AE16B7" w:rsidRPr="00AE16B7" w14:paraId="6E6E6000" w14:textId="77777777" w:rsidTr="00AE16B7">
        <w:trPr>
          <w:trHeight w:val="365"/>
        </w:trPr>
        <w:tc>
          <w:tcPr>
            <w:tcW w:w="1560" w:type="dxa"/>
            <w:shd w:val="clear" w:color="auto" w:fill="DDEEFF"/>
          </w:tcPr>
          <w:p w14:paraId="3A79DC57" w14:textId="49D5A925" w:rsidR="00AE16B7" w:rsidRPr="00AE16B7" w:rsidRDefault="00AE16B7" w:rsidP="00AE16B7">
            <w:pPr>
              <w:rPr>
                <w:rFonts w:cs="Arial"/>
              </w:rPr>
            </w:pPr>
            <w:r w:rsidRPr="00AE16B7">
              <w:rPr>
                <w:rFonts w:cs="Arial"/>
                <w:b/>
                <w:bCs/>
              </w:rPr>
              <w:t>MRSA</w:t>
            </w:r>
            <w:r w:rsidRPr="00AE16B7">
              <w:rPr>
                <w:rFonts w:cs="Arial"/>
              </w:rPr>
              <w:t xml:space="preserve"> bacteraemia</w:t>
            </w:r>
          </w:p>
        </w:tc>
        <w:tc>
          <w:tcPr>
            <w:tcW w:w="1701" w:type="dxa"/>
          </w:tcPr>
          <w:p w14:paraId="7006D8CF" w14:textId="77777777" w:rsidR="00AE16B7" w:rsidRPr="00AE16B7" w:rsidRDefault="00AE16B7" w:rsidP="00AE16B7">
            <w:pPr>
              <w:jc w:val="center"/>
              <w:rPr>
                <w:rFonts w:cs="Arial"/>
              </w:rPr>
            </w:pPr>
            <w:r w:rsidRPr="00AE16B7">
              <w:rPr>
                <w:rFonts w:cs="Arial"/>
              </w:rPr>
              <w:t>COCA</w:t>
            </w:r>
          </w:p>
          <w:p w14:paraId="51B869EB" w14:textId="77777777" w:rsidR="00AE16B7" w:rsidRPr="00AE16B7" w:rsidRDefault="00AE16B7" w:rsidP="00AE16B7">
            <w:pPr>
              <w:jc w:val="center"/>
              <w:rPr>
                <w:rFonts w:cs="Arial"/>
              </w:rPr>
            </w:pPr>
            <w:r w:rsidRPr="00AE16B7">
              <w:rPr>
                <w:rFonts w:cs="Arial"/>
              </w:rPr>
              <w:t>COIA</w:t>
            </w:r>
          </w:p>
        </w:tc>
        <w:tc>
          <w:tcPr>
            <w:tcW w:w="1417" w:type="dxa"/>
          </w:tcPr>
          <w:p w14:paraId="2AC44BCB" w14:textId="77777777" w:rsidR="00AE16B7" w:rsidRPr="00AE16B7" w:rsidRDefault="00AE16B7" w:rsidP="00AE16B7">
            <w:pPr>
              <w:jc w:val="center"/>
              <w:rPr>
                <w:rFonts w:cs="Arial"/>
              </w:rPr>
            </w:pPr>
            <w:r w:rsidRPr="00AE16B7">
              <w:rPr>
                <w:rFonts w:cs="Arial"/>
              </w:rPr>
              <w:t>UKHSA HCAI DCS</w:t>
            </w:r>
          </w:p>
        </w:tc>
        <w:tc>
          <w:tcPr>
            <w:tcW w:w="1276" w:type="dxa"/>
            <w:shd w:val="clear" w:color="auto" w:fill="auto"/>
          </w:tcPr>
          <w:p w14:paraId="479C620B" w14:textId="77777777" w:rsidR="00AE16B7" w:rsidRPr="00AE16B7" w:rsidRDefault="00AE16B7" w:rsidP="00AE16B7">
            <w:pPr>
              <w:rPr>
                <w:rFonts w:cs="Arial"/>
              </w:rPr>
            </w:pPr>
            <w:r w:rsidRPr="00AE16B7">
              <w:rPr>
                <w:rFonts w:cs="Arial"/>
              </w:rPr>
              <w:t>No</w:t>
            </w:r>
          </w:p>
        </w:tc>
        <w:tc>
          <w:tcPr>
            <w:tcW w:w="1417" w:type="dxa"/>
            <w:shd w:val="clear" w:color="auto" w:fill="auto"/>
          </w:tcPr>
          <w:p w14:paraId="556A1BC8" w14:textId="77777777" w:rsidR="00AE16B7" w:rsidRPr="00AE16B7" w:rsidRDefault="00AE16B7" w:rsidP="00AE16B7">
            <w:pPr>
              <w:rPr>
                <w:rFonts w:cs="Arial"/>
              </w:rPr>
            </w:pPr>
            <w:r w:rsidRPr="00AE16B7">
              <w:rPr>
                <w:rFonts w:cs="Arial"/>
              </w:rPr>
              <w:t>No</w:t>
            </w:r>
          </w:p>
        </w:tc>
        <w:tc>
          <w:tcPr>
            <w:tcW w:w="1985" w:type="dxa"/>
            <w:shd w:val="clear" w:color="auto" w:fill="auto"/>
          </w:tcPr>
          <w:p w14:paraId="62B8B50D" w14:textId="77777777" w:rsidR="00AE16B7" w:rsidRPr="00AE16B7" w:rsidRDefault="00AE16B7" w:rsidP="00AE16B7">
            <w:pPr>
              <w:rPr>
                <w:rFonts w:cs="Arial"/>
              </w:rPr>
            </w:pPr>
            <w:r w:rsidRPr="00AE16B7">
              <w:rPr>
                <w:rFonts w:cs="Arial"/>
              </w:rPr>
              <w:t>Support ICB investigation</w:t>
            </w:r>
          </w:p>
        </w:tc>
        <w:tc>
          <w:tcPr>
            <w:tcW w:w="1134" w:type="dxa"/>
            <w:shd w:val="clear" w:color="auto" w:fill="auto"/>
          </w:tcPr>
          <w:p w14:paraId="6306950D" w14:textId="77777777" w:rsidR="00AE16B7" w:rsidRPr="00AE16B7" w:rsidRDefault="00AE16B7" w:rsidP="00AE16B7">
            <w:pPr>
              <w:jc w:val="center"/>
              <w:rPr>
                <w:rFonts w:cs="Arial"/>
              </w:rPr>
            </w:pPr>
            <w:r w:rsidRPr="00AE16B7">
              <w:rPr>
                <w:rFonts w:cs="Arial"/>
              </w:rPr>
              <w:t>No</w:t>
            </w:r>
          </w:p>
        </w:tc>
        <w:tc>
          <w:tcPr>
            <w:tcW w:w="3402" w:type="dxa"/>
          </w:tcPr>
          <w:p w14:paraId="0E91120E" w14:textId="77777777" w:rsidR="00AE16B7" w:rsidRPr="00AE16B7" w:rsidRDefault="00AE16B7" w:rsidP="00AE16B7">
            <w:pPr>
              <w:rPr>
                <w:rFonts w:cs="Arial"/>
              </w:rPr>
            </w:pPr>
          </w:p>
        </w:tc>
      </w:tr>
      <w:tr w:rsidR="00AE16B7" w:rsidRPr="00AE16B7" w14:paraId="1C9CAD04" w14:textId="77777777" w:rsidTr="00AE16B7">
        <w:tc>
          <w:tcPr>
            <w:tcW w:w="1560" w:type="dxa"/>
            <w:shd w:val="clear" w:color="auto" w:fill="DDEEFF"/>
          </w:tcPr>
          <w:p w14:paraId="1B65D3B1" w14:textId="77777777" w:rsidR="00AE16B7" w:rsidRPr="00AE16B7" w:rsidRDefault="00AE16B7" w:rsidP="00AE16B7">
            <w:pPr>
              <w:rPr>
                <w:rFonts w:cs="Arial"/>
              </w:rPr>
            </w:pPr>
            <w:r w:rsidRPr="00AE16B7">
              <w:rPr>
                <w:rFonts w:cs="Arial"/>
                <w:b/>
                <w:bCs/>
              </w:rPr>
              <w:t>MSSA</w:t>
            </w:r>
            <w:r w:rsidRPr="00AE16B7">
              <w:rPr>
                <w:rFonts w:cs="Arial"/>
              </w:rPr>
              <w:t xml:space="preserve"> Bacteraemia</w:t>
            </w:r>
          </w:p>
          <w:p w14:paraId="2C76F229" w14:textId="77777777" w:rsidR="00AE16B7" w:rsidRPr="00AE16B7" w:rsidRDefault="00AE16B7" w:rsidP="00AE16B7">
            <w:pPr>
              <w:rPr>
                <w:rFonts w:cs="Arial"/>
              </w:rPr>
            </w:pPr>
          </w:p>
        </w:tc>
        <w:tc>
          <w:tcPr>
            <w:tcW w:w="1701" w:type="dxa"/>
          </w:tcPr>
          <w:p w14:paraId="6A34E5F5" w14:textId="77777777" w:rsidR="00AE16B7" w:rsidRPr="00AE16B7" w:rsidRDefault="00AE16B7" w:rsidP="00AE16B7">
            <w:pPr>
              <w:jc w:val="center"/>
              <w:rPr>
                <w:rFonts w:cs="Arial"/>
              </w:rPr>
            </w:pPr>
            <w:r w:rsidRPr="00AE16B7">
              <w:rPr>
                <w:rFonts w:cs="Arial"/>
              </w:rPr>
              <w:t>HOHA</w:t>
            </w:r>
          </w:p>
          <w:p w14:paraId="0A66EAC2" w14:textId="77777777" w:rsidR="00AE16B7" w:rsidRPr="00AE16B7" w:rsidRDefault="00AE16B7" w:rsidP="00AE16B7">
            <w:pPr>
              <w:jc w:val="center"/>
              <w:rPr>
                <w:rFonts w:cs="Arial"/>
              </w:rPr>
            </w:pPr>
            <w:r w:rsidRPr="00AE16B7">
              <w:rPr>
                <w:rFonts w:cs="Arial"/>
              </w:rPr>
              <w:t>COHA</w:t>
            </w:r>
          </w:p>
        </w:tc>
        <w:tc>
          <w:tcPr>
            <w:tcW w:w="1417" w:type="dxa"/>
          </w:tcPr>
          <w:p w14:paraId="2948C688" w14:textId="77777777" w:rsidR="00AE16B7" w:rsidRPr="00AE16B7" w:rsidRDefault="00AE16B7" w:rsidP="00AE16B7">
            <w:pPr>
              <w:jc w:val="center"/>
              <w:rPr>
                <w:rFonts w:cs="Arial"/>
              </w:rPr>
            </w:pPr>
          </w:p>
          <w:p w14:paraId="67F50FC4" w14:textId="77777777" w:rsidR="00AE16B7" w:rsidRPr="00AE16B7" w:rsidRDefault="00AE16B7" w:rsidP="00AE16B7">
            <w:pPr>
              <w:jc w:val="center"/>
              <w:rPr>
                <w:rFonts w:cs="Arial"/>
              </w:rPr>
            </w:pPr>
            <w:r w:rsidRPr="00AE16B7">
              <w:rPr>
                <w:rFonts w:cs="Arial"/>
              </w:rPr>
              <w:t>UKHSA HCAI DCS</w:t>
            </w:r>
          </w:p>
        </w:tc>
        <w:tc>
          <w:tcPr>
            <w:tcW w:w="1276" w:type="dxa"/>
            <w:shd w:val="clear" w:color="auto" w:fill="auto"/>
          </w:tcPr>
          <w:p w14:paraId="3F6AD388" w14:textId="77777777" w:rsidR="00AE16B7" w:rsidRPr="00AE16B7" w:rsidRDefault="00AE16B7" w:rsidP="00AE16B7">
            <w:pPr>
              <w:rPr>
                <w:rFonts w:cs="Arial"/>
              </w:rPr>
            </w:pPr>
            <w:r w:rsidRPr="00AE16B7">
              <w:rPr>
                <w:rFonts w:cs="Arial"/>
              </w:rPr>
              <w:t>No</w:t>
            </w:r>
          </w:p>
        </w:tc>
        <w:tc>
          <w:tcPr>
            <w:tcW w:w="1417" w:type="dxa"/>
            <w:shd w:val="clear" w:color="auto" w:fill="92D050"/>
          </w:tcPr>
          <w:p w14:paraId="0041CF84" w14:textId="77777777" w:rsidR="00AE16B7" w:rsidRPr="00AE16B7" w:rsidRDefault="00AE16B7" w:rsidP="00AE16B7">
            <w:pPr>
              <w:rPr>
                <w:rFonts w:cs="Arial"/>
              </w:rPr>
            </w:pPr>
            <w:r w:rsidRPr="00AE16B7">
              <w:rPr>
                <w:rFonts w:cs="Arial"/>
              </w:rPr>
              <w:t>Yes</w:t>
            </w:r>
          </w:p>
        </w:tc>
        <w:tc>
          <w:tcPr>
            <w:tcW w:w="1985" w:type="dxa"/>
          </w:tcPr>
          <w:p w14:paraId="77C2BCE3" w14:textId="77777777" w:rsidR="00AE16B7" w:rsidRPr="00AE16B7" w:rsidRDefault="00AE16B7" w:rsidP="00AE16B7">
            <w:pPr>
              <w:rPr>
                <w:rFonts w:cs="Arial"/>
              </w:rPr>
            </w:pPr>
            <w:r w:rsidRPr="00AE16B7">
              <w:rPr>
                <w:rFonts w:cs="Arial"/>
              </w:rPr>
              <w:t>PIR</w:t>
            </w:r>
          </w:p>
        </w:tc>
        <w:tc>
          <w:tcPr>
            <w:tcW w:w="1134" w:type="dxa"/>
            <w:shd w:val="clear" w:color="auto" w:fill="auto"/>
          </w:tcPr>
          <w:p w14:paraId="04D54AAE" w14:textId="77777777" w:rsidR="00AE16B7" w:rsidRPr="00AE16B7" w:rsidRDefault="00AE16B7" w:rsidP="00AE16B7">
            <w:pPr>
              <w:jc w:val="center"/>
              <w:rPr>
                <w:rFonts w:cs="Arial"/>
              </w:rPr>
            </w:pPr>
            <w:r w:rsidRPr="00AE16B7">
              <w:rPr>
                <w:rFonts w:cs="Arial"/>
              </w:rPr>
              <w:t>No</w:t>
            </w:r>
          </w:p>
        </w:tc>
        <w:tc>
          <w:tcPr>
            <w:tcW w:w="3402" w:type="dxa"/>
          </w:tcPr>
          <w:p w14:paraId="059E9A9B"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IPCC and Q&amp;SC</w:t>
            </w:r>
          </w:p>
          <w:p w14:paraId="309DD1ED"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PIIs and outbreaks to ICB</w:t>
            </w:r>
          </w:p>
          <w:p w14:paraId="318B2B9E"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IPR reporting</w:t>
            </w:r>
          </w:p>
          <w:p w14:paraId="431520EB"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Verbal alert to teams, follow up email alert to clinical teams</w:t>
            </w:r>
          </w:p>
        </w:tc>
      </w:tr>
      <w:tr w:rsidR="00AE16B7" w:rsidRPr="00AE16B7" w14:paraId="13F2C3CB" w14:textId="77777777" w:rsidTr="00AE16B7">
        <w:trPr>
          <w:trHeight w:val="1395"/>
        </w:trPr>
        <w:tc>
          <w:tcPr>
            <w:tcW w:w="1560" w:type="dxa"/>
            <w:shd w:val="clear" w:color="auto" w:fill="DDEEFF"/>
          </w:tcPr>
          <w:p w14:paraId="41A63D88" w14:textId="763ADFB9" w:rsidR="00AE16B7" w:rsidRPr="00AE16B7" w:rsidRDefault="00AE16B7" w:rsidP="00AE16B7">
            <w:pPr>
              <w:rPr>
                <w:rFonts w:cs="Arial"/>
              </w:rPr>
            </w:pPr>
            <w:r w:rsidRPr="00AE16B7">
              <w:rPr>
                <w:rFonts w:cs="Arial"/>
                <w:b/>
                <w:bCs/>
              </w:rPr>
              <w:t>MSSA</w:t>
            </w:r>
            <w:r w:rsidRPr="00AE16B7">
              <w:rPr>
                <w:rFonts w:cs="Arial"/>
              </w:rPr>
              <w:t xml:space="preserve"> Bacteraemia</w:t>
            </w:r>
          </w:p>
        </w:tc>
        <w:tc>
          <w:tcPr>
            <w:tcW w:w="1701" w:type="dxa"/>
          </w:tcPr>
          <w:p w14:paraId="21936466" w14:textId="77777777" w:rsidR="00AE16B7" w:rsidRPr="00AE16B7" w:rsidRDefault="00AE16B7" w:rsidP="00AE16B7">
            <w:pPr>
              <w:jc w:val="center"/>
              <w:rPr>
                <w:rFonts w:cs="Arial"/>
              </w:rPr>
            </w:pPr>
            <w:r w:rsidRPr="00AE16B7">
              <w:rPr>
                <w:rFonts w:cs="Arial"/>
              </w:rPr>
              <w:t>COCA</w:t>
            </w:r>
          </w:p>
          <w:p w14:paraId="2E7F564D" w14:textId="77777777" w:rsidR="00AE16B7" w:rsidRPr="00AE16B7" w:rsidRDefault="00AE16B7" w:rsidP="00AE16B7">
            <w:pPr>
              <w:jc w:val="center"/>
              <w:rPr>
                <w:rFonts w:cs="Arial"/>
              </w:rPr>
            </w:pPr>
            <w:r w:rsidRPr="00AE16B7">
              <w:rPr>
                <w:rFonts w:cs="Arial"/>
              </w:rPr>
              <w:t>COIA</w:t>
            </w:r>
          </w:p>
        </w:tc>
        <w:tc>
          <w:tcPr>
            <w:tcW w:w="1417" w:type="dxa"/>
          </w:tcPr>
          <w:p w14:paraId="661E991E" w14:textId="77777777" w:rsidR="00AE16B7" w:rsidRPr="00AE16B7" w:rsidRDefault="00AE16B7" w:rsidP="00AE16B7">
            <w:pPr>
              <w:jc w:val="center"/>
              <w:rPr>
                <w:rFonts w:cs="Arial"/>
              </w:rPr>
            </w:pPr>
            <w:r w:rsidRPr="00AE16B7">
              <w:rPr>
                <w:rFonts w:cs="Arial"/>
              </w:rPr>
              <w:t>UKHSA HCAI DCS</w:t>
            </w:r>
          </w:p>
        </w:tc>
        <w:tc>
          <w:tcPr>
            <w:tcW w:w="1276" w:type="dxa"/>
            <w:shd w:val="clear" w:color="auto" w:fill="auto"/>
          </w:tcPr>
          <w:p w14:paraId="3EE5093D" w14:textId="77777777" w:rsidR="00AE16B7" w:rsidRPr="00AE16B7" w:rsidRDefault="00AE16B7" w:rsidP="00AE16B7">
            <w:pPr>
              <w:jc w:val="center"/>
              <w:rPr>
                <w:rFonts w:cs="Arial"/>
              </w:rPr>
            </w:pPr>
            <w:r w:rsidRPr="00AE16B7">
              <w:rPr>
                <w:rFonts w:cs="Arial"/>
              </w:rPr>
              <w:t>No</w:t>
            </w:r>
          </w:p>
        </w:tc>
        <w:tc>
          <w:tcPr>
            <w:tcW w:w="1417" w:type="dxa"/>
            <w:shd w:val="clear" w:color="auto" w:fill="auto"/>
          </w:tcPr>
          <w:p w14:paraId="73A02DDE" w14:textId="77777777" w:rsidR="00AE16B7" w:rsidRPr="00AE16B7" w:rsidRDefault="00AE16B7" w:rsidP="00AE16B7">
            <w:pPr>
              <w:jc w:val="center"/>
              <w:rPr>
                <w:rFonts w:cs="Arial"/>
              </w:rPr>
            </w:pPr>
            <w:r w:rsidRPr="00AE16B7">
              <w:rPr>
                <w:rFonts w:cs="Arial"/>
              </w:rPr>
              <w:t>No</w:t>
            </w:r>
          </w:p>
        </w:tc>
        <w:tc>
          <w:tcPr>
            <w:tcW w:w="1985" w:type="dxa"/>
            <w:shd w:val="clear" w:color="auto" w:fill="F2F2F2" w:themeFill="background1" w:themeFillShade="F2"/>
          </w:tcPr>
          <w:p w14:paraId="630C8D24" w14:textId="77777777" w:rsidR="00AE16B7" w:rsidRPr="00AE16B7" w:rsidRDefault="00AE16B7" w:rsidP="00AE16B7">
            <w:pPr>
              <w:rPr>
                <w:rFonts w:cs="Arial"/>
              </w:rPr>
            </w:pPr>
            <w:r w:rsidRPr="00AE16B7">
              <w:rPr>
                <w:rFonts w:cs="Arial"/>
              </w:rPr>
              <w:t>N/A</w:t>
            </w:r>
          </w:p>
        </w:tc>
        <w:tc>
          <w:tcPr>
            <w:tcW w:w="1134" w:type="dxa"/>
            <w:shd w:val="clear" w:color="auto" w:fill="auto"/>
          </w:tcPr>
          <w:p w14:paraId="738F82B4" w14:textId="77777777" w:rsidR="00AE16B7" w:rsidRPr="00AE16B7" w:rsidRDefault="00AE16B7" w:rsidP="00AE16B7">
            <w:pPr>
              <w:jc w:val="center"/>
              <w:rPr>
                <w:rFonts w:cs="Arial"/>
              </w:rPr>
            </w:pPr>
            <w:r w:rsidRPr="00AE16B7">
              <w:rPr>
                <w:rFonts w:cs="Arial"/>
              </w:rPr>
              <w:t>No</w:t>
            </w:r>
          </w:p>
        </w:tc>
        <w:tc>
          <w:tcPr>
            <w:tcW w:w="3402" w:type="dxa"/>
            <w:shd w:val="clear" w:color="auto" w:fill="F2F2F2" w:themeFill="background1" w:themeFillShade="F2"/>
          </w:tcPr>
          <w:p w14:paraId="6396316B" w14:textId="77777777" w:rsidR="00AE16B7" w:rsidRPr="00AE16B7" w:rsidRDefault="00AE16B7" w:rsidP="00AE16B7">
            <w:pPr>
              <w:rPr>
                <w:rFonts w:cs="Arial"/>
              </w:rPr>
            </w:pPr>
            <w:r w:rsidRPr="00AE16B7">
              <w:rPr>
                <w:rFonts w:cs="Arial"/>
              </w:rPr>
              <w:t>N/A</w:t>
            </w:r>
          </w:p>
        </w:tc>
      </w:tr>
      <w:tr w:rsidR="00AE16B7" w:rsidRPr="00AE16B7" w14:paraId="327229E5" w14:textId="77777777" w:rsidTr="00AE16B7">
        <w:tc>
          <w:tcPr>
            <w:tcW w:w="1560" w:type="dxa"/>
            <w:shd w:val="clear" w:color="auto" w:fill="DDEEFF"/>
          </w:tcPr>
          <w:p w14:paraId="634E0821" w14:textId="77777777" w:rsidR="00AE16B7" w:rsidRPr="00AE16B7" w:rsidRDefault="00AE16B7" w:rsidP="00AE16B7">
            <w:pPr>
              <w:rPr>
                <w:rFonts w:cs="Arial"/>
              </w:rPr>
            </w:pPr>
            <w:r w:rsidRPr="00AE16B7">
              <w:rPr>
                <w:rFonts w:cs="Arial"/>
                <w:b/>
                <w:bCs/>
              </w:rPr>
              <w:lastRenderedPageBreak/>
              <w:t>Surgical Site Infection (SSI)</w:t>
            </w:r>
            <w:r w:rsidRPr="00AE16B7">
              <w:rPr>
                <w:rFonts w:cs="Arial"/>
              </w:rPr>
              <w:t xml:space="preserve"> severe or Cluster</w:t>
            </w:r>
          </w:p>
        </w:tc>
        <w:tc>
          <w:tcPr>
            <w:tcW w:w="1701" w:type="dxa"/>
            <w:shd w:val="clear" w:color="auto" w:fill="F2F2F2" w:themeFill="background1" w:themeFillShade="F2"/>
          </w:tcPr>
          <w:p w14:paraId="439ABB78" w14:textId="77777777" w:rsidR="00AE16B7" w:rsidRPr="00AE16B7" w:rsidRDefault="00AE16B7" w:rsidP="00AE16B7">
            <w:pPr>
              <w:jc w:val="center"/>
              <w:rPr>
                <w:rFonts w:cs="Arial"/>
              </w:rPr>
            </w:pPr>
            <w:r w:rsidRPr="00AE16B7">
              <w:rPr>
                <w:rFonts w:cs="Arial"/>
              </w:rPr>
              <w:t>N/A</w:t>
            </w:r>
          </w:p>
        </w:tc>
        <w:tc>
          <w:tcPr>
            <w:tcW w:w="1417" w:type="dxa"/>
            <w:shd w:val="clear" w:color="auto" w:fill="auto"/>
          </w:tcPr>
          <w:p w14:paraId="2216D080" w14:textId="77777777" w:rsidR="00AE16B7" w:rsidRPr="00AE16B7" w:rsidRDefault="00AE16B7" w:rsidP="00AE16B7">
            <w:pPr>
              <w:rPr>
                <w:rFonts w:cs="Arial"/>
              </w:rPr>
            </w:pPr>
            <w:r w:rsidRPr="00AE16B7">
              <w:rPr>
                <w:rFonts w:cs="Arial"/>
              </w:rPr>
              <w:t>Mandatory SSI Surveillance Mandatory reporting Trauma and Orthopaedics</w:t>
            </w:r>
          </w:p>
        </w:tc>
        <w:tc>
          <w:tcPr>
            <w:tcW w:w="1276" w:type="dxa"/>
            <w:shd w:val="clear" w:color="auto" w:fill="92D050"/>
          </w:tcPr>
          <w:p w14:paraId="6049732C" w14:textId="77777777" w:rsidR="00AE16B7" w:rsidRPr="00AE16B7" w:rsidRDefault="00AE16B7" w:rsidP="00AE16B7">
            <w:pPr>
              <w:jc w:val="center"/>
              <w:rPr>
                <w:rFonts w:cs="Arial"/>
              </w:rPr>
            </w:pPr>
            <w:r w:rsidRPr="00AE16B7">
              <w:rPr>
                <w:rFonts w:cs="Arial"/>
              </w:rPr>
              <w:t>Yes</w:t>
            </w:r>
          </w:p>
        </w:tc>
        <w:tc>
          <w:tcPr>
            <w:tcW w:w="1417" w:type="dxa"/>
            <w:shd w:val="clear" w:color="auto" w:fill="92D050"/>
          </w:tcPr>
          <w:p w14:paraId="7CD4536B" w14:textId="77777777" w:rsidR="00AE16B7" w:rsidRPr="00AE16B7" w:rsidRDefault="00AE16B7" w:rsidP="00AE16B7">
            <w:pPr>
              <w:jc w:val="center"/>
              <w:rPr>
                <w:rFonts w:cs="Arial"/>
              </w:rPr>
            </w:pPr>
            <w:r w:rsidRPr="00AE16B7">
              <w:rPr>
                <w:rFonts w:cs="Arial"/>
              </w:rPr>
              <w:t>Yes</w:t>
            </w:r>
          </w:p>
        </w:tc>
        <w:tc>
          <w:tcPr>
            <w:tcW w:w="1985" w:type="dxa"/>
          </w:tcPr>
          <w:p w14:paraId="78913A69"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SSI review document</w:t>
            </w:r>
          </w:p>
          <w:p w14:paraId="767AC8CD" w14:textId="77777777" w:rsidR="00AE16B7" w:rsidRPr="00AE16B7" w:rsidRDefault="00AE16B7" w:rsidP="00AE16B7">
            <w:pPr>
              <w:pStyle w:val="ListParagraph"/>
              <w:numPr>
                <w:ilvl w:val="0"/>
                <w:numId w:val="49"/>
              </w:numPr>
              <w:rPr>
                <w:rFonts w:cs="Arial"/>
              </w:rPr>
            </w:pPr>
            <w:r w:rsidRPr="00AE16B7">
              <w:rPr>
                <w:rFonts w:cs="Arial"/>
                <w:color w:val="000000" w:themeColor="text1"/>
              </w:rPr>
              <w:t>Two or more linked cases – local meeting PII</w:t>
            </w:r>
          </w:p>
        </w:tc>
        <w:tc>
          <w:tcPr>
            <w:tcW w:w="1134" w:type="dxa"/>
            <w:shd w:val="clear" w:color="auto" w:fill="auto"/>
          </w:tcPr>
          <w:p w14:paraId="5F7647A6" w14:textId="77777777" w:rsidR="00AE16B7" w:rsidRPr="00AE16B7" w:rsidRDefault="00AE16B7" w:rsidP="00AE16B7">
            <w:pPr>
              <w:jc w:val="center"/>
              <w:rPr>
                <w:rFonts w:cs="Arial"/>
              </w:rPr>
            </w:pPr>
            <w:r w:rsidRPr="00AE16B7">
              <w:rPr>
                <w:rFonts w:cs="Arial"/>
              </w:rPr>
              <w:t>No</w:t>
            </w:r>
          </w:p>
        </w:tc>
        <w:tc>
          <w:tcPr>
            <w:tcW w:w="3402" w:type="dxa"/>
          </w:tcPr>
          <w:p w14:paraId="57A789CA"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Email alert to clinical teams to agree cause and actions</w:t>
            </w:r>
          </w:p>
          <w:p w14:paraId="515DE618"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IPCC and Q&amp;SC</w:t>
            </w:r>
          </w:p>
          <w:p w14:paraId="1A510D26"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IPR reporting</w:t>
            </w:r>
          </w:p>
        </w:tc>
      </w:tr>
      <w:tr w:rsidR="00AE16B7" w:rsidRPr="00AE16B7" w14:paraId="7756A460" w14:textId="77777777" w:rsidTr="00AE16B7">
        <w:tc>
          <w:tcPr>
            <w:tcW w:w="1560" w:type="dxa"/>
            <w:shd w:val="clear" w:color="auto" w:fill="DDEEFF"/>
          </w:tcPr>
          <w:p w14:paraId="60BE0DC8" w14:textId="77777777" w:rsidR="00AE16B7" w:rsidRPr="00AE16B7" w:rsidRDefault="00AE16B7" w:rsidP="00AE16B7">
            <w:pPr>
              <w:rPr>
                <w:rFonts w:cs="Arial"/>
              </w:rPr>
            </w:pPr>
            <w:r w:rsidRPr="00AE16B7">
              <w:rPr>
                <w:rFonts w:cs="Arial"/>
                <w:b/>
                <w:bCs/>
              </w:rPr>
              <w:t>Patient death</w:t>
            </w:r>
            <w:r w:rsidRPr="00AE16B7">
              <w:rPr>
                <w:rFonts w:cs="Arial"/>
              </w:rPr>
              <w:t xml:space="preserve"> with C.difficile /MRSA  infection documented on Part 1a of Medical Certificate of Cause of Death</w:t>
            </w:r>
          </w:p>
          <w:p w14:paraId="76239874" w14:textId="77777777" w:rsidR="00AE16B7" w:rsidRPr="00AE16B7" w:rsidRDefault="00AE16B7" w:rsidP="00AE16B7">
            <w:pPr>
              <w:rPr>
                <w:rFonts w:cs="Arial"/>
              </w:rPr>
            </w:pPr>
          </w:p>
        </w:tc>
        <w:tc>
          <w:tcPr>
            <w:tcW w:w="1701" w:type="dxa"/>
          </w:tcPr>
          <w:p w14:paraId="4E9CA26F" w14:textId="77777777" w:rsidR="00AE16B7" w:rsidRPr="00AE16B7" w:rsidRDefault="00AE16B7" w:rsidP="00AE16B7">
            <w:pPr>
              <w:jc w:val="center"/>
              <w:rPr>
                <w:rFonts w:cs="Arial"/>
              </w:rPr>
            </w:pPr>
            <w:r w:rsidRPr="00AE16B7">
              <w:rPr>
                <w:rFonts w:cs="Arial"/>
              </w:rPr>
              <w:t>HOHA</w:t>
            </w:r>
          </w:p>
          <w:p w14:paraId="6A1065BF" w14:textId="77777777" w:rsidR="00AE16B7" w:rsidRPr="00AE16B7" w:rsidRDefault="00AE16B7" w:rsidP="00AE16B7">
            <w:pPr>
              <w:jc w:val="center"/>
              <w:rPr>
                <w:rFonts w:cs="Arial"/>
              </w:rPr>
            </w:pPr>
            <w:r w:rsidRPr="00AE16B7">
              <w:rPr>
                <w:rFonts w:cs="Arial"/>
              </w:rPr>
              <w:t>COHA</w:t>
            </w:r>
          </w:p>
        </w:tc>
        <w:tc>
          <w:tcPr>
            <w:tcW w:w="1417" w:type="dxa"/>
            <w:shd w:val="clear" w:color="auto" w:fill="F2F2F2" w:themeFill="background1" w:themeFillShade="F2"/>
          </w:tcPr>
          <w:p w14:paraId="121C4008" w14:textId="77777777" w:rsidR="00AE16B7" w:rsidRPr="00AE16B7" w:rsidRDefault="00AE16B7" w:rsidP="00AE16B7">
            <w:pPr>
              <w:jc w:val="center"/>
              <w:rPr>
                <w:rFonts w:cs="Arial"/>
              </w:rPr>
            </w:pPr>
            <w:r w:rsidRPr="00AE16B7">
              <w:rPr>
                <w:rFonts w:cs="Arial"/>
              </w:rPr>
              <w:t>N/A</w:t>
            </w:r>
          </w:p>
        </w:tc>
        <w:tc>
          <w:tcPr>
            <w:tcW w:w="1276" w:type="dxa"/>
            <w:shd w:val="clear" w:color="auto" w:fill="auto"/>
          </w:tcPr>
          <w:p w14:paraId="60D13F1B" w14:textId="77777777" w:rsidR="00AE16B7" w:rsidRPr="00AE16B7" w:rsidRDefault="00AE16B7" w:rsidP="00AE16B7">
            <w:pPr>
              <w:jc w:val="center"/>
              <w:rPr>
                <w:rFonts w:cs="Arial"/>
              </w:rPr>
            </w:pPr>
            <w:r w:rsidRPr="00AE16B7">
              <w:rPr>
                <w:rFonts w:cs="Arial"/>
              </w:rPr>
              <w:t>No</w:t>
            </w:r>
          </w:p>
        </w:tc>
        <w:tc>
          <w:tcPr>
            <w:tcW w:w="1417" w:type="dxa"/>
            <w:shd w:val="clear" w:color="auto" w:fill="92D050"/>
          </w:tcPr>
          <w:p w14:paraId="566EE498" w14:textId="77777777" w:rsidR="00AE16B7" w:rsidRPr="00AE16B7" w:rsidRDefault="00AE16B7" w:rsidP="00AE16B7">
            <w:pPr>
              <w:jc w:val="center"/>
              <w:rPr>
                <w:rFonts w:cs="Arial"/>
              </w:rPr>
            </w:pPr>
            <w:r w:rsidRPr="00AE16B7">
              <w:rPr>
                <w:rFonts w:cs="Arial"/>
              </w:rPr>
              <w:t>Yes</w:t>
            </w:r>
          </w:p>
        </w:tc>
        <w:tc>
          <w:tcPr>
            <w:tcW w:w="1985" w:type="dxa"/>
          </w:tcPr>
          <w:p w14:paraId="774489BC"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 Rapid review (within 7 days)</w:t>
            </w:r>
          </w:p>
          <w:p w14:paraId="1B64EE6E"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Unclear if learning - SJR</w:t>
            </w:r>
          </w:p>
          <w:p w14:paraId="0A1BB2A1" w14:textId="77777777" w:rsidR="00AE16B7" w:rsidRPr="00AE16B7" w:rsidRDefault="00AE16B7" w:rsidP="00AE16B7">
            <w:pPr>
              <w:pStyle w:val="ListParagraph"/>
              <w:numPr>
                <w:ilvl w:val="0"/>
                <w:numId w:val="49"/>
              </w:numPr>
              <w:rPr>
                <w:rFonts w:cs="Arial"/>
              </w:rPr>
            </w:pPr>
            <w:r w:rsidRPr="00AE16B7">
              <w:rPr>
                <w:rFonts w:cs="Arial"/>
                <w:color w:val="000000" w:themeColor="text1"/>
              </w:rPr>
              <w:t>Potential learning – PSIRF</w:t>
            </w:r>
          </w:p>
          <w:p w14:paraId="63A07499" w14:textId="77777777" w:rsidR="00AE16B7" w:rsidRPr="00AE16B7" w:rsidRDefault="00AE16B7" w:rsidP="00AE16B7">
            <w:pPr>
              <w:pStyle w:val="ListParagraph"/>
              <w:numPr>
                <w:ilvl w:val="0"/>
                <w:numId w:val="49"/>
              </w:numPr>
              <w:rPr>
                <w:rFonts w:cs="Arial"/>
              </w:rPr>
            </w:pPr>
            <w:r w:rsidRPr="00AE16B7">
              <w:rPr>
                <w:rFonts w:cs="Arial"/>
              </w:rPr>
              <w:t>Notify DIPC</w:t>
            </w:r>
          </w:p>
        </w:tc>
        <w:tc>
          <w:tcPr>
            <w:tcW w:w="1134" w:type="dxa"/>
            <w:shd w:val="clear" w:color="auto" w:fill="FFC000"/>
          </w:tcPr>
          <w:p w14:paraId="1DA5EE92" w14:textId="77777777" w:rsidR="00AE16B7" w:rsidRPr="00AE16B7" w:rsidRDefault="00AE16B7" w:rsidP="00AE16B7">
            <w:pPr>
              <w:jc w:val="center"/>
              <w:rPr>
                <w:rFonts w:cs="Arial"/>
              </w:rPr>
            </w:pPr>
            <w:r w:rsidRPr="00AE16B7">
              <w:rPr>
                <w:rFonts w:cs="Arial"/>
                <w:color w:val="000000" w:themeColor="text1"/>
              </w:rPr>
              <w:t>IRP and CNMO and CMO decision</w:t>
            </w:r>
          </w:p>
        </w:tc>
        <w:tc>
          <w:tcPr>
            <w:tcW w:w="3402" w:type="dxa"/>
          </w:tcPr>
          <w:p w14:paraId="01BE1A7B"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IPCC and Q&amp;SC report</w:t>
            </w:r>
          </w:p>
          <w:p w14:paraId="750A8013"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Sunrise alert to clinical teams</w:t>
            </w:r>
          </w:p>
          <w:p w14:paraId="2EE05D3B"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Trust wide performance reporting</w:t>
            </w:r>
          </w:p>
          <w:p w14:paraId="70656271" w14:textId="77777777" w:rsidR="00AE16B7" w:rsidRPr="00AE16B7" w:rsidRDefault="00AE16B7" w:rsidP="00AE16B7">
            <w:pPr>
              <w:pStyle w:val="ListParagraph"/>
              <w:numPr>
                <w:ilvl w:val="0"/>
                <w:numId w:val="49"/>
              </w:numPr>
              <w:rPr>
                <w:rFonts w:cs="Arial"/>
                <w:color w:val="000000" w:themeColor="text1"/>
              </w:rPr>
            </w:pPr>
            <w:r w:rsidRPr="00AE16B7">
              <w:rPr>
                <w:rFonts w:cs="Arial"/>
                <w:color w:val="000000" w:themeColor="text1"/>
              </w:rPr>
              <w:t>ICB</w:t>
            </w:r>
          </w:p>
          <w:p w14:paraId="7C7E8A39" w14:textId="77777777" w:rsidR="00AE16B7" w:rsidRPr="00AE16B7" w:rsidRDefault="00AE16B7" w:rsidP="00AE16B7">
            <w:pPr>
              <w:pStyle w:val="ListParagraph"/>
              <w:numPr>
                <w:ilvl w:val="0"/>
                <w:numId w:val="49"/>
              </w:numPr>
              <w:rPr>
                <w:rFonts w:cs="Arial"/>
              </w:rPr>
            </w:pPr>
            <w:r w:rsidRPr="00AE16B7">
              <w:rPr>
                <w:rFonts w:cs="Arial"/>
                <w:color w:val="000000" w:themeColor="text1"/>
              </w:rPr>
              <w:t>IPR performance dashboard</w:t>
            </w:r>
          </w:p>
          <w:p w14:paraId="1D89B29B" w14:textId="77777777" w:rsidR="00AE16B7" w:rsidRPr="00AE16B7" w:rsidRDefault="00AE16B7" w:rsidP="00AE16B7">
            <w:pPr>
              <w:pStyle w:val="ListParagraph"/>
              <w:numPr>
                <w:ilvl w:val="0"/>
                <w:numId w:val="49"/>
              </w:numPr>
              <w:rPr>
                <w:rFonts w:cs="Arial"/>
              </w:rPr>
            </w:pPr>
            <w:r w:rsidRPr="00AE16B7">
              <w:rPr>
                <w:rFonts w:cs="Arial"/>
              </w:rPr>
              <w:t>Possible LfDs</w:t>
            </w:r>
          </w:p>
          <w:p w14:paraId="4695AE90" w14:textId="77777777" w:rsidR="00AE16B7" w:rsidRPr="00AE16B7" w:rsidRDefault="00AE16B7" w:rsidP="00AE16B7">
            <w:pPr>
              <w:pStyle w:val="ListParagraph"/>
              <w:numPr>
                <w:ilvl w:val="0"/>
                <w:numId w:val="49"/>
              </w:numPr>
              <w:rPr>
                <w:rFonts w:cs="Arial"/>
              </w:rPr>
            </w:pPr>
            <w:r w:rsidRPr="00AE16B7">
              <w:rPr>
                <w:rFonts w:cs="Arial"/>
              </w:rPr>
              <w:t>Possible PSIRF</w:t>
            </w:r>
          </w:p>
        </w:tc>
      </w:tr>
    </w:tbl>
    <w:p w14:paraId="21116E52" w14:textId="77777777" w:rsidR="006C44AE" w:rsidRDefault="006C44AE" w:rsidP="006C44AE">
      <w:pPr>
        <w:spacing w:after="0" w:line="240" w:lineRule="auto"/>
        <w:rPr>
          <w:rFonts w:cs="Arial"/>
          <w:b/>
          <w:color w:val="000000" w:themeColor="text1"/>
        </w:rPr>
      </w:pPr>
    </w:p>
    <w:p w14:paraId="51ECDD73" w14:textId="4EE778C8" w:rsidR="006C44AE" w:rsidRPr="00516ACE" w:rsidRDefault="006C44AE" w:rsidP="006C44AE">
      <w:pPr>
        <w:spacing w:after="120" w:line="240" w:lineRule="auto"/>
        <w:rPr>
          <w:rFonts w:cs="Arial"/>
          <w:b/>
          <w:color w:val="000000" w:themeColor="text1"/>
        </w:rPr>
      </w:pPr>
      <w:r w:rsidRPr="00516ACE">
        <w:rPr>
          <w:rFonts w:cs="Arial"/>
          <w:b/>
          <w:color w:val="000000" w:themeColor="text1"/>
        </w:rPr>
        <w:t>Glossary</w:t>
      </w:r>
    </w:p>
    <w:p w14:paraId="4FF5830F" w14:textId="77777777" w:rsidR="00ED72CC" w:rsidRDefault="00ED72CC" w:rsidP="006C44AE">
      <w:pPr>
        <w:rPr>
          <w:rFonts w:cs="Arial"/>
          <w:color w:val="000000" w:themeColor="text1"/>
        </w:rPr>
        <w:sectPr w:rsidR="00ED72CC" w:rsidSect="006C44AE">
          <w:pgSz w:w="16838" w:h="11906" w:orient="landscape"/>
          <w:pgMar w:top="851" w:right="1440" w:bottom="1134" w:left="1440" w:header="709" w:footer="709" w:gutter="0"/>
          <w:cols w:space="708"/>
          <w:docGrid w:linePitch="360"/>
        </w:sectPr>
      </w:pPr>
    </w:p>
    <w:p w14:paraId="06F8783F" w14:textId="57BB854B" w:rsidR="006C44AE" w:rsidRPr="00516ACE" w:rsidRDefault="006C44AE" w:rsidP="006C44AE">
      <w:pPr>
        <w:spacing w:after="0" w:line="240" w:lineRule="auto"/>
        <w:rPr>
          <w:rFonts w:cs="Arial"/>
          <w:color w:val="000000" w:themeColor="text1"/>
        </w:rPr>
      </w:pPr>
      <w:r w:rsidRPr="00ED72CC">
        <w:rPr>
          <w:rFonts w:cs="Arial"/>
          <w:b/>
          <w:color w:val="000000" w:themeColor="text1"/>
        </w:rPr>
        <w:t>COCA</w:t>
      </w:r>
      <w:r w:rsidRPr="00516ACE">
        <w:rPr>
          <w:rFonts w:cs="Arial"/>
          <w:color w:val="000000" w:themeColor="text1"/>
        </w:rPr>
        <w:t xml:space="preserve"> </w:t>
      </w:r>
      <w:r w:rsidRPr="00516ACE">
        <w:rPr>
          <w:rFonts w:cs="Arial"/>
          <w:bCs/>
        </w:rPr>
        <w:t xml:space="preserve">– </w:t>
      </w:r>
      <w:r w:rsidRPr="00516ACE">
        <w:rPr>
          <w:rFonts w:cs="Arial"/>
          <w:color w:val="000000" w:themeColor="text1"/>
        </w:rPr>
        <w:t>Community onset community acquired</w:t>
      </w:r>
    </w:p>
    <w:p w14:paraId="0529B8D8" w14:textId="77777777" w:rsidR="006C44AE" w:rsidRPr="00516ACE" w:rsidRDefault="006C44AE" w:rsidP="006C44AE">
      <w:pPr>
        <w:spacing w:after="0" w:line="240" w:lineRule="auto"/>
        <w:rPr>
          <w:rFonts w:cs="Arial"/>
          <w:color w:val="000000" w:themeColor="text1"/>
        </w:rPr>
      </w:pPr>
      <w:r w:rsidRPr="00ED72CC">
        <w:rPr>
          <w:rFonts w:cs="Arial"/>
          <w:b/>
          <w:color w:val="000000" w:themeColor="text1"/>
        </w:rPr>
        <w:t>COIA</w:t>
      </w:r>
      <w:r w:rsidRPr="00516ACE">
        <w:rPr>
          <w:rFonts w:cs="Arial"/>
          <w:color w:val="000000" w:themeColor="text1"/>
        </w:rPr>
        <w:t xml:space="preserve"> </w:t>
      </w:r>
      <w:r w:rsidRPr="00516ACE">
        <w:rPr>
          <w:rFonts w:cs="Arial"/>
          <w:bCs/>
        </w:rPr>
        <w:t>–</w:t>
      </w:r>
      <w:r w:rsidRPr="00516ACE">
        <w:rPr>
          <w:rFonts w:cs="Arial"/>
          <w:color w:val="000000" w:themeColor="text1"/>
        </w:rPr>
        <w:t xml:space="preserve"> Community onset indeterminate acquired</w:t>
      </w:r>
    </w:p>
    <w:p w14:paraId="2CA4F389" w14:textId="77777777" w:rsidR="006C44AE" w:rsidRPr="00516ACE" w:rsidRDefault="006C44AE" w:rsidP="006C44AE">
      <w:pPr>
        <w:spacing w:after="0" w:line="240" w:lineRule="auto"/>
        <w:rPr>
          <w:rFonts w:cs="Arial"/>
          <w:color w:val="000000" w:themeColor="text1"/>
        </w:rPr>
      </w:pPr>
      <w:r w:rsidRPr="00ED72CC">
        <w:rPr>
          <w:rFonts w:cs="Arial"/>
          <w:b/>
          <w:color w:val="000000" w:themeColor="text1"/>
        </w:rPr>
        <w:t>COHA</w:t>
      </w:r>
      <w:r w:rsidRPr="00516ACE">
        <w:rPr>
          <w:rFonts w:cs="Arial"/>
          <w:color w:val="000000" w:themeColor="text1"/>
        </w:rPr>
        <w:t xml:space="preserve"> </w:t>
      </w:r>
      <w:r w:rsidRPr="00516ACE">
        <w:rPr>
          <w:rFonts w:cs="Arial"/>
          <w:bCs/>
        </w:rPr>
        <w:t>–</w:t>
      </w:r>
      <w:r w:rsidRPr="00516ACE">
        <w:rPr>
          <w:rFonts w:cs="Arial"/>
          <w:color w:val="000000" w:themeColor="text1"/>
        </w:rPr>
        <w:t xml:space="preserve"> Community Onset Hospital acquired/associated</w:t>
      </w:r>
    </w:p>
    <w:p w14:paraId="4F1FAA08" w14:textId="77777777" w:rsidR="006C44AE" w:rsidRPr="00516ACE" w:rsidRDefault="006C44AE" w:rsidP="006C44AE">
      <w:pPr>
        <w:spacing w:after="0" w:line="240" w:lineRule="auto"/>
        <w:rPr>
          <w:rFonts w:cs="Arial"/>
          <w:bCs/>
        </w:rPr>
      </w:pPr>
      <w:r w:rsidRPr="00ED72CC">
        <w:rPr>
          <w:rFonts w:cs="Arial"/>
          <w:b/>
          <w:bCs/>
        </w:rPr>
        <w:t>CNMO</w:t>
      </w:r>
      <w:r w:rsidRPr="00516ACE">
        <w:rPr>
          <w:rFonts w:cs="Arial"/>
          <w:bCs/>
        </w:rPr>
        <w:t xml:space="preserve"> – Chief Nursing and Midwifery Officer and Director of Infection Prevention and Control (DIPC)</w:t>
      </w:r>
    </w:p>
    <w:p w14:paraId="0CCAD7E4" w14:textId="77777777" w:rsidR="006C44AE" w:rsidRPr="00516ACE" w:rsidRDefault="006C44AE" w:rsidP="006C44AE">
      <w:pPr>
        <w:spacing w:after="0" w:line="240" w:lineRule="auto"/>
        <w:rPr>
          <w:rFonts w:cs="Arial"/>
          <w:bCs/>
        </w:rPr>
      </w:pPr>
      <w:r w:rsidRPr="00ED72CC">
        <w:rPr>
          <w:rFonts w:cs="Arial"/>
          <w:b/>
          <w:color w:val="000000" w:themeColor="text1"/>
        </w:rPr>
        <w:t>HOHA</w:t>
      </w:r>
      <w:r w:rsidRPr="00516ACE">
        <w:rPr>
          <w:rFonts w:cs="Arial"/>
          <w:color w:val="000000" w:themeColor="text1"/>
        </w:rPr>
        <w:t xml:space="preserve"> </w:t>
      </w:r>
      <w:r w:rsidRPr="00516ACE">
        <w:rPr>
          <w:rFonts w:cs="Arial"/>
          <w:bCs/>
        </w:rPr>
        <w:t>–</w:t>
      </w:r>
      <w:r w:rsidRPr="00516ACE">
        <w:rPr>
          <w:rFonts w:cs="Arial"/>
          <w:color w:val="000000" w:themeColor="text1"/>
        </w:rPr>
        <w:t xml:space="preserve"> Hospital onset Hospital acquired/associated</w:t>
      </w:r>
    </w:p>
    <w:p w14:paraId="5CC8F748" w14:textId="77777777" w:rsidR="006C44AE" w:rsidRPr="00516ACE" w:rsidRDefault="006C44AE" w:rsidP="006C44AE">
      <w:pPr>
        <w:spacing w:after="0" w:line="240" w:lineRule="auto"/>
        <w:rPr>
          <w:rFonts w:cs="Arial"/>
          <w:bCs/>
        </w:rPr>
      </w:pPr>
      <w:r w:rsidRPr="00ED72CC">
        <w:rPr>
          <w:rFonts w:cs="Arial"/>
          <w:b/>
          <w:bCs/>
        </w:rPr>
        <w:t>ICB</w:t>
      </w:r>
      <w:r w:rsidRPr="00516ACE">
        <w:rPr>
          <w:rFonts w:cs="Arial"/>
          <w:bCs/>
        </w:rPr>
        <w:t xml:space="preserve"> – Kent and Medway Integrated Care Board IPC team</w:t>
      </w:r>
    </w:p>
    <w:p w14:paraId="24C35A80" w14:textId="77777777" w:rsidR="006C44AE" w:rsidRPr="00516ACE" w:rsidRDefault="006C44AE" w:rsidP="006C44AE">
      <w:pPr>
        <w:spacing w:after="0" w:line="240" w:lineRule="auto"/>
        <w:rPr>
          <w:rFonts w:cs="Arial"/>
          <w:bCs/>
        </w:rPr>
      </w:pPr>
      <w:r w:rsidRPr="00ED72CC">
        <w:rPr>
          <w:rFonts w:cs="Arial"/>
          <w:b/>
          <w:bCs/>
        </w:rPr>
        <w:t>IPC</w:t>
      </w:r>
      <w:r w:rsidRPr="00516ACE">
        <w:rPr>
          <w:rFonts w:cs="Arial"/>
          <w:bCs/>
        </w:rPr>
        <w:t xml:space="preserve"> – Infection Prevention and Control</w:t>
      </w:r>
    </w:p>
    <w:p w14:paraId="7573B611" w14:textId="77777777" w:rsidR="006C44AE" w:rsidRPr="00516ACE" w:rsidRDefault="006C44AE" w:rsidP="006C44AE">
      <w:pPr>
        <w:spacing w:after="0" w:line="240" w:lineRule="auto"/>
        <w:rPr>
          <w:rFonts w:cs="Arial"/>
          <w:bCs/>
        </w:rPr>
      </w:pPr>
      <w:r w:rsidRPr="00ED72CC">
        <w:rPr>
          <w:rFonts w:cs="Arial"/>
          <w:b/>
          <w:bCs/>
        </w:rPr>
        <w:t>IPCC</w:t>
      </w:r>
      <w:r w:rsidRPr="00516ACE">
        <w:rPr>
          <w:rFonts w:cs="Arial"/>
          <w:bCs/>
        </w:rPr>
        <w:t xml:space="preserve"> – Infection Prevention and Control Committee</w:t>
      </w:r>
    </w:p>
    <w:p w14:paraId="731C94A5" w14:textId="77777777" w:rsidR="006C44AE" w:rsidRPr="00516ACE" w:rsidRDefault="006C44AE" w:rsidP="006C44AE">
      <w:pPr>
        <w:spacing w:after="0" w:line="240" w:lineRule="auto"/>
        <w:rPr>
          <w:rFonts w:cs="Arial"/>
          <w:bCs/>
        </w:rPr>
      </w:pPr>
      <w:r w:rsidRPr="00ED72CC">
        <w:rPr>
          <w:rFonts w:cs="Arial"/>
          <w:b/>
          <w:bCs/>
        </w:rPr>
        <w:t>IRP</w:t>
      </w:r>
      <w:r w:rsidRPr="00516ACE">
        <w:rPr>
          <w:rFonts w:cs="Arial"/>
          <w:bCs/>
        </w:rPr>
        <w:t xml:space="preserve"> – Incident Review Panel</w:t>
      </w:r>
    </w:p>
    <w:p w14:paraId="2A7F827E" w14:textId="77777777" w:rsidR="006C44AE" w:rsidRDefault="006C44AE" w:rsidP="006C44AE">
      <w:pPr>
        <w:spacing w:after="0" w:line="240" w:lineRule="auto"/>
        <w:rPr>
          <w:rFonts w:cs="Arial"/>
          <w:bCs/>
        </w:rPr>
      </w:pPr>
      <w:r w:rsidRPr="00ED72CC">
        <w:rPr>
          <w:rFonts w:cs="Arial"/>
          <w:b/>
          <w:bCs/>
        </w:rPr>
        <w:t>LfDs</w:t>
      </w:r>
      <w:r>
        <w:rPr>
          <w:rFonts w:cs="Arial"/>
          <w:bCs/>
        </w:rPr>
        <w:t xml:space="preserve"> – Learning from deaths</w:t>
      </w:r>
    </w:p>
    <w:p w14:paraId="78BDDBAF" w14:textId="77777777" w:rsidR="006C44AE" w:rsidRPr="00516ACE" w:rsidRDefault="006C44AE" w:rsidP="006C44AE">
      <w:pPr>
        <w:spacing w:after="0" w:line="240" w:lineRule="auto"/>
        <w:rPr>
          <w:rFonts w:cs="Arial"/>
          <w:bCs/>
        </w:rPr>
      </w:pPr>
      <w:r w:rsidRPr="00ED72CC">
        <w:rPr>
          <w:rFonts w:cs="Arial"/>
          <w:b/>
          <w:bCs/>
        </w:rPr>
        <w:t>N/A</w:t>
      </w:r>
      <w:r w:rsidRPr="00516ACE">
        <w:rPr>
          <w:rFonts w:cs="Arial"/>
          <w:bCs/>
        </w:rPr>
        <w:t xml:space="preserve"> – not applicable</w:t>
      </w:r>
    </w:p>
    <w:p w14:paraId="26A1C675" w14:textId="77777777" w:rsidR="006C44AE" w:rsidRPr="00516ACE" w:rsidRDefault="006C44AE" w:rsidP="006C44AE">
      <w:pPr>
        <w:spacing w:after="0" w:line="240" w:lineRule="auto"/>
        <w:rPr>
          <w:rFonts w:cs="Arial"/>
          <w:bCs/>
        </w:rPr>
      </w:pPr>
      <w:r w:rsidRPr="00ED72CC">
        <w:rPr>
          <w:rFonts w:cs="Arial"/>
          <w:b/>
          <w:bCs/>
        </w:rPr>
        <w:t>PHE</w:t>
      </w:r>
      <w:r w:rsidRPr="00516ACE">
        <w:rPr>
          <w:rFonts w:cs="Arial"/>
          <w:bCs/>
        </w:rPr>
        <w:t xml:space="preserve"> – Public Health England</w:t>
      </w:r>
    </w:p>
    <w:p w14:paraId="27472FFA" w14:textId="77777777" w:rsidR="006C44AE" w:rsidRPr="00516ACE" w:rsidRDefault="006C44AE" w:rsidP="006C44AE">
      <w:pPr>
        <w:spacing w:after="0" w:line="240" w:lineRule="auto"/>
        <w:rPr>
          <w:rFonts w:cs="Arial"/>
          <w:bCs/>
        </w:rPr>
      </w:pPr>
      <w:r w:rsidRPr="00ED72CC">
        <w:rPr>
          <w:rFonts w:cs="Arial"/>
          <w:b/>
          <w:bCs/>
        </w:rPr>
        <w:t>PII</w:t>
      </w:r>
      <w:r w:rsidRPr="00516ACE">
        <w:rPr>
          <w:rFonts w:cs="Arial"/>
          <w:bCs/>
        </w:rPr>
        <w:t xml:space="preserve"> – Period of increased incidence</w:t>
      </w:r>
    </w:p>
    <w:p w14:paraId="71084982" w14:textId="77777777" w:rsidR="006C44AE" w:rsidRPr="00516ACE" w:rsidRDefault="006C44AE" w:rsidP="006C44AE">
      <w:pPr>
        <w:spacing w:after="0" w:line="240" w:lineRule="auto"/>
        <w:rPr>
          <w:rFonts w:cs="Arial"/>
          <w:bCs/>
        </w:rPr>
      </w:pPr>
      <w:r w:rsidRPr="00ED72CC">
        <w:rPr>
          <w:rFonts w:cs="Arial"/>
          <w:b/>
          <w:bCs/>
        </w:rPr>
        <w:t>PSIRF</w:t>
      </w:r>
      <w:r w:rsidRPr="00516ACE">
        <w:rPr>
          <w:rFonts w:cs="Arial"/>
          <w:bCs/>
        </w:rPr>
        <w:t xml:space="preserve"> – Patient Safety Incident Response Framework</w:t>
      </w:r>
    </w:p>
    <w:p w14:paraId="65F8E933" w14:textId="77777777" w:rsidR="006C44AE" w:rsidRPr="00516ACE" w:rsidRDefault="006C44AE" w:rsidP="006C44AE">
      <w:pPr>
        <w:spacing w:after="0" w:line="240" w:lineRule="auto"/>
        <w:rPr>
          <w:rFonts w:cs="Arial"/>
          <w:bCs/>
        </w:rPr>
      </w:pPr>
      <w:r w:rsidRPr="00ED72CC">
        <w:rPr>
          <w:rFonts w:cs="Arial"/>
          <w:b/>
          <w:bCs/>
        </w:rPr>
        <w:t>Q&amp;SC</w:t>
      </w:r>
      <w:r w:rsidRPr="00516ACE">
        <w:rPr>
          <w:rFonts w:cs="Arial"/>
          <w:bCs/>
        </w:rPr>
        <w:t xml:space="preserve"> – Quality and Safety Committee</w:t>
      </w:r>
    </w:p>
    <w:p w14:paraId="191735CD" w14:textId="77777777" w:rsidR="006C44AE" w:rsidRPr="00516ACE" w:rsidRDefault="006C44AE" w:rsidP="006C44AE">
      <w:pPr>
        <w:spacing w:after="0" w:line="240" w:lineRule="auto"/>
        <w:rPr>
          <w:rFonts w:cs="Arial"/>
          <w:bCs/>
        </w:rPr>
      </w:pPr>
      <w:r w:rsidRPr="00ED72CC">
        <w:rPr>
          <w:rFonts w:cs="Arial"/>
          <w:b/>
          <w:bCs/>
        </w:rPr>
        <w:t>TB</w:t>
      </w:r>
      <w:r w:rsidRPr="00516ACE">
        <w:rPr>
          <w:rFonts w:cs="Arial"/>
          <w:bCs/>
        </w:rPr>
        <w:t xml:space="preserve"> – Tuberculosis</w:t>
      </w:r>
    </w:p>
    <w:p w14:paraId="2A77BF02" w14:textId="77777777" w:rsidR="006C44AE" w:rsidRPr="00516ACE" w:rsidRDefault="006C44AE" w:rsidP="006C44AE">
      <w:pPr>
        <w:spacing w:after="0" w:line="240" w:lineRule="auto"/>
        <w:rPr>
          <w:rFonts w:cs="Arial"/>
          <w:bCs/>
        </w:rPr>
      </w:pPr>
      <w:r w:rsidRPr="00ED72CC">
        <w:rPr>
          <w:rFonts w:cs="Arial"/>
          <w:b/>
          <w:bCs/>
        </w:rPr>
        <w:t>UKHSA HCAI DCS</w:t>
      </w:r>
      <w:r w:rsidRPr="00516ACE">
        <w:rPr>
          <w:rFonts w:cs="Arial"/>
          <w:bCs/>
        </w:rPr>
        <w:t xml:space="preserve"> – UK Health Security Agency Healthcare Acquired/Associated Infection Data Capture System</w:t>
      </w:r>
    </w:p>
    <w:p w14:paraId="74CA6CC8" w14:textId="77777777" w:rsidR="00ED72CC" w:rsidRDefault="00ED72CC">
      <w:pPr>
        <w:rPr>
          <w:rFonts w:eastAsiaTheme="majorEastAsia" w:cs="Arial"/>
          <w:b/>
          <w:sz w:val="24"/>
          <w:szCs w:val="24"/>
        </w:rPr>
        <w:sectPr w:rsidR="00ED72CC" w:rsidSect="00ED72CC">
          <w:type w:val="continuous"/>
          <w:pgSz w:w="16838" w:h="11906" w:orient="landscape"/>
          <w:pgMar w:top="851" w:right="1440" w:bottom="1134" w:left="1440" w:header="709" w:footer="709" w:gutter="0"/>
          <w:cols w:num="2" w:space="708"/>
          <w:docGrid w:linePitch="360"/>
        </w:sectPr>
      </w:pPr>
    </w:p>
    <w:p w14:paraId="172FD27C" w14:textId="18B1B71C" w:rsidR="006C44AE" w:rsidRDefault="006C44AE">
      <w:pPr>
        <w:rPr>
          <w:rFonts w:eastAsiaTheme="majorEastAsia" w:cs="Arial"/>
          <w:b/>
          <w:sz w:val="24"/>
          <w:szCs w:val="24"/>
        </w:rPr>
      </w:pPr>
      <w:r>
        <w:rPr>
          <w:rFonts w:eastAsiaTheme="majorEastAsia" w:cs="Arial"/>
          <w:b/>
          <w:sz w:val="24"/>
          <w:szCs w:val="24"/>
        </w:rPr>
        <w:br w:type="page"/>
      </w:r>
    </w:p>
    <w:p w14:paraId="454E293C" w14:textId="77777777" w:rsidR="007556CD" w:rsidRDefault="006A7757">
      <w:pPr>
        <w:rPr>
          <w:rFonts w:eastAsiaTheme="majorEastAsia" w:cs="Arial"/>
          <w:b/>
          <w:sz w:val="24"/>
          <w:szCs w:val="24"/>
        </w:rPr>
      </w:pPr>
      <w:r>
        <w:rPr>
          <w:rFonts w:eastAsiaTheme="majorEastAsia" w:cs="Arial"/>
          <w:b/>
          <w:sz w:val="24"/>
          <w:szCs w:val="24"/>
        </w:rPr>
        <w:lastRenderedPageBreak/>
        <w:t>Appendix 4: Maternity and Neonatal Plan</w:t>
      </w:r>
    </w:p>
    <w:p w14:paraId="29AE2988" w14:textId="4D175D91" w:rsidR="006A7757" w:rsidRPr="007556CD" w:rsidRDefault="007556CD">
      <w:pPr>
        <w:rPr>
          <w:rFonts w:eastAsiaTheme="majorEastAsia" w:cs="Arial"/>
          <w:sz w:val="24"/>
          <w:szCs w:val="24"/>
        </w:rPr>
      </w:pPr>
      <w:r w:rsidRPr="007556CD">
        <w:rPr>
          <w:rFonts w:eastAsiaTheme="majorEastAsia" w:cs="Arial"/>
          <w:sz w:val="24"/>
          <w:szCs w:val="24"/>
        </w:rPr>
        <w:t>To be inserted once finalised</w:t>
      </w:r>
      <w:r w:rsidR="006A7757" w:rsidRPr="007556CD">
        <w:rPr>
          <w:rFonts w:eastAsiaTheme="majorEastAsia" w:cs="Arial"/>
          <w:sz w:val="24"/>
          <w:szCs w:val="24"/>
        </w:rPr>
        <w:br w:type="page"/>
      </w:r>
    </w:p>
    <w:p w14:paraId="28CC28E7" w14:textId="385CB8A9" w:rsidR="008B0EDE" w:rsidRDefault="00DB1373">
      <w:pPr>
        <w:rPr>
          <w:rFonts w:eastAsiaTheme="majorEastAsia" w:cs="Arial"/>
          <w:b/>
          <w:sz w:val="24"/>
          <w:szCs w:val="24"/>
        </w:rPr>
      </w:pPr>
      <w:r>
        <w:rPr>
          <w:rFonts w:eastAsiaTheme="majorEastAsia" w:cs="Arial"/>
          <w:b/>
          <w:sz w:val="24"/>
          <w:szCs w:val="24"/>
        </w:rPr>
        <w:lastRenderedPageBreak/>
        <w:t xml:space="preserve">Appendix </w:t>
      </w:r>
      <w:r w:rsidR="006A7757">
        <w:rPr>
          <w:rFonts w:eastAsiaTheme="majorEastAsia" w:cs="Arial"/>
          <w:b/>
          <w:sz w:val="24"/>
          <w:szCs w:val="24"/>
        </w:rPr>
        <w:t>5</w:t>
      </w:r>
      <w:r>
        <w:rPr>
          <w:rFonts w:eastAsiaTheme="majorEastAsia" w:cs="Arial"/>
          <w:b/>
          <w:sz w:val="24"/>
          <w:szCs w:val="24"/>
        </w:rPr>
        <w:t xml:space="preserve">: </w:t>
      </w:r>
      <w:r w:rsidR="007556CD">
        <w:rPr>
          <w:rFonts w:eastAsiaTheme="majorEastAsia" w:cs="Arial"/>
          <w:b/>
          <w:sz w:val="24"/>
          <w:szCs w:val="24"/>
        </w:rPr>
        <w:t xml:space="preserve">Learning </w:t>
      </w:r>
      <w:r>
        <w:rPr>
          <w:rFonts w:eastAsiaTheme="majorEastAsia" w:cs="Arial"/>
          <w:b/>
          <w:sz w:val="24"/>
          <w:szCs w:val="24"/>
        </w:rPr>
        <w:t>Response types</w:t>
      </w:r>
    </w:p>
    <w:p w14:paraId="7D2879E3" w14:textId="416236F2" w:rsidR="00F7212F" w:rsidRDefault="008B0EDE">
      <w:pPr>
        <w:rPr>
          <w:rFonts w:eastAsiaTheme="majorEastAsia" w:cs="Arial"/>
          <w:b/>
          <w:sz w:val="24"/>
          <w:szCs w:val="24"/>
        </w:rPr>
      </w:pPr>
      <w:r w:rsidRPr="008B0EDE">
        <w:rPr>
          <w:rFonts w:eastAsiaTheme="majorEastAsia" w:cs="Arial"/>
          <w:b/>
          <w:noProof/>
          <w:sz w:val="24"/>
          <w:szCs w:val="24"/>
        </w:rPr>
        <w:drawing>
          <wp:inline distT="0" distB="0" distL="0" distR="0" wp14:anchorId="16F55222" wp14:editId="17571DCA">
            <wp:extent cx="6376946" cy="3674123"/>
            <wp:effectExtent l="0" t="0" r="5080" b="2540"/>
            <wp:docPr id="16" name="Picture 16" descr="Diagram of different levels of learning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75672" cy="3788620"/>
                    </a:xfrm>
                    <a:prstGeom prst="rect">
                      <a:avLst/>
                    </a:prstGeom>
                  </pic:spPr>
                </pic:pic>
              </a:graphicData>
            </a:graphic>
          </wp:inline>
        </w:drawing>
      </w:r>
    </w:p>
    <w:tbl>
      <w:tblPr>
        <w:tblW w:w="14165" w:type="dxa"/>
        <w:tblCellMar>
          <w:left w:w="0" w:type="dxa"/>
          <w:right w:w="0" w:type="dxa"/>
        </w:tblCellMar>
        <w:tblLook w:val="0420" w:firstRow="1" w:lastRow="0" w:firstColumn="0" w:lastColumn="0" w:noHBand="0" w:noVBand="1"/>
      </w:tblPr>
      <w:tblGrid>
        <w:gridCol w:w="3818"/>
        <w:gridCol w:w="1984"/>
        <w:gridCol w:w="8363"/>
      </w:tblGrid>
      <w:tr w:rsidR="001C2FBA" w:rsidRPr="001C2FBA" w14:paraId="3728EC07" w14:textId="77777777" w:rsidTr="00AE708D">
        <w:trPr>
          <w:trHeight w:val="584"/>
          <w:tblHeader/>
        </w:trPr>
        <w:tc>
          <w:tcPr>
            <w:tcW w:w="3818" w:type="dxa"/>
            <w:tcBorders>
              <w:top w:val="single" w:sz="8" w:space="0" w:color="000000"/>
              <w:left w:val="single" w:sz="8" w:space="0" w:color="000000"/>
              <w:bottom w:val="single" w:sz="8" w:space="0" w:color="000000"/>
              <w:right w:val="single" w:sz="8" w:space="0" w:color="000000"/>
            </w:tcBorders>
            <w:shd w:val="clear" w:color="auto" w:fill="DDEEFF"/>
            <w:tcMar>
              <w:top w:w="72" w:type="dxa"/>
              <w:left w:w="144" w:type="dxa"/>
              <w:bottom w:w="72" w:type="dxa"/>
              <w:right w:w="144" w:type="dxa"/>
            </w:tcMar>
            <w:hideMark/>
          </w:tcPr>
          <w:p w14:paraId="565E9A66" w14:textId="77777777" w:rsidR="001C2FBA" w:rsidRPr="001C2FBA" w:rsidRDefault="001C2FBA" w:rsidP="001C2FBA">
            <w:pPr>
              <w:spacing w:after="0" w:line="240" w:lineRule="auto"/>
              <w:rPr>
                <w:rFonts w:eastAsiaTheme="majorEastAsia" w:cs="Arial"/>
                <w:b/>
                <w:sz w:val="24"/>
                <w:szCs w:val="24"/>
              </w:rPr>
            </w:pPr>
            <w:r w:rsidRPr="001C2FBA">
              <w:rPr>
                <w:rFonts w:eastAsiaTheme="majorEastAsia" w:cs="Arial"/>
                <w:b/>
                <w:bCs/>
                <w:sz w:val="24"/>
                <w:szCs w:val="24"/>
              </w:rPr>
              <w:t>L</w:t>
            </w:r>
            <w:bookmarkStart w:id="16" w:name="_GoBack"/>
            <w:bookmarkEnd w:id="16"/>
            <w:r w:rsidRPr="001C2FBA">
              <w:rPr>
                <w:rFonts w:eastAsiaTheme="majorEastAsia" w:cs="Arial"/>
                <w:b/>
                <w:bCs/>
                <w:sz w:val="24"/>
                <w:szCs w:val="24"/>
              </w:rPr>
              <w:t>earning response type</w:t>
            </w:r>
          </w:p>
        </w:tc>
        <w:tc>
          <w:tcPr>
            <w:tcW w:w="1984" w:type="dxa"/>
            <w:tcBorders>
              <w:top w:val="single" w:sz="8" w:space="0" w:color="000000"/>
              <w:left w:val="single" w:sz="8" w:space="0" w:color="000000"/>
              <w:bottom w:val="single" w:sz="8" w:space="0" w:color="000000"/>
              <w:right w:val="single" w:sz="8" w:space="0" w:color="000000"/>
            </w:tcBorders>
            <w:shd w:val="clear" w:color="auto" w:fill="DDEEFF"/>
            <w:tcMar>
              <w:top w:w="72" w:type="dxa"/>
              <w:left w:w="144" w:type="dxa"/>
              <w:bottom w:w="72" w:type="dxa"/>
              <w:right w:w="144" w:type="dxa"/>
            </w:tcMar>
            <w:hideMark/>
          </w:tcPr>
          <w:p w14:paraId="065623BC" w14:textId="77777777" w:rsidR="001C2FBA" w:rsidRPr="001C2FBA" w:rsidRDefault="001C2FBA" w:rsidP="001C2FBA">
            <w:pPr>
              <w:spacing w:after="0" w:line="240" w:lineRule="auto"/>
              <w:rPr>
                <w:rFonts w:eastAsiaTheme="majorEastAsia" w:cs="Arial"/>
                <w:b/>
                <w:sz w:val="24"/>
                <w:szCs w:val="24"/>
              </w:rPr>
            </w:pPr>
            <w:r w:rsidRPr="001C2FBA">
              <w:rPr>
                <w:rFonts w:eastAsiaTheme="majorEastAsia" w:cs="Arial"/>
                <w:b/>
                <w:sz w:val="24"/>
                <w:szCs w:val="24"/>
              </w:rPr>
              <w:t>Learning response</w:t>
            </w:r>
          </w:p>
        </w:tc>
        <w:tc>
          <w:tcPr>
            <w:tcW w:w="8363" w:type="dxa"/>
            <w:tcBorders>
              <w:top w:val="single" w:sz="8" w:space="0" w:color="000000"/>
              <w:left w:val="single" w:sz="8" w:space="0" w:color="000000"/>
              <w:bottom w:val="single" w:sz="8" w:space="0" w:color="000000"/>
              <w:right w:val="single" w:sz="8" w:space="0" w:color="000000"/>
            </w:tcBorders>
            <w:shd w:val="clear" w:color="auto" w:fill="DDEEFF"/>
            <w:tcMar>
              <w:top w:w="72" w:type="dxa"/>
              <w:left w:w="144" w:type="dxa"/>
              <w:bottom w:w="72" w:type="dxa"/>
              <w:right w:w="144" w:type="dxa"/>
            </w:tcMar>
            <w:hideMark/>
          </w:tcPr>
          <w:p w14:paraId="31A58D42" w14:textId="77777777" w:rsidR="001C2FBA" w:rsidRPr="001C2FBA" w:rsidRDefault="001C2FBA" w:rsidP="001C2FBA">
            <w:pPr>
              <w:spacing w:after="0" w:line="240" w:lineRule="auto"/>
              <w:rPr>
                <w:rFonts w:eastAsiaTheme="majorEastAsia" w:cs="Arial"/>
                <w:b/>
                <w:sz w:val="24"/>
                <w:szCs w:val="24"/>
              </w:rPr>
            </w:pPr>
            <w:r w:rsidRPr="001C2FBA">
              <w:rPr>
                <w:rFonts w:eastAsiaTheme="majorEastAsia" w:cs="Arial"/>
                <w:b/>
                <w:sz w:val="24"/>
                <w:szCs w:val="24"/>
              </w:rPr>
              <w:t>Application</w:t>
            </w:r>
          </w:p>
        </w:tc>
      </w:tr>
      <w:tr w:rsidR="001C2FBA" w:rsidRPr="001C2FBA" w14:paraId="2D25A6A0" w14:textId="77777777" w:rsidTr="00AE708D">
        <w:trPr>
          <w:trHeight w:val="584"/>
        </w:trPr>
        <w:tc>
          <w:tcPr>
            <w:tcW w:w="381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F39439" w14:textId="77777777" w:rsidR="001C2FBA" w:rsidRPr="001C2FBA" w:rsidRDefault="001C2FBA" w:rsidP="001C2FBA">
            <w:pPr>
              <w:spacing w:after="0" w:line="240" w:lineRule="auto"/>
              <w:rPr>
                <w:rFonts w:eastAsiaTheme="majorEastAsia" w:cs="Arial"/>
                <w:b/>
                <w:sz w:val="24"/>
                <w:szCs w:val="24"/>
              </w:rPr>
            </w:pPr>
            <w:r w:rsidRPr="001C2FBA">
              <w:rPr>
                <w:rFonts w:eastAsiaTheme="majorEastAsia" w:cs="Arial"/>
                <w:b/>
                <w:bCs/>
                <w:sz w:val="24"/>
                <w:szCs w:val="24"/>
              </w:rPr>
              <w:t>Immediate recovery</w:t>
            </w:r>
          </w:p>
          <w:p w14:paraId="168A13B8"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Address serious discomfort, injury or threat to life</w:t>
            </w:r>
          </w:p>
          <w:p w14:paraId="4A23387C"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Respond to concerns raised by patient/family or staff</w:t>
            </w:r>
          </w:p>
          <w:p w14:paraId="443AC131"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Determine risk – likelihood of consequence</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124DF8"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Immediate actions</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45DC6A"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Attend to the immediate needs of those affected (Patient/family/staff/other) e.g. Duty of Candour, individual debrief, TRIM, etc</w:t>
            </w:r>
          </w:p>
        </w:tc>
      </w:tr>
      <w:tr w:rsidR="001C2FBA" w:rsidRPr="001C2FBA" w14:paraId="5528288D" w14:textId="77777777" w:rsidTr="00AE708D">
        <w:trPr>
          <w:trHeight w:val="584"/>
        </w:trPr>
        <w:tc>
          <w:tcPr>
            <w:tcW w:w="3818" w:type="dxa"/>
            <w:vMerge/>
            <w:tcBorders>
              <w:top w:val="single" w:sz="8" w:space="0" w:color="000000"/>
              <w:left w:val="single" w:sz="8" w:space="0" w:color="000000"/>
              <w:bottom w:val="single" w:sz="8" w:space="0" w:color="000000"/>
              <w:right w:val="single" w:sz="8" w:space="0" w:color="000000"/>
            </w:tcBorders>
            <w:vAlign w:val="center"/>
            <w:hideMark/>
          </w:tcPr>
          <w:p w14:paraId="187612FB" w14:textId="77777777" w:rsidR="001C2FBA" w:rsidRPr="001C2FBA" w:rsidRDefault="001C2FBA" w:rsidP="001C2FBA">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C2EC45"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Risk Assessment</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EED8AD"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Assess risk, e.g. severity of hazards and likelihood of recurrence.</w:t>
            </w:r>
          </w:p>
          <w:p w14:paraId="19FB34E0"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Determination and prioritisation of control measures – immediate mitigation.</w:t>
            </w:r>
          </w:p>
        </w:tc>
      </w:tr>
      <w:tr w:rsidR="001C2FBA" w:rsidRPr="001C2FBA" w14:paraId="0AF46E31" w14:textId="77777777" w:rsidTr="00AE708D">
        <w:trPr>
          <w:trHeight w:val="584"/>
        </w:trPr>
        <w:tc>
          <w:tcPr>
            <w:tcW w:w="381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A88563" w14:textId="77777777" w:rsidR="001C2FBA" w:rsidRPr="001C2FBA" w:rsidRDefault="001C2FBA" w:rsidP="001C2FBA">
            <w:pPr>
              <w:spacing w:after="0" w:line="240" w:lineRule="auto"/>
              <w:rPr>
                <w:rFonts w:eastAsiaTheme="majorEastAsia" w:cs="Arial"/>
                <w:b/>
                <w:sz w:val="24"/>
                <w:szCs w:val="24"/>
              </w:rPr>
            </w:pPr>
            <w:r w:rsidRPr="001C2FBA">
              <w:rPr>
                <w:rFonts w:eastAsiaTheme="majorEastAsia" w:cs="Arial"/>
                <w:b/>
                <w:bCs/>
                <w:sz w:val="24"/>
                <w:szCs w:val="24"/>
              </w:rPr>
              <w:lastRenderedPageBreak/>
              <w:t>Basic</w:t>
            </w:r>
          </w:p>
          <w:p w14:paraId="5C11EA79"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Assess what, if any, learning or further actions are required.</w:t>
            </w:r>
          </w:p>
          <w:p w14:paraId="365D170D"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Limited scope for shared learning unless the individual escalates via informal or formal process.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4A0CAA"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Local (Datix) investigation</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D49F6A"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Record the facts obtained from patient/family/staff and determine what, if any, actions required to mitigate the risk of recurrence.</w:t>
            </w:r>
          </w:p>
        </w:tc>
      </w:tr>
      <w:tr w:rsidR="001C2FBA" w:rsidRPr="001C2FBA" w14:paraId="72EC6DDB" w14:textId="77777777" w:rsidTr="00AE708D">
        <w:trPr>
          <w:trHeight w:val="584"/>
        </w:trPr>
        <w:tc>
          <w:tcPr>
            <w:tcW w:w="3818" w:type="dxa"/>
            <w:vMerge/>
            <w:tcBorders>
              <w:top w:val="single" w:sz="8" w:space="0" w:color="000000"/>
              <w:left w:val="single" w:sz="8" w:space="0" w:color="000000"/>
              <w:bottom w:val="single" w:sz="8" w:space="0" w:color="000000"/>
              <w:right w:val="single" w:sz="8" w:space="0" w:color="000000"/>
            </w:tcBorders>
            <w:vAlign w:val="center"/>
            <w:hideMark/>
          </w:tcPr>
          <w:p w14:paraId="5E34089E" w14:textId="77777777" w:rsidR="001C2FBA" w:rsidRPr="001C2FBA" w:rsidRDefault="001C2FBA" w:rsidP="001C2FBA">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3B85CB"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Reflection</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8881E8"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Professional and personal learning process of assessment of the situation or experience, deriving meaning from this and determining what, if any, changes to their practice may be required.</w:t>
            </w:r>
          </w:p>
        </w:tc>
      </w:tr>
      <w:tr w:rsidR="001C2FBA" w:rsidRPr="001C2FBA" w14:paraId="24A38A82" w14:textId="77777777" w:rsidTr="00BF0FF8">
        <w:trPr>
          <w:trHeight w:val="398"/>
        </w:trPr>
        <w:tc>
          <w:tcPr>
            <w:tcW w:w="3818" w:type="dxa"/>
            <w:vMerge/>
            <w:tcBorders>
              <w:top w:val="single" w:sz="8" w:space="0" w:color="000000"/>
              <w:left w:val="single" w:sz="8" w:space="0" w:color="000000"/>
              <w:bottom w:val="single" w:sz="8" w:space="0" w:color="000000"/>
              <w:right w:val="single" w:sz="8" w:space="0" w:color="000000"/>
            </w:tcBorders>
            <w:vAlign w:val="center"/>
            <w:hideMark/>
          </w:tcPr>
          <w:p w14:paraId="733F5CD2" w14:textId="77777777" w:rsidR="001C2FBA" w:rsidRPr="001C2FBA" w:rsidRDefault="001C2FBA" w:rsidP="001C2FBA">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D8E4A4"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Structured Judgement Review</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84742"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Make safety and quality judgements statements about each phase of patient care.</w:t>
            </w:r>
          </w:p>
          <w:p w14:paraId="4D62AD74"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Individual judgement regarding good practice and deficits in care.</w:t>
            </w:r>
          </w:p>
          <w:p w14:paraId="5DA52C5B"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Formal process to escalate concerns for further review via the Learning from Deaths process.</w:t>
            </w:r>
          </w:p>
        </w:tc>
      </w:tr>
      <w:tr w:rsidR="001C2FBA" w:rsidRPr="001C2FBA" w14:paraId="54A5BE7C" w14:textId="77777777" w:rsidTr="00BF0FF8">
        <w:trPr>
          <w:trHeight w:val="20"/>
        </w:trPr>
        <w:tc>
          <w:tcPr>
            <w:tcW w:w="381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0562D6" w14:textId="77777777" w:rsidR="001C2FBA" w:rsidRPr="001C2FBA" w:rsidRDefault="001C2FBA" w:rsidP="001C2FBA">
            <w:pPr>
              <w:spacing w:after="0" w:line="240" w:lineRule="auto"/>
              <w:rPr>
                <w:rFonts w:eastAsiaTheme="majorEastAsia" w:cs="Arial"/>
                <w:b/>
                <w:sz w:val="24"/>
                <w:szCs w:val="24"/>
              </w:rPr>
            </w:pPr>
            <w:r w:rsidRPr="001C2FBA">
              <w:rPr>
                <w:rFonts w:eastAsiaTheme="majorEastAsia" w:cs="Arial"/>
                <w:b/>
                <w:bCs/>
                <w:sz w:val="24"/>
                <w:szCs w:val="24"/>
              </w:rPr>
              <w:t>Team</w:t>
            </w:r>
          </w:p>
          <w:p w14:paraId="36AD7BC4"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Local or wider team review to:</w:t>
            </w:r>
          </w:p>
          <w:p w14:paraId="3871E7BE"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Understand the perspectives of all those involved to determine ‘work as done’</w:t>
            </w:r>
          </w:p>
          <w:p w14:paraId="04D44030"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Safe space promoting psychological safety</w:t>
            </w:r>
          </w:p>
          <w:p w14:paraId="5DAF34F2"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Celebrate success</w:t>
            </w:r>
          </w:p>
          <w:p w14:paraId="258F1B01"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Identify areas for improvement</w:t>
            </w:r>
          </w:p>
          <w:p w14:paraId="7E0BCF33"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Agree actions</w:t>
            </w:r>
          </w:p>
          <w:p w14:paraId="2618CF90"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Enhance teamwork through communication and collaborative problem solving</w:t>
            </w:r>
          </w:p>
          <w:p w14:paraId="20DFA0DB"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Shared learning beyond team promoted</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2AA75C"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SWARM huddle</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6337F0"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Facilitated ‘hot’ review, held within 24 hours of an event.</w:t>
            </w:r>
          </w:p>
          <w:p w14:paraId="4A65988D"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Gathers all those involved in the event to analyse what happened, how it happened and what needs to be done to reduce the risk of repetition.</w:t>
            </w:r>
          </w:p>
          <w:p w14:paraId="369A3310"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Enables insights and reflections to prompt learning.</w:t>
            </w:r>
          </w:p>
        </w:tc>
      </w:tr>
      <w:tr w:rsidR="001C2FBA" w:rsidRPr="001C2FBA" w14:paraId="61B12D61" w14:textId="77777777" w:rsidTr="00AE708D">
        <w:trPr>
          <w:trHeight w:val="584"/>
        </w:trPr>
        <w:tc>
          <w:tcPr>
            <w:tcW w:w="3818" w:type="dxa"/>
            <w:vMerge/>
            <w:tcBorders>
              <w:top w:val="single" w:sz="8" w:space="0" w:color="000000"/>
              <w:left w:val="single" w:sz="8" w:space="0" w:color="000000"/>
              <w:bottom w:val="single" w:sz="8" w:space="0" w:color="000000"/>
              <w:right w:val="single" w:sz="8" w:space="0" w:color="000000"/>
            </w:tcBorders>
            <w:vAlign w:val="center"/>
            <w:hideMark/>
          </w:tcPr>
          <w:p w14:paraId="7589746F" w14:textId="77777777" w:rsidR="001C2FBA" w:rsidRPr="001C2FBA" w:rsidRDefault="001C2FBA" w:rsidP="001C2FBA">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44BAEA"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After Action Review</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C36EC3"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Facilitated ‘cold’ review, held within a week of the event.</w:t>
            </w:r>
          </w:p>
          <w:p w14:paraId="6C7CFAD1"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Creates a common understanding,</w:t>
            </w:r>
          </w:p>
          <w:p w14:paraId="11AF04D0"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Reflection on success and required improvements.</w:t>
            </w:r>
          </w:p>
          <w:p w14:paraId="02584DCC"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Identifies specific recommendations and safety actions.</w:t>
            </w:r>
          </w:p>
          <w:p w14:paraId="10AD415C"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Learning shared beyond the team.</w:t>
            </w:r>
          </w:p>
        </w:tc>
      </w:tr>
      <w:tr w:rsidR="001C2FBA" w:rsidRPr="001C2FBA" w14:paraId="234356B3" w14:textId="77777777" w:rsidTr="00BF0FF8">
        <w:trPr>
          <w:trHeight w:val="2211"/>
        </w:trPr>
        <w:tc>
          <w:tcPr>
            <w:tcW w:w="3818" w:type="dxa"/>
            <w:vMerge/>
            <w:tcBorders>
              <w:top w:val="single" w:sz="8" w:space="0" w:color="000000"/>
              <w:left w:val="single" w:sz="8" w:space="0" w:color="000000"/>
              <w:bottom w:val="single" w:sz="8" w:space="0" w:color="000000"/>
              <w:right w:val="single" w:sz="8" w:space="0" w:color="000000"/>
            </w:tcBorders>
            <w:vAlign w:val="center"/>
            <w:hideMark/>
          </w:tcPr>
          <w:p w14:paraId="6526D39A" w14:textId="77777777" w:rsidR="001C2FBA" w:rsidRPr="001C2FBA" w:rsidRDefault="001C2FBA" w:rsidP="001C2FBA">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90B455"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Multidisciplinary Review</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62DE3F"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A look back following multiple events using discussion rather than staff recollections.</w:t>
            </w:r>
          </w:p>
          <w:p w14:paraId="12F4E7AA"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Explores a safety theme, pathway or process rather than the individual events.</w:t>
            </w:r>
          </w:p>
          <w:p w14:paraId="586810E4"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Considers how differences between work as done and work as prescribed/imagined occur.</w:t>
            </w:r>
          </w:p>
          <w:p w14:paraId="2B5CD425" w14:textId="77777777" w:rsidR="001C2FBA" w:rsidRPr="001C2FBA" w:rsidRDefault="001C2FBA" w:rsidP="001C2FBA">
            <w:pPr>
              <w:spacing w:after="0" w:line="240" w:lineRule="auto"/>
              <w:rPr>
                <w:rFonts w:eastAsiaTheme="majorEastAsia" w:cs="Arial"/>
                <w:sz w:val="24"/>
                <w:szCs w:val="24"/>
              </w:rPr>
            </w:pPr>
            <w:r w:rsidRPr="001C2FBA">
              <w:rPr>
                <w:rFonts w:eastAsiaTheme="majorEastAsia" w:cs="Arial"/>
                <w:sz w:val="24"/>
                <w:szCs w:val="24"/>
              </w:rPr>
              <w:t>Identifies recommendations to determine further review required and/or specific safety actions.</w:t>
            </w:r>
          </w:p>
        </w:tc>
      </w:tr>
      <w:tr w:rsidR="001C2FBA" w:rsidRPr="00AE708D" w14:paraId="00AB3F5E" w14:textId="77777777" w:rsidTr="00BF0FF8">
        <w:trPr>
          <w:trHeight w:val="2416"/>
        </w:trPr>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82B2CF" w14:textId="77777777" w:rsidR="001C2FBA" w:rsidRPr="00AE708D" w:rsidRDefault="001C2FBA" w:rsidP="00AE708D">
            <w:pPr>
              <w:spacing w:after="0" w:line="240" w:lineRule="auto"/>
              <w:rPr>
                <w:rFonts w:eastAsiaTheme="majorEastAsia" w:cs="Arial"/>
                <w:b/>
                <w:sz w:val="24"/>
                <w:szCs w:val="24"/>
              </w:rPr>
            </w:pPr>
            <w:r w:rsidRPr="00AE708D">
              <w:rPr>
                <w:rFonts w:eastAsiaTheme="majorEastAsia" w:cs="Arial"/>
                <w:b/>
                <w:bCs/>
                <w:sz w:val="24"/>
                <w:szCs w:val="24"/>
              </w:rPr>
              <w:lastRenderedPageBreak/>
              <w:t>System</w:t>
            </w:r>
          </w:p>
          <w:p w14:paraId="51126406"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Provides a narrative of the event or events.</w:t>
            </w:r>
          </w:p>
          <w:p w14:paraId="49941631"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Considers how the work system influenced the processes and outcomes for patients/families, staff and the organisation.</w:t>
            </w:r>
          </w:p>
          <w:p w14:paraId="512431BD"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Usually results in system recommendations and safety actions to enable safe care.</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94F4A0"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Patient Safety Incident Investigation</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799D95"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Builds as detailed narrative from information gathered and from those involved in the event.</w:t>
            </w:r>
          </w:p>
          <w:p w14:paraId="019F0F8F"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Determines how the work system influenced processes and led to the outcomes.</w:t>
            </w:r>
          </w:p>
          <w:p w14:paraId="4E249DCA"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Clarifies how actions taken made sense at the time.</w:t>
            </w:r>
          </w:p>
          <w:p w14:paraId="6DC63B1A"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Synthesises new meaning from the analysis to inform recommendations and safety actions aimed at improving the work system.</w:t>
            </w:r>
          </w:p>
          <w:p w14:paraId="68D64F40"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Can be used for single or multiple events.</w:t>
            </w:r>
          </w:p>
        </w:tc>
      </w:tr>
      <w:tr w:rsidR="001C2FBA" w:rsidRPr="00AE708D" w14:paraId="68473096" w14:textId="77777777" w:rsidTr="00AE708D">
        <w:trPr>
          <w:trHeight w:val="584"/>
        </w:trPr>
        <w:tc>
          <w:tcPr>
            <w:tcW w:w="381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AAA8F4" w14:textId="77777777" w:rsidR="001C2FBA" w:rsidRPr="00AE708D" w:rsidRDefault="001C2FBA" w:rsidP="00AE708D">
            <w:pPr>
              <w:spacing w:after="0" w:line="240" w:lineRule="auto"/>
              <w:rPr>
                <w:rFonts w:eastAsiaTheme="majorEastAsia" w:cs="Arial"/>
                <w:b/>
                <w:sz w:val="24"/>
                <w:szCs w:val="24"/>
              </w:rPr>
            </w:pPr>
            <w:r w:rsidRPr="00AE708D">
              <w:rPr>
                <w:rFonts w:eastAsiaTheme="majorEastAsia" w:cs="Arial"/>
                <w:b/>
                <w:bCs/>
                <w:sz w:val="24"/>
                <w:szCs w:val="24"/>
              </w:rPr>
              <w:t>Theme</w:t>
            </w:r>
          </w:p>
          <w:p w14:paraId="62206E22"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Analysis of recurring events.</w:t>
            </w:r>
          </w:p>
          <w:p w14:paraId="112DFD53"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Clarifies where there are or potentially are risks within care processes.</w:t>
            </w:r>
          </w:p>
          <w:p w14:paraId="2C5C0D01"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Usually results in system recommendations and safety actions to enable or sustain safe care.</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6BAD83"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Thematic review</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EC65BC"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To understand common links and issues within a cluster of similar events.</w:t>
            </w:r>
          </w:p>
          <w:p w14:paraId="2307D3C3"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Seeks to understand the barriers and enablers for safety from either individual incidents or previous learning responses.</w:t>
            </w:r>
          </w:p>
          <w:p w14:paraId="7E5399FB"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Useful to develop Trust wide improvement plans for patient safety.</w:t>
            </w:r>
          </w:p>
        </w:tc>
      </w:tr>
      <w:tr w:rsidR="001C2FBA" w:rsidRPr="00AE708D" w14:paraId="71E10D00" w14:textId="77777777" w:rsidTr="00BF0FF8">
        <w:trPr>
          <w:trHeight w:val="1587"/>
        </w:trPr>
        <w:tc>
          <w:tcPr>
            <w:tcW w:w="3818" w:type="dxa"/>
            <w:vMerge/>
            <w:tcBorders>
              <w:top w:val="single" w:sz="8" w:space="0" w:color="000000"/>
              <w:left w:val="single" w:sz="8" w:space="0" w:color="000000"/>
              <w:bottom w:val="single" w:sz="8" w:space="0" w:color="000000"/>
              <w:right w:val="single" w:sz="8" w:space="0" w:color="000000"/>
            </w:tcBorders>
            <w:vAlign w:val="center"/>
            <w:hideMark/>
          </w:tcPr>
          <w:p w14:paraId="0E1FD4D2" w14:textId="77777777" w:rsidR="001C2FBA" w:rsidRPr="00AE708D" w:rsidRDefault="001C2FBA" w:rsidP="00AE708D">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42619"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Horizon scan</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A6748F"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Collates information from patients/families, staff or external stakeholders about a particular emerging theme.</w:t>
            </w:r>
          </w:p>
          <w:p w14:paraId="11D265F2"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Structured conversations about work as done, observations of practice and emerging patient and staff risks.</w:t>
            </w:r>
          </w:p>
          <w:p w14:paraId="4F9DC024"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MDT iterative approach to the themes identified considering future plans and potential risks.</w:t>
            </w:r>
          </w:p>
        </w:tc>
      </w:tr>
      <w:tr w:rsidR="001C2FBA" w:rsidRPr="00AE708D" w14:paraId="3E80A8F9" w14:textId="77777777" w:rsidTr="00AE708D">
        <w:trPr>
          <w:trHeight w:val="584"/>
        </w:trPr>
        <w:tc>
          <w:tcPr>
            <w:tcW w:w="381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BCB6BA" w14:textId="77777777" w:rsidR="001C2FBA" w:rsidRPr="00AE708D" w:rsidRDefault="001C2FBA" w:rsidP="00AE708D">
            <w:pPr>
              <w:spacing w:after="0" w:line="240" w:lineRule="auto"/>
              <w:rPr>
                <w:rFonts w:eastAsiaTheme="majorEastAsia" w:cs="Arial"/>
                <w:b/>
                <w:sz w:val="24"/>
                <w:szCs w:val="24"/>
              </w:rPr>
            </w:pPr>
            <w:r w:rsidRPr="00AE708D">
              <w:rPr>
                <w:rFonts w:eastAsiaTheme="majorEastAsia" w:cs="Arial"/>
                <w:b/>
                <w:bCs/>
                <w:sz w:val="24"/>
                <w:szCs w:val="24"/>
              </w:rPr>
              <w:t>Quality improvement</w:t>
            </w:r>
          </w:p>
          <w:p w14:paraId="1FBAF5FB"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Structured approach to improve quality and sustain improvement.</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7B740D"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Audit</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EBB915" w14:textId="77777777" w:rsidR="00AE708D" w:rsidRDefault="00AE708D" w:rsidP="00AE708D">
            <w:pPr>
              <w:spacing w:after="0" w:line="240" w:lineRule="auto"/>
              <w:rPr>
                <w:rFonts w:eastAsiaTheme="majorEastAsia" w:cs="Arial"/>
                <w:sz w:val="24"/>
                <w:szCs w:val="24"/>
              </w:rPr>
            </w:pPr>
            <w:r>
              <w:rPr>
                <w:rFonts w:eastAsiaTheme="majorEastAsia" w:cs="Arial"/>
                <w:sz w:val="24"/>
                <w:szCs w:val="24"/>
              </w:rPr>
              <w:t>A systematic processes used to assess and improve quality and outcomes of patient care.</w:t>
            </w:r>
          </w:p>
          <w:p w14:paraId="351FF6B5" w14:textId="7532F43A" w:rsidR="001C2FBA" w:rsidRPr="00AE708D" w:rsidRDefault="00AE708D" w:rsidP="00AE708D">
            <w:pPr>
              <w:spacing w:after="0" w:line="240" w:lineRule="auto"/>
              <w:rPr>
                <w:rFonts w:eastAsiaTheme="majorEastAsia" w:cs="Arial"/>
                <w:sz w:val="24"/>
                <w:szCs w:val="24"/>
              </w:rPr>
            </w:pPr>
            <w:r>
              <w:rPr>
                <w:rFonts w:eastAsiaTheme="majorEastAsia" w:cs="Arial"/>
                <w:sz w:val="24"/>
                <w:szCs w:val="24"/>
              </w:rPr>
              <w:t>It e</w:t>
            </w:r>
            <w:r w:rsidR="001C2FBA" w:rsidRPr="00AE708D">
              <w:rPr>
                <w:rFonts w:eastAsiaTheme="majorEastAsia" w:cs="Arial"/>
                <w:sz w:val="24"/>
                <w:szCs w:val="24"/>
              </w:rPr>
              <w:t>stablish</w:t>
            </w:r>
            <w:r>
              <w:rPr>
                <w:rFonts w:eastAsiaTheme="majorEastAsia" w:cs="Arial"/>
                <w:sz w:val="24"/>
                <w:szCs w:val="24"/>
              </w:rPr>
              <w:t>es</w:t>
            </w:r>
            <w:r w:rsidR="001C2FBA" w:rsidRPr="00AE708D">
              <w:rPr>
                <w:rFonts w:eastAsiaTheme="majorEastAsia" w:cs="Arial"/>
                <w:sz w:val="24"/>
                <w:szCs w:val="24"/>
              </w:rPr>
              <w:t xml:space="preserve"> whether care is delivered in accordance with </w:t>
            </w:r>
            <w:r>
              <w:rPr>
                <w:rFonts w:eastAsiaTheme="majorEastAsia" w:cs="Arial"/>
                <w:sz w:val="24"/>
                <w:szCs w:val="24"/>
              </w:rPr>
              <w:t xml:space="preserve">recognised </w:t>
            </w:r>
            <w:r w:rsidR="001C2FBA" w:rsidRPr="00AE708D">
              <w:rPr>
                <w:rFonts w:eastAsiaTheme="majorEastAsia" w:cs="Arial"/>
                <w:sz w:val="24"/>
                <w:szCs w:val="24"/>
              </w:rPr>
              <w:t>standards.</w:t>
            </w:r>
          </w:p>
          <w:p w14:paraId="26484B62" w14:textId="13BDBF60"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 xml:space="preserve">Usually results in actions aiming to standardise </w:t>
            </w:r>
            <w:r w:rsidR="00AE708D">
              <w:rPr>
                <w:rFonts w:eastAsiaTheme="majorEastAsia" w:cs="Arial"/>
                <w:sz w:val="24"/>
                <w:szCs w:val="24"/>
              </w:rPr>
              <w:t>quality and outcomes.</w:t>
            </w:r>
          </w:p>
        </w:tc>
      </w:tr>
      <w:tr w:rsidR="00AE708D" w:rsidRPr="00AE708D" w14:paraId="3198BF19" w14:textId="77777777" w:rsidTr="00AE708D">
        <w:trPr>
          <w:trHeight w:val="584"/>
        </w:trPr>
        <w:tc>
          <w:tcPr>
            <w:tcW w:w="3818" w:type="dxa"/>
            <w:vMerge/>
            <w:tcBorders>
              <w:top w:val="single" w:sz="8" w:space="0" w:color="000000"/>
              <w:left w:val="single" w:sz="8" w:space="0" w:color="000000"/>
              <w:bottom w:val="single" w:sz="8" w:space="0" w:color="000000"/>
              <w:right w:val="single" w:sz="8" w:space="0" w:color="000000"/>
            </w:tcBorders>
            <w:vAlign w:val="center"/>
          </w:tcPr>
          <w:p w14:paraId="2902A0D0" w14:textId="77777777" w:rsidR="00AE708D" w:rsidRPr="00AE708D" w:rsidRDefault="00AE708D" w:rsidP="00AE708D">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E01823" w14:textId="01A18615" w:rsidR="00AE708D" w:rsidRPr="00AE708D" w:rsidRDefault="00AE708D" w:rsidP="00AE708D">
            <w:pPr>
              <w:spacing w:after="0" w:line="240" w:lineRule="auto"/>
              <w:rPr>
                <w:rFonts w:eastAsiaTheme="majorEastAsia" w:cs="Arial"/>
                <w:sz w:val="24"/>
                <w:szCs w:val="24"/>
              </w:rPr>
            </w:pPr>
            <w:r>
              <w:rPr>
                <w:rFonts w:eastAsiaTheme="majorEastAsia" w:cs="Arial"/>
                <w:sz w:val="24"/>
                <w:szCs w:val="24"/>
              </w:rPr>
              <w:t>We Care / KENT project</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0AE8FC" w14:textId="3E3F52D4" w:rsidR="00AE708D" w:rsidRPr="00AE708D" w:rsidRDefault="00AE708D" w:rsidP="00AE708D">
            <w:pPr>
              <w:spacing w:after="0" w:line="240" w:lineRule="auto"/>
              <w:rPr>
                <w:rFonts w:eastAsiaTheme="majorEastAsia" w:cs="Arial"/>
                <w:sz w:val="24"/>
                <w:szCs w:val="24"/>
              </w:rPr>
            </w:pPr>
            <w:r>
              <w:rPr>
                <w:rFonts w:eastAsiaTheme="majorEastAsia" w:cs="Arial"/>
                <w:sz w:val="24"/>
                <w:szCs w:val="24"/>
              </w:rPr>
              <w:t>Clarification of improvement priorities, methodology and metrics.</w:t>
            </w:r>
          </w:p>
        </w:tc>
      </w:tr>
      <w:tr w:rsidR="001C2FBA" w:rsidRPr="00AE708D" w14:paraId="76DC12F8" w14:textId="77777777" w:rsidTr="00AE708D">
        <w:trPr>
          <w:trHeight w:val="584"/>
        </w:trPr>
        <w:tc>
          <w:tcPr>
            <w:tcW w:w="3818" w:type="dxa"/>
            <w:vMerge/>
            <w:tcBorders>
              <w:top w:val="single" w:sz="8" w:space="0" w:color="000000"/>
              <w:left w:val="single" w:sz="8" w:space="0" w:color="000000"/>
              <w:bottom w:val="single" w:sz="8" w:space="0" w:color="000000"/>
              <w:right w:val="single" w:sz="8" w:space="0" w:color="000000"/>
            </w:tcBorders>
            <w:vAlign w:val="center"/>
            <w:hideMark/>
          </w:tcPr>
          <w:p w14:paraId="68DF1F0A" w14:textId="77777777" w:rsidR="001C2FBA" w:rsidRPr="00AE708D" w:rsidRDefault="001C2FBA" w:rsidP="00AE708D">
            <w:pPr>
              <w:spacing w:after="0" w:line="240" w:lineRule="auto"/>
              <w:rPr>
                <w:rFonts w:eastAsiaTheme="majorEastAsia"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B6A084"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PDSA</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8D8A5" w14:textId="77777777" w:rsidR="001C2FBA" w:rsidRPr="00AE708D" w:rsidRDefault="001C2FBA" w:rsidP="00AE708D">
            <w:pPr>
              <w:spacing w:after="0" w:line="240" w:lineRule="auto"/>
              <w:rPr>
                <w:rFonts w:eastAsiaTheme="majorEastAsia" w:cs="Arial"/>
                <w:sz w:val="24"/>
                <w:szCs w:val="24"/>
              </w:rPr>
            </w:pPr>
            <w:r w:rsidRPr="00AE708D">
              <w:rPr>
                <w:rFonts w:eastAsiaTheme="majorEastAsia" w:cs="Arial"/>
                <w:sz w:val="24"/>
                <w:szCs w:val="24"/>
              </w:rPr>
              <w:t>Testing and analyse of small scale change to determine if it is improving the process.</w:t>
            </w:r>
          </w:p>
        </w:tc>
      </w:tr>
    </w:tbl>
    <w:p w14:paraId="6823BF33" w14:textId="2857821C" w:rsidR="00AE708D" w:rsidRPr="00F7212F" w:rsidRDefault="00AE708D" w:rsidP="00F7212F">
      <w:pPr>
        <w:spacing w:before="120" w:after="120" w:line="240" w:lineRule="auto"/>
        <w:rPr>
          <w:rFonts w:eastAsiaTheme="majorEastAsia" w:cs="Arial"/>
          <w:sz w:val="24"/>
          <w:szCs w:val="24"/>
        </w:rPr>
      </w:pPr>
      <w:r w:rsidRPr="00F7212F">
        <w:rPr>
          <w:rFonts w:eastAsiaTheme="majorEastAsia" w:cs="Arial"/>
          <w:sz w:val="24"/>
          <w:szCs w:val="24"/>
        </w:rPr>
        <w:t>Other approaches include</w:t>
      </w:r>
      <w:r w:rsidR="00F7212F" w:rsidRPr="00F7212F">
        <w:rPr>
          <w:rFonts w:eastAsiaTheme="majorEastAsia" w:cs="Arial"/>
          <w:sz w:val="24"/>
          <w:szCs w:val="24"/>
        </w:rPr>
        <w:t xml:space="preserve"> but are not limited to</w:t>
      </w:r>
      <w:r w:rsidRPr="00F7212F">
        <w:rPr>
          <w:rFonts w:eastAsiaTheme="majorEastAsia" w:cs="Arial"/>
          <w:sz w:val="24"/>
          <w:szCs w:val="24"/>
        </w:rPr>
        <w:t>:</w:t>
      </w:r>
    </w:p>
    <w:p w14:paraId="33D1F2BC" w14:textId="6365BFD7" w:rsidR="00D76F60"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Structured Judgement Review</w:t>
      </w:r>
      <w:r w:rsidRPr="009D748C">
        <w:rPr>
          <w:rFonts w:cs="Arial"/>
          <w:sz w:val="24"/>
          <w:szCs w:val="24"/>
        </w:rPr>
        <w:t xml:space="preserve"> </w:t>
      </w:r>
      <w:r w:rsidR="00AE708D" w:rsidRPr="009D748C">
        <w:rPr>
          <w:rFonts w:cs="Arial"/>
          <w:sz w:val="24"/>
          <w:szCs w:val="24"/>
        </w:rPr>
        <w:t>is a case note review to identify learning to be discussed at speciality Mortality and Morbidity meetings and/or the Learning from Deaths Panel and shared within and between specialities.</w:t>
      </w:r>
    </w:p>
    <w:p w14:paraId="53DB6EF7" w14:textId="7A2B459F" w:rsidR="00820DB2" w:rsidRDefault="00820DB2" w:rsidP="009D748C">
      <w:pPr>
        <w:pStyle w:val="ListParagraph"/>
        <w:numPr>
          <w:ilvl w:val="0"/>
          <w:numId w:val="10"/>
        </w:numPr>
        <w:spacing w:after="0" w:line="240" w:lineRule="auto"/>
        <w:ind w:left="426" w:hanging="426"/>
        <w:rPr>
          <w:rFonts w:cs="Arial"/>
          <w:sz w:val="24"/>
          <w:szCs w:val="24"/>
        </w:rPr>
      </w:pPr>
      <w:r>
        <w:rPr>
          <w:rFonts w:cs="Arial"/>
          <w:b/>
          <w:sz w:val="24"/>
          <w:szCs w:val="24"/>
        </w:rPr>
        <w:t xml:space="preserve">*Complaint investigations </w:t>
      </w:r>
      <w:r>
        <w:rPr>
          <w:rFonts w:cs="Arial"/>
          <w:sz w:val="24"/>
          <w:szCs w:val="24"/>
        </w:rPr>
        <w:t>may include patient safety issues and learning.</w:t>
      </w:r>
    </w:p>
    <w:p w14:paraId="0464AEEB" w14:textId="691AD4ED" w:rsidR="00820DB2" w:rsidRDefault="00820DB2" w:rsidP="009D748C">
      <w:pPr>
        <w:pStyle w:val="ListParagraph"/>
        <w:numPr>
          <w:ilvl w:val="0"/>
          <w:numId w:val="10"/>
        </w:numPr>
        <w:spacing w:after="0" w:line="240" w:lineRule="auto"/>
        <w:ind w:left="426" w:hanging="426"/>
        <w:rPr>
          <w:rFonts w:cs="Arial"/>
          <w:sz w:val="24"/>
          <w:szCs w:val="24"/>
        </w:rPr>
      </w:pPr>
      <w:r>
        <w:rPr>
          <w:rFonts w:cs="Arial"/>
          <w:b/>
          <w:sz w:val="24"/>
          <w:szCs w:val="24"/>
        </w:rPr>
        <w:t xml:space="preserve">*Inquest review and preparation </w:t>
      </w:r>
      <w:r>
        <w:rPr>
          <w:rFonts w:cs="Arial"/>
          <w:sz w:val="24"/>
          <w:szCs w:val="24"/>
        </w:rPr>
        <w:t>may include patient safety issues and identify learning.  This includes responses to Prevention of Future Deaths.</w:t>
      </w:r>
    </w:p>
    <w:p w14:paraId="517D74F2" w14:textId="45678527" w:rsidR="00820DB2" w:rsidRPr="00820DB2" w:rsidRDefault="00820DB2" w:rsidP="009D748C">
      <w:pPr>
        <w:pStyle w:val="ListParagraph"/>
        <w:numPr>
          <w:ilvl w:val="0"/>
          <w:numId w:val="10"/>
        </w:numPr>
        <w:spacing w:after="0" w:line="240" w:lineRule="auto"/>
        <w:ind w:left="426" w:hanging="426"/>
        <w:rPr>
          <w:rFonts w:cs="Arial"/>
          <w:sz w:val="24"/>
          <w:szCs w:val="24"/>
        </w:rPr>
      </w:pPr>
      <w:r>
        <w:rPr>
          <w:rFonts w:cs="Arial"/>
          <w:b/>
          <w:sz w:val="24"/>
          <w:szCs w:val="24"/>
        </w:rPr>
        <w:t xml:space="preserve">*Clinical Claim reviews </w:t>
      </w:r>
      <w:r>
        <w:rPr>
          <w:rFonts w:cs="Arial"/>
          <w:sz w:val="24"/>
          <w:szCs w:val="24"/>
        </w:rPr>
        <w:t>may include patient safety issues and identify learning.</w:t>
      </w:r>
    </w:p>
    <w:p w14:paraId="6A2D0923" w14:textId="2F6C0914" w:rsidR="00820DB2" w:rsidRPr="009D748C" w:rsidRDefault="00820DB2" w:rsidP="009D748C">
      <w:pPr>
        <w:pStyle w:val="ListParagraph"/>
        <w:numPr>
          <w:ilvl w:val="0"/>
          <w:numId w:val="10"/>
        </w:numPr>
        <w:spacing w:after="0" w:line="240" w:lineRule="auto"/>
        <w:ind w:left="426" w:hanging="426"/>
        <w:rPr>
          <w:rFonts w:cs="Arial"/>
          <w:sz w:val="24"/>
          <w:szCs w:val="24"/>
        </w:rPr>
      </w:pPr>
      <w:r>
        <w:rPr>
          <w:rFonts w:cs="Arial"/>
          <w:b/>
          <w:sz w:val="24"/>
          <w:szCs w:val="24"/>
        </w:rPr>
        <w:t xml:space="preserve">*Safeguarding reviews and Section 42 investigations </w:t>
      </w:r>
      <w:r>
        <w:rPr>
          <w:rFonts w:cs="Arial"/>
          <w:sz w:val="24"/>
          <w:szCs w:val="24"/>
        </w:rPr>
        <w:t>may include patient safety issues and identify learning.</w:t>
      </w:r>
    </w:p>
    <w:p w14:paraId="4E4B56F2" w14:textId="77777777" w:rsidR="00AE708D" w:rsidRPr="009D748C" w:rsidRDefault="00AE708D"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Obtaining clinical or non-clinical specialist opinion.</w:t>
      </w:r>
    </w:p>
    <w:p w14:paraId="4A1F85C3" w14:textId="5FE3F843" w:rsidR="00D76F60" w:rsidRPr="009D748C"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Risk Assessment/New Risk</w:t>
      </w:r>
      <w:r w:rsidRPr="009D748C">
        <w:rPr>
          <w:rFonts w:cs="Arial"/>
          <w:sz w:val="24"/>
          <w:szCs w:val="24"/>
        </w:rPr>
        <w:t xml:space="preserve"> on the Risk Register</w:t>
      </w:r>
      <w:r w:rsidR="00AE708D" w:rsidRPr="009D748C">
        <w:rPr>
          <w:rFonts w:cs="Arial"/>
          <w:sz w:val="24"/>
          <w:szCs w:val="24"/>
        </w:rPr>
        <w:t xml:space="preserve"> with associated mitigations and planned actions.</w:t>
      </w:r>
    </w:p>
    <w:p w14:paraId="365B64F4" w14:textId="77777777" w:rsidR="00D76F60" w:rsidRPr="009D748C"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Observation Guide</w:t>
      </w:r>
      <w:r w:rsidRPr="009D748C">
        <w:rPr>
          <w:rFonts w:cs="Arial"/>
          <w:sz w:val="24"/>
          <w:szCs w:val="24"/>
        </w:rPr>
        <w:t xml:space="preserve"> – Observing care as delivered rather than described.</w:t>
      </w:r>
    </w:p>
    <w:p w14:paraId="6B3CB9AF" w14:textId="77777777" w:rsidR="00D76F60" w:rsidRPr="009D748C"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Walkthrough Guide</w:t>
      </w:r>
      <w:r w:rsidRPr="009D748C">
        <w:rPr>
          <w:rFonts w:cs="Arial"/>
          <w:sz w:val="24"/>
          <w:szCs w:val="24"/>
        </w:rPr>
        <w:t xml:space="preserve"> – structure process to collecting and analysing information regarding a task or process.  </w:t>
      </w:r>
    </w:p>
    <w:p w14:paraId="13AC4EA3" w14:textId="77777777" w:rsidR="00D76F60" w:rsidRPr="009D748C"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Link Analysis Guide</w:t>
      </w:r>
      <w:r w:rsidRPr="009D748C">
        <w:rPr>
          <w:rFonts w:cs="Arial"/>
          <w:sz w:val="24"/>
          <w:szCs w:val="24"/>
        </w:rPr>
        <w:t xml:space="preserve"> supports the identification of the frequency of interactions in a specific location or environment. </w:t>
      </w:r>
    </w:p>
    <w:p w14:paraId="54517198" w14:textId="77777777" w:rsidR="00D76F60" w:rsidRPr="009D748C"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Interview Guide</w:t>
      </w:r>
      <w:r w:rsidRPr="009D748C">
        <w:rPr>
          <w:rFonts w:cs="Arial"/>
          <w:sz w:val="24"/>
          <w:szCs w:val="24"/>
        </w:rPr>
        <w:t xml:space="preserve"> will support the use of the cognitive interview. </w:t>
      </w:r>
    </w:p>
    <w:p w14:paraId="537FBEC4" w14:textId="77777777" w:rsidR="00D76F60" w:rsidRPr="009D748C"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Timeline Mapping</w:t>
      </w:r>
      <w:r w:rsidRPr="009D748C">
        <w:rPr>
          <w:rFonts w:cs="Arial"/>
          <w:sz w:val="24"/>
          <w:szCs w:val="24"/>
        </w:rPr>
        <w:t xml:space="preserve"> is describing what occurred in chronological order </w:t>
      </w:r>
    </w:p>
    <w:p w14:paraId="2ED74A04" w14:textId="77777777" w:rsidR="00AE708D" w:rsidRPr="009D748C" w:rsidRDefault="00D76F60"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Work System Scan</w:t>
      </w:r>
      <w:r w:rsidR="00AE708D" w:rsidRPr="009D748C">
        <w:rPr>
          <w:rFonts w:cs="Arial"/>
          <w:b/>
          <w:sz w:val="24"/>
          <w:szCs w:val="24"/>
        </w:rPr>
        <w:t xml:space="preserve"> / SEIPS analysis</w:t>
      </w:r>
      <w:r w:rsidRPr="009D748C">
        <w:rPr>
          <w:rFonts w:cs="Arial"/>
          <w:sz w:val="24"/>
          <w:szCs w:val="24"/>
        </w:rPr>
        <w:t xml:space="preserve"> is a checklist and documentation tool to ensure the breadth or work system that is considered</w:t>
      </w:r>
      <w:r w:rsidR="00AE708D" w:rsidRPr="009D748C">
        <w:rPr>
          <w:rFonts w:cs="Arial"/>
          <w:sz w:val="24"/>
          <w:szCs w:val="24"/>
        </w:rPr>
        <w:t xml:space="preserve"> (this is incorporated into AAR and Swarm huddle and routinely used in PSIIs).</w:t>
      </w:r>
    </w:p>
    <w:p w14:paraId="66C64A48" w14:textId="5F8E6C0D" w:rsidR="00D76F60" w:rsidRPr="009D748C" w:rsidRDefault="00AE708D"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 xml:space="preserve">Table top review </w:t>
      </w:r>
      <w:r w:rsidRPr="009D748C">
        <w:rPr>
          <w:rFonts w:cs="Arial"/>
          <w:sz w:val="24"/>
          <w:szCs w:val="24"/>
        </w:rPr>
        <w:t xml:space="preserve">of a single incidents using a SEIPS or MDT review approach. </w:t>
      </w:r>
    </w:p>
    <w:p w14:paraId="417E371C" w14:textId="77777777" w:rsidR="00D76F60" w:rsidRPr="009D748C" w:rsidRDefault="00D76F60" w:rsidP="009D748C">
      <w:pPr>
        <w:pStyle w:val="ListParagraph"/>
        <w:numPr>
          <w:ilvl w:val="0"/>
          <w:numId w:val="10"/>
        </w:numPr>
        <w:spacing w:after="0" w:line="240" w:lineRule="auto"/>
        <w:ind w:left="426" w:hanging="426"/>
        <w:rPr>
          <w:rFonts w:cs="Arial"/>
          <w:b/>
          <w:sz w:val="24"/>
          <w:szCs w:val="24"/>
        </w:rPr>
      </w:pPr>
      <w:r w:rsidRPr="009D748C">
        <w:rPr>
          <w:rFonts w:cs="Arial"/>
          <w:b/>
          <w:sz w:val="24"/>
          <w:szCs w:val="24"/>
        </w:rPr>
        <w:t xml:space="preserve">Undertaking Research </w:t>
      </w:r>
    </w:p>
    <w:p w14:paraId="69F4BA38" w14:textId="5EA50AEC" w:rsidR="00E23639" w:rsidRDefault="00AE708D" w:rsidP="009D748C">
      <w:pPr>
        <w:pStyle w:val="ListParagraph"/>
        <w:numPr>
          <w:ilvl w:val="0"/>
          <w:numId w:val="10"/>
        </w:numPr>
        <w:spacing w:after="0" w:line="240" w:lineRule="auto"/>
        <w:ind w:left="426" w:hanging="426"/>
        <w:rPr>
          <w:rFonts w:cs="Arial"/>
          <w:sz w:val="24"/>
          <w:szCs w:val="24"/>
        </w:rPr>
      </w:pPr>
      <w:r w:rsidRPr="009D748C">
        <w:rPr>
          <w:rFonts w:cs="Arial"/>
          <w:b/>
          <w:sz w:val="24"/>
          <w:szCs w:val="24"/>
        </w:rPr>
        <w:t>Action plan / Safety improvement plan</w:t>
      </w:r>
      <w:r w:rsidRPr="009D748C">
        <w:rPr>
          <w:rFonts w:cs="Arial"/>
          <w:sz w:val="24"/>
          <w:szCs w:val="24"/>
        </w:rPr>
        <w:t xml:space="preserve"> development and implementation.</w:t>
      </w:r>
    </w:p>
    <w:p w14:paraId="7CA0E496" w14:textId="6D2CF211" w:rsidR="00820DB2" w:rsidRDefault="00820DB2" w:rsidP="00820DB2">
      <w:pPr>
        <w:spacing w:after="0" w:line="240" w:lineRule="auto"/>
        <w:rPr>
          <w:rFonts w:cs="Arial"/>
          <w:sz w:val="24"/>
          <w:szCs w:val="24"/>
        </w:rPr>
      </w:pPr>
    </w:p>
    <w:p w14:paraId="704F564E" w14:textId="530C77B9" w:rsidR="00820DB2" w:rsidRPr="00820DB2" w:rsidRDefault="00820DB2" w:rsidP="00820DB2">
      <w:pPr>
        <w:spacing w:after="0" w:line="240" w:lineRule="auto"/>
        <w:rPr>
          <w:rFonts w:cs="Arial"/>
          <w:sz w:val="24"/>
          <w:szCs w:val="24"/>
        </w:rPr>
      </w:pPr>
      <w:r w:rsidRPr="00820DB2">
        <w:rPr>
          <w:rFonts w:cs="Arial"/>
          <w:sz w:val="24"/>
          <w:szCs w:val="24"/>
        </w:rPr>
        <w:t>*</w:t>
      </w:r>
      <w:r>
        <w:rPr>
          <w:rFonts w:cs="Arial"/>
          <w:sz w:val="24"/>
          <w:szCs w:val="24"/>
        </w:rPr>
        <w:t xml:space="preserve"> In determining</w:t>
      </w:r>
      <w:r w:rsidR="004F5D21">
        <w:rPr>
          <w:rFonts w:cs="Arial"/>
          <w:sz w:val="24"/>
          <w:szCs w:val="24"/>
        </w:rPr>
        <w:t xml:space="preserve"> and confirming</w:t>
      </w:r>
      <w:r>
        <w:rPr>
          <w:rFonts w:cs="Arial"/>
          <w:sz w:val="24"/>
          <w:szCs w:val="24"/>
        </w:rPr>
        <w:t xml:space="preserve"> the most proportionate response</w:t>
      </w:r>
      <w:r w:rsidR="00280AB5">
        <w:rPr>
          <w:rFonts w:cs="Arial"/>
          <w:sz w:val="24"/>
          <w:szCs w:val="24"/>
        </w:rPr>
        <w:t xml:space="preserve"> under PSIRF</w:t>
      </w:r>
      <w:r>
        <w:rPr>
          <w:rFonts w:cs="Arial"/>
          <w:sz w:val="24"/>
          <w:szCs w:val="24"/>
        </w:rPr>
        <w:t>, consideration will include whether there is scope for further learning with a</w:t>
      </w:r>
      <w:r w:rsidR="007D45C0">
        <w:rPr>
          <w:rFonts w:cs="Arial"/>
          <w:sz w:val="24"/>
          <w:szCs w:val="24"/>
        </w:rPr>
        <w:t>n additional</w:t>
      </w:r>
      <w:r>
        <w:rPr>
          <w:rFonts w:cs="Arial"/>
          <w:sz w:val="24"/>
          <w:szCs w:val="24"/>
        </w:rPr>
        <w:t xml:space="preserve"> </w:t>
      </w:r>
      <w:r w:rsidR="004F5D21">
        <w:rPr>
          <w:rFonts w:cs="Arial"/>
          <w:sz w:val="24"/>
          <w:szCs w:val="24"/>
        </w:rPr>
        <w:t xml:space="preserve">patient safety learning response </w:t>
      </w:r>
      <w:r w:rsidR="007D45C0">
        <w:rPr>
          <w:rFonts w:cs="Arial"/>
          <w:sz w:val="24"/>
          <w:szCs w:val="24"/>
        </w:rPr>
        <w:t>or</w:t>
      </w:r>
      <w:r w:rsidR="004F5D21">
        <w:rPr>
          <w:rFonts w:cs="Arial"/>
          <w:sz w:val="24"/>
          <w:szCs w:val="24"/>
        </w:rPr>
        <w:t xml:space="preserve"> whether a patient safety learning response may be appropriate to inform other types of investigations and reviews conducted within the Trust.</w:t>
      </w:r>
    </w:p>
    <w:sectPr w:rsidR="00820DB2" w:rsidRPr="00820DB2" w:rsidSect="00ED72CC">
      <w:type w:val="continuous"/>
      <w:pgSz w:w="16838" w:h="11906" w:orient="landscape"/>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987E8" w14:textId="77777777" w:rsidR="008E124B" w:rsidRDefault="008E124B" w:rsidP="00B31C5A">
      <w:pPr>
        <w:spacing w:after="0" w:line="240" w:lineRule="auto"/>
      </w:pPr>
      <w:r>
        <w:separator/>
      </w:r>
    </w:p>
  </w:endnote>
  <w:endnote w:type="continuationSeparator" w:id="0">
    <w:p w14:paraId="1BDC15FD" w14:textId="77777777" w:rsidR="008E124B" w:rsidRDefault="008E124B" w:rsidP="00B31C5A">
      <w:pPr>
        <w:spacing w:after="0" w:line="240" w:lineRule="auto"/>
      </w:pPr>
      <w:r>
        <w:continuationSeparator/>
      </w:r>
    </w:p>
  </w:endnote>
  <w:endnote w:type="continuationNotice" w:id="1">
    <w:p w14:paraId="065F2A89" w14:textId="77777777" w:rsidR="008E124B" w:rsidRDefault="008E1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C25B" w14:textId="77777777" w:rsidR="00820DB2" w:rsidRPr="00012145" w:rsidRDefault="00820DB2" w:rsidP="00602F71">
    <w:pPr>
      <w:tabs>
        <w:tab w:val="left" w:pos="1418"/>
      </w:tabs>
      <w:spacing w:after="0" w:line="240" w:lineRule="auto"/>
      <w:ind w:left="-567" w:right="-45"/>
      <w:rPr>
        <w:sz w:val="24"/>
        <w:szCs w:val="24"/>
      </w:rPr>
    </w:pPr>
    <w:r w:rsidRPr="00012145">
      <w:rPr>
        <w:sz w:val="24"/>
        <w:szCs w:val="24"/>
      </w:rPr>
      <w:t>Patient Safety Incident Response Plan</w:t>
    </w:r>
  </w:p>
  <w:p w14:paraId="465049A1" w14:textId="7171B47F" w:rsidR="00820DB2" w:rsidRPr="00012145" w:rsidRDefault="00820DB2" w:rsidP="00602F71">
    <w:pPr>
      <w:tabs>
        <w:tab w:val="left" w:pos="1418"/>
      </w:tabs>
      <w:spacing w:after="0" w:line="240" w:lineRule="auto"/>
      <w:ind w:left="-567" w:right="-45"/>
      <w:rPr>
        <w:sz w:val="24"/>
        <w:szCs w:val="24"/>
      </w:rPr>
    </w:pPr>
    <w:r w:rsidRPr="00012145">
      <w:rPr>
        <w:sz w:val="24"/>
        <w:szCs w:val="24"/>
      </w:rPr>
      <w:t>V</w:t>
    </w:r>
    <w:r>
      <w:rPr>
        <w:sz w:val="24"/>
        <w:szCs w:val="24"/>
      </w:rPr>
      <w:t>ersion 2.0 final</w:t>
    </w:r>
    <w:r w:rsidRPr="00012145">
      <w:rPr>
        <w:sz w:val="24"/>
        <w:szCs w:val="24"/>
      </w:rPr>
      <w:ptab w:relativeTo="margin" w:alignment="right" w:leader="none"/>
    </w:r>
    <w:r w:rsidRPr="00012145">
      <w:rPr>
        <w:sz w:val="24"/>
        <w:szCs w:val="24"/>
      </w:rPr>
      <w:t xml:space="preserve">Page </w:t>
    </w:r>
    <w:r w:rsidRPr="00012145">
      <w:rPr>
        <w:b/>
        <w:sz w:val="24"/>
        <w:szCs w:val="24"/>
      </w:rPr>
      <w:fldChar w:fldCharType="begin"/>
    </w:r>
    <w:r w:rsidRPr="00012145">
      <w:rPr>
        <w:b/>
        <w:sz w:val="24"/>
        <w:szCs w:val="24"/>
      </w:rPr>
      <w:instrText xml:space="preserve"> PAGE  \* Arabic  \* MERGEFORMAT </w:instrText>
    </w:r>
    <w:r w:rsidRPr="00012145">
      <w:rPr>
        <w:b/>
        <w:sz w:val="24"/>
        <w:szCs w:val="24"/>
      </w:rPr>
      <w:fldChar w:fldCharType="separate"/>
    </w:r>
    <w:r w:rsidRPr="00012145">
      <w:rPr>
        <w:b/>
        <w:noProof/>
        <w:sz w:val="24"/>
        <w:szCs w:val="24"/>
      </w:rPr>
      <w:t>12</w:t>
    </w:r>
    <w:r w:rsidRPr="00012145">
      <w:rPr>
        <w:b/>
        <w:sz w:val="24"/>
        <w:szCs w:val="24"/>
      </w:rPr>
      <w:fldChar w:fldCharType="end"/>
    </w:r>
    <w:r w:rsidRPr="00012145">
      <w:rPr>
        <w:sz w:val="24"/>
        <w:szCs w:val="24"/>
      </w:rPr>
      <w:t xml:space="preserve"> of </w:t>
    </w:r>
    <w:r w:rsidRPr="00012145">
      <w:rPr>
        <w:b/>
        <w:sz w:val="24"/>
        <w:szCs w:val="24"/>
      </w:rPr>
      <w:fldChar w:fldCharType="begin"/>
    </w:r>
    <w:r w:rsidRPr="00012145">
      <w:rPr>
        <w:b/>
        <w:sz w:val="24"/>
        <w:szCs w:val="24"/>
      </w:rPr>
      <w:instrText xml:space="preserve"> NUMPAGES  \* Arabic  \* MERGEFORMAT </w:instrText>
    </w:r>
    <w:r w:rsidRPr="00012145">
      <w:rPr>
        <w:b/>
        <w:sz w:val="24"/>
        <w:szCs w:val="24"/>
      </w:rPr>
      <w:fldChar w:fldCharType="separate"/>
    </w:r>
    <w:r w:rsidRPr="00012145">
      <w:rPr>
        <w:b/>
        <w:noProof/>
        <w:sz w:val="24"/>
        <w:szCs w:val="24"/>
      </w:rPr>
      <w:t>12</w:t>
    </w:r>
    <w:r w:rsidRPr="00012145">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5B92" w14:textId="77777777" w:rsidR="00820DB2" w:rsidRDefault="00820DB2" w:rsidP="001C2FBA">
    <w:pPr>
      <w:pStyle w:val="Footer"/>
      <w:jc w:val="center"/>
    </w:pPr>
    <w:r w:rsidRPr="00E7033D">
      <w:rPr>
        <w:sz w:val="20"/>
        <w:szCs w:val="20"/>
      </w:rPr>
      <w:t xml:space="preserve">Page </w:t>
    </w:r>
    <w:r w:rsidRPr="00E7033D">
      <w:rPr>
        <w:b/>
        <w:bCs/>
        <w:sz w:val="20"/>
        <w:szCs w:val="20"/>
      </w:rPr>
      <w:fldChar w:fldCharType="begin"/>
    </w:r>
    <w:r w:rsidRPr="00E7033D">
      <w:rPr>
        <w:b/>
        <w:bCs/>
        <w:sz w:val="20"/>
        <w:szCs w:val="20"/>
      </w:rPr>
      <w:instrText xml:space="preserve"> PAGE </w:instrText>
    </w:r>
    <w:r w:rsidRPr="00E7033D">
      <w:rPr>
        <w:b/>
        <w:bCs/>
        <w:sz w:val="20"/>
        <w:szCs w:val="20"/>
      </w:rPr>
      <w:fldChar w:fldCharType="separate"/>
    </w:r>
    <w:r>
      <w:rPr>
        <w:b/>
        <w:bCs/>
        <w:sz w:val="20"/>
        <w:szCs w:val="20"/>
      </w:rPr>
      <w:t>33</w:t>
    </w:r>
    <w:r w:rsidRPr="00E7033D">
      <w:rPr>
        <w:b/>
        <w:bCs/>
        <w:sz w:val="20"/>
        <w:szCs w:val="20"/>
      </w:rPr>
      <w:fldChar w:fldCharType="end"/>
    </w:r>
    <w:r w:rsidRPr="00E7033D">
      <w:rPr>
        <w:sz w:val="20"/>
        <w:szCs w:val="20"/>
      </w:rPr>
      <w:t xml:space="preserve"> of </w:t>
    </w:r>
    <w:r w:rsidRPr="00E7033D">
      <w:rPr>
        <w:b/>
        <w:bCs/>
        <w:sz w:val="20"/>
        <w:szCs w:val="20"/>
      </w:rPr>
      <w:fldChar w:fldCharType="begin"/>
    </w:r>
    <w:r w:rsidRPr="00E7033D">
      <w:rPr>
        <w:b/>
        <w:bCs/>
        <w:sz w:val="20"/>
        <w:szCs w:val="20"/>
      </w:rPr>
      <w:instrText xml:space="preserve"> NUMPAGES  </w:instrText>
    </w:r>
    <w:r w:rsidRPr="00E7033D">
      <w:rPr>
        <w:b/>
        <w:bCs/>
        <w:sz w:val="20"/>
        <w:szCs w:val="20"/>
      </w:rPr>
      <w:fldChar w:fldCharType="separate"/>
    </w:r>
    <w:r>
      <w:rPr>
        <w:b/>
        <w:bCs/>
        <w:sz w:val="20"/>
        <w:szCs w:val="20"/>
      </w:rPr>
      <w:t>33</w:t>
    </w:r>
    <w:r w:rsidRPr="00E7033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BA5D2" w14:textId="77777777" w:rsidR="008E124B" w:rsidRDefault="008E124B" w:rsidP="00B31C5A">
      <w:pPr>
        <w:spacing w:after="0" w:line="240" w:lineRule="auto"/>
      </w:pPr>
      <w:r>
        <w:separator/>
      </w:r>
    </w:p>
  </w:footnote>
  <w:footnote w:type="continuationSeparator" w:id="0">
    <w:p w14:paraId="213D359E" w14:textId="77777777" w:rsidR="008E124B" w:rsidRDefault="008E124B" w:rsidP="00B31C5A">
      <w:pPr>
        <w:spacing w:after="0" w:line="240" w:lineRule="auto"/>
      </w:pPr>
      <w:r>
        <w:continuationSeparator/>
      </w:r>
    </w:p>
  </w:footnote>
  <w:footnote w:type="continuationNotice" w:id="1">
    <w:p w14:paraId="366C8B27" w14:textId="77777777" w:rsidR="008E124B" w:rsidRDefault="008E1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FB70" w14:textId="02807E75" w:rsidR="00ED30E6" w:rsidRDefault="00ED30E6">
    <w:pPr>
      <w:pStyle w:val="Header"/>
    </w:pPr>
    <w:r w:rsidRPr="00F57973">
      <w:rPr>
        <w:rFonts w:cs="Arial"/>
        <w:bCs/>
        <w:noProof/>
        <w:sz w:val="24"/>
        <w:szCs w:val="24"/>
      </w:rPr>
      <w:drawing>
        <wp:inline distT="0" distB="0" distL="0" distR="0" wp14:anchorId="29C0951D" wp14:editId="1F0556A2">
          <wp:extent cx="1177576" cy="912578"/>
          <wp:effectExtent l="0" t="0" r="3810" b="1905"/>
          <wp:docPr id="1" name="Picture 1" descr="PSIRF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IRF Frutiger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576" cy="912578"/>
                  </a:xfrm>
                  <a:prstGeom prst="rect">
                    <a:avLst/>
                  </a:prstGeom>
                </pic:spPr>
              </pic:pic>
            </a:graphicData>
          </a:graphic>
        </wp:inline>
      </w:drawing>
    </w:r>
    <w:r>
      <w:ptab w:relativeTo="margin" w:alignment="center" w:leader="none"/>
    </w:r>
    <w:r>
      <w:ptab w:relativeTo="margin" w:alignment="right" w:leader="none"/>
    </w:r>
    <w:r w:rsidRPr="00F57973">
      <w:rPr>
        <w:rFonts w:cs="Arial"/>
        <w:b/>
        <w:noProof/>
      </w:rPr>
      <w:drawing>
        <wp:inline distT="0" distB="0" distL="0" distR="0" wp14:anchorId="1D25B4B3" wp14:editId="4A920541">
          <wp:extent cx="2115833" cy="1005840"/>
          <wp:effectExtent l="0" t="0" r="0" b="381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1816" t="17090" r="8166" b="19345"/>
                  <a:stretch/>
                </pic:blipFill>
                <pic:spPr bwMode="auto">
                  <a:xfrm>
                    <a:off x="0" y="0"/>
                    <a:ext cx="2116832" cy="1006315"/>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ECFAEF"/>
    <w:multiLevelType w:val="hybridMultilevel"/>
    <w:tmpl w:val="7D4F59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61A7F8"/>
    <w:multiLevelType w:val="hybridMultilevel"/>
    <w:tmpl w:val="010BE5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CF327D"/>
    <w:multiLevelType w:val="hybridMultilevel"/>
    <w:tmpl w:val="60FEAA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00ECC7"/>
    <w:multiLevelType w:val="hybridMultilevel"/>
    <w:tmpl w:val="18CC73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F2453F"/>
    <w:multiLevelType w:val="hybridMultilevel"/>
    <w:tmpl w:val="9A02D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D8404D"/>
    <w:multiLevelType w:val="hybridMultilevel"/>
    <w:tmpl w:val="32F09D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9F3A3A"/>
    <w:multiLevelType w:val="hybridMultilevel"/>
    <w:tmpl w:val="E64C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6019E"/>
    <w:multiLevelType w:val="hybridMultilevel"/>
    <w:tmpl w:val="F6583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1045"/>
    <w:multiLevelType w:val="hybridMultilevel"/>
    <w:tmpl w:val="B274A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FA3830"/>
    <w:multiLevelType w:val="multilevel"/>
    <w:tmpl w:val="39863354"/>
    <w:lvl w:ilvl="0">
      <w:start w:val="1"/>
      <w:numFmt w:val="decimal"/>
      <w:pStyle w:val="Heading1"/>
      <w:lvlText w:val="%1."/>
      <w:lvlJc w:val="left"/>
      <w:pPr>
        <w:ind w:left="0" w:hanging="567"/>
      </w:pPr>
      <w:rPr>
        <w:rFonts w:hint="default"/>
      </w:rPr>
    </w:lvl>
    <w:lvl w:ilvl="1">
      <w:start w:val="1"/>
      <w:numFmt w:val="decimal"/>
      <w:lvlText w:val="%1.%2."/>
      <w:lvlJc w:val="left"/>
      <w:pPr>
        <w:ind w:left="567" w:hanging="567"/>
      </w:pPr>
      <w:rPr>
        <w:rFonts w:hint="default"/>
      </w:rPr>
    </w:lvl>
    <w:lvl w:ilvl="2">
      <w:start w:val="1"/>
      <w:numFmt w:val="decimal"/>
      <w:lvlText w:val="%1.%2.%3."/>
      <w:lvlJc w:val="right"/>
      <w:pPr>
        <w:ind w:left="3686" w:hanging="567"/>
      </w:pPr>
      <w:rPr>
        <w:rFonts w:hint="default"/>
      </w:rPr>
    </w:lvl>
    <w:lvl w:ilvl="3">
      <w:start w:val="1"/>
      <w:numFmt w:val="bullet"/>
      <w:lvlText w:val=""/>
      <w:lvlJc w:val="left"/>
      <w:pPr>
        <w:ind w:left="1701" w:hanging="567"/>
      </w:pPr>
      <w:rPr>
        <w:rFonts w:ascii="Symbol" w:hAnsi="Symbol" w:hint="default"/>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8C4906"/>
    <w:multiLevelType w:val="hybridMultilevel"/>
    <w:tmpl w:val="61684D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1C451B"/>
    <w:multiLevelType w:val="hybridMultilevel"/>
    <w:tmpl w:val="5A1E9FC2"/>
    <w:lvl w:ilvl="0" w:tplc="BB425BB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E476F"/>
    <w:multiLevelType w:val="hybridMultilevel"/>
    <w:tmpl w:val="24C85FCC"/>
    <w:lvl w:ilvl="0" w:tplc="7376D6D6">
      <w:start w:val="1"/>
      <w:numFmt w:val="bullet"/>
      <w:lvlText w:val="•"/>
      <w:lvlJc w:val="left"/>
      <w:pPr>
        <w:ind w:left="927" w:hanging="360"/>
      </w:pPr>
      <w:rPr>
        <w:rFonts w:ascii="Arial"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95B40AE"/>
    <w:multiLevelType w:val="hybridMultilevel"/>
    <w:tmpl w:val="3692F2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3A3324"/>
    <w:multiLevelType w:val="hybridMultilevel"/>
    <w:tmpl w:val="3DA66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2903D8"/>
    <w:multiLevelType w:val="hybridMultilevel"/>
    <w:tmpl w:val="3FEA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83014"/>
    <w:multiLevelType w:val="hybridMultilevel"/>
    <w:tmpl w:val="40149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112355"/>
    <w:multiLevelType w:val="hybridMultilevel"/>
    <w:tmpl w:val="17D6BC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9F5659"/>
    <w:multiLevelType w:val="hybridMultilevel"/>
    <w:tmpl w:val="D1C4D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5A57CA"/>
    <w:multiLevelType w:val="hybridMultilevel"/>
    <w:tmpl w:val="5CFE1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AF4FEB"/>
    <w:multiLevelType w:val="hybridMultilevel"/>
    <w:tmpl w:val="65F02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49329B"/>
    <w:multiLevelType w:val="hybridMultilevel"/>
    <w:tmpl w:val="21AC1EBE"/>
    <w:lvl w:ilvl="0" w:tplc="92F068F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51327F"/>
    <w:multiLevelType w:val="hybridMultilevel"/>
    <w:tmpl w:val="C5307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1FD20A"/>
    <w:multiLevelType w:val="hybridMultilevel"/>
    <w:tmpl w:val="DC73AA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3E1033D"/>
    <w:multiLevelType w:val="hybridMultilevel"/>
    <w:tmpl w:val="B8982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663430"/>
    <w:multiLevelType w:val="hybridMultilevel"/>
    <w:tmpl w:val="8C8A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433528"/>
    <w:multiLevelType w:val="hybridMultilevel"/>
    <w:tmpl w:val="AAE6D430"/>
    <w:lvl w:ilvl="0" w:tplc="64D4B0B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0C7023"/>
    <w:multiLevelType w:val="hybridMultilevel"/>
    <w:tmpl w:val="9A8EE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BE7AFB"/>
    <w:multiLevelType w:val="hybridMultilevel"/>
    <w:tmpl w:val="D1A08172"/>
    <w:lvl w:ilvl="0" w:tplc="ABEE3E7E">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513DAF"/>
    <w:multiLevelType w:val="hybridMultilevel"/>
    <w:tmpl w:val="58BE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7B72AF"/>
    <w:multiLevelType w:val="multilevel"/>
    <w:tmpl w:val="FBEC581A"/>
    <w:lvl w:ilvl="0">
      <w:start w:val="1"/>
      <w:numFmt w:val="decimal"/>
      <w:pStyle w:val="Policyheader"/>
      <w:lvlText w:val="%1."/>
      <w:lvlJc w:val="left"/>
      <w:pPr>
        <w:ind w:left="360" w:hanging="360"/>
      </w:pPr>
    </w:lvl>
    <w:lvl w:ilvl="1">
      <w:start w:val="1"/>
      <w:numFmt w:val="decimal"/>
      <w:pStyle w:val="Policybulletlevel2"/>
      <w:lvlText w:val="%1.%2."/>
      <w:lvlJc w:val="left"/>
      <w:pPr>
        <w:ind w:left="1141" w:hanging="432"/>
      </w:pPr>
      <w:rPr>
        <w:rFonts w:cs="Times New Roman"/>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bulletLevel3"/>
      <w:lvlText w:val="%1.%2.%3."/>
      <w:lvlJc w:val="left"/>
      <w:pPr>
        <w:ind w:left="2489"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licybulletlevel4"/>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9"/>
  </w:num>
  <w:num w:numId="3">
    <w:abstractNumId w:val="25"/>
  </w:num>
  <w:num w:numId="4">
    <w:abstractNumId w:val="19"/>
  </w:num>
  <w:num w:numId="5">
    <w:abstractNumId w:val="14"/>
  </w:num>
  <w:num w:numId="6">
    <w:abstractNumId w:val="22"/>
  </w:num>
  <w:num w:numId="7">
    <w:abstractNumId w:val="27"/>
  </w:num>
  <w:num w:numId="8">
    <w:abstractNumId w:val="16"/>
  </w:num>
  <w:num w:numId="9">
    <w:abstractNumId w:val="24"/>
  </w:num>
  <w:num w:numId="10">
    <w:abstractNumId w:val="8"/>
  </w:num>
  <w:num w:numId="11">
    <w:abstractNumId w:val="10"/>
  </w:num>
  <w:num w:numId="12">
    <w:abstractNumId w:val="5"/>
  </w:num>
  <w:num w:numId="13">
    <w:abstractNumId w:val="13"/>
  </w:num>
  <w:num w:numId="14">
    <w:abstractNumId w:val="18"/>
  </w:num>
  <w:num w:numId="15">
    <w:abstractNumId w:val="20"/>
  </w:num>
  <w:num w:numId="16">
    <w:abstractNumId w:val="15"/>
  </w:num>
  <w:num w:numId="17">
    <w:abstractNumId w:val="30"/>
  </w:num>
  <w:num w:numId="18">
    <w:abstractNumId w:val="17"/>
  </w:num>
  <w:num w:numId="19">
    <w:abstractNumId w:val="7"/>
  </w:num>
  <w:num w:numId="20">
    <w:abstractNumId w:val="9"/>
  </w:num>
  <w:num w:numId="21">
    <w:abstractNumId w:val="12"/>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0"/>
  </w:num>
  <w:num w:numId="36">
    <w:abstractNumId w:val="2"/>
  </w:num>
  <w:num w:numId="37">
    <w:abstractNumId w:val="1"/>
  </w:num>
  <w:num w:numId="38">
    <w:abstractNumId w:val="23"/>
  </w:num>
  <w:num w:numId="39">
    <w:abstractNumId w:val="3"/>
  </w:num>
  <w:num w:numId="40">
    <w:abstractNumId w:val="6"/>
  </w:num>
  <w:num w:numId="41">
    <w:abstractNumId w:val="9"/>
  </w:num>
  <w:num w:numId="42">
    <w:abstractNumId w:val="9"/>
  </w:num>
  <w:num w:numId="43">
    <w:abstractNumId w:val="9"/>
  </w:num>
  <w:num w:numId="44">
    <w:abstractNumId w:val="26"/>
  </w:num>
  <w:num w:numId="45">
    <w:abstractNumId w:val="28"/>
  </w:num>
  <w:num w:numId="46">
    <w:abstractNumId w:val="11"/>
  </w:num>
  <w:num w:numId="47">
    <w:abstractNumId w:val="9"/>
  </w:num>
  <w:num w:numId="48">
    <w:abstractNumId w:val="9"/>
  </w:num>
  <w:num w:numId="4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1AFB"/>
    <w:rsid w:val="00004A2B"/>
    <w:rsid w:val="0000546E"/>
    <w:rsid w:val="0000557E"/>
    <w:rsid w:val="000073A7"/>
    <w:rsid w:val="000107A4"/>
    <w:rsid w:val="00010967"/>
    <w:rsid w:val="00012145"/>
    <w:rsid w:val="000135CE"/>
    <w:rsid w:val="00015061"/>
    <w:rsid w:val="00017068"/>
    <w:rsid w:val="00023C41"/>
    <w:rsid w:val="00027016"/>
    <w:rsid w:val="0002790E"/>
    <w:rsid w:val="000314D9"/>
    <w:rsid w:val="000320C8"/>
    <w:rsid w:val="00034691"/>
    <w:rsid w:val="00034E4F"/>
    <w:rsid w:val="00037756"/>
    <w:rsid w:val="00037C73"/>
    <w:rsid w:val="00040046"/>
    <w:rsid w:val="000410DF"/>
    <w:rsid w:val="0004145A"/>
    <w:rsid w:val="00043B59"/>
    <w:rsid w:val="00046220"/>
    <w:rsid w:val="00051D45"/>
    <w:rsid w:val="00051E8B"/>
    <w:rsid w:val="00052F36"/>
    <w:rsid w:val="000562D2"/>
    <w:rsid w:val="000661C5"/>
    <w:rsid w:val="000722C6"/>
    <w:rsid w:val="00072AB3"/>
    <w:rsid w:val="00073126"/>
    <w:rsid w:val="00075388"/>
    <w:rsid w:val="0007746E"/>
    <w:rsid w:val="0007764D"/>
    <w:rsid w:val="00086770"/>
    <w:rsid w:val="00087BDC"/>
    <w:rsid w:val="00090C5C"/>
    <w:rsid w:val="000911EC"/>
    <w:rsid w:val="000956B1"/>
    <w:rsid w:val="00095D11"/>
    <w:rsid w:val="000962BE"/>
    <w:rsid w:val="00096E6D"/>
    <w:rsid w:val="00097C53"/>
    <w:rsid w:val="000A16A6"/>
    <w:rsid w:val="000A4E08"/>
    <w:rsid w:val="000A5254"/>
    <w:rsid w:val="000B0095"/>
    <w:rsid w:val="000B0F6D"/>
    <w:rsid w:val="000B1321"/>
    <w:rsid w:val="000B2268"/>
    <w:rsid w:val="000B6D8A"/>
    <w:rsid w:val="000B7989"/>
    <w:rsid w:val="000C0459"/>
    <w:rsid w:val="000C1343"/>
    <w:rsid w:val="000C2135"/>
    <w:rsid w:val="000C3A30"/>
    <w:rsid w:val="000D3FDA"/>
    <w:rsid w:val="000D4832"/>
    <w:rsid w:val="000D56E3"/>
    <w:rsid w:val="000D6885"/>
    <w:rsid w:val="000E0626"/>
    <w:rsid w:val="000E11BC"/>
    <w:rsid w:val="000E1851"/>
    <w:rsid w:val="000E1B80"/>
    <w:rsid w:val="000E1D17"/>
    <w:rsid w:val="000E28D8"/>
    <w:rsid w:val="000E31F1"/>
    <w:rsid w:val="000E4490"/>
    <w:rsid w:val="000F19AC"/>
    <w:rsid w:val="000F1E9E"/>
    <w:rsid w:val="000F265D"/>
    <w:rsid w:val="000F36D1"/>
    <w:rsid w:val="000F4364"/>
    <w:rsid w:val="000F56CF"/>
    <w:rsid w:val="001004E1"/>
    <w:rsid w:val="001009A1"/>
    <w:rsid w:val="00101C6C"/>
    <w:rsid w:val="00104829"/>
    <w:rsid w:val="001048F5"/>
    <w:rsid w:val="00104DD3"/>
    <w:rsid w:val="001071F6"/>
    <w:rsid w:val="00111171"/>
    <w:rsid w:val="00111224"/>
    <w:rsid w:val="001115DE"/>
    <w:rsid w:val="001148CE"/>
    <w:rsid w:val="00114E2F"/>
    <w:rsid w:val="00114E59"/>
    <w:rsid w:val="00115A17"/>
    <w:rsid w:val="00116B91"/>
    <w:rsid w:val="00116F69"/>
    <w:rsid w:val="001205E3"/>
    <w:rsid w:val="00124221"/>
    <w:rsid w:val="0013037C"/>
    <w:rsid w:val="0013221B"/>
    <w:rsid w:val="0013295B"/>
    <w:rsid w:val="001334D9"/>
    <w:rsid w:val="0013514A"/>
    <w:rsid w:val="00135976"/>
    <w:rsid w:val="001407E5"/>
    <w:rsid w:val="00140CD3"/>
    <w:rsid w:val="00141829"/>
    <w:rsid w:val="00146A73"/>
    <w:rsid w:val="00147246"/>
    <w:rsid w:val="00150533"/>
    <w:rsid w:val="0015131B"/>
    <w:rsid w:val="00151528"/>
    <w:rsid w:val="0015328C"/>
    <w:rsid w:val="0015348D"/>
    <w:rsid w:val="00153CF9"/>
    <w:rsid w:val="00154212"/>
    <w:rsid w:val="00154579"/>
    <w:rsid w:val="00154745"/>
    <w:rsid w:val="001552D7"/>
    <w:rsid w:val="00156B3D"/>
    <w:rsid w:val="00160C81"/>
    <w:rsid w:val="0016121D"/>
    <w:rsid w:val="00163F42"/>
    <w:rsid w:val="0016564D"/>
    <w:rsid w:val="001668BC"/>
    <w:rsid w:val="0016763F"/>
    <w:rsid w:val="00170BD2"/>
    <w:rsid w:val="0017199B"/>
    <w:rsid w:val="00171E5F"/>
    <w:rsid w:val="0017262F"/>
    <w:rsid w:val="00172D67"/>
    <w:rsid w:val="00173691"/>
    <w:rsid w:val="00180506"/>
    <w:rsid w:val="00180E5C"/>
    <w:rsid w:val="00181092"/>
    <w:rsid w:val="0018110D"/>
    <w:rsid w:val="00181CB6"/>
    <w:rsid w:val="00182402"/>
    <w:rsid w:val="00183EDF"/>
    <w:rsid w:val="00184675"/>
    <w:rsid w:val="00190EC9"/>
    <w:rsid w:val="001934E4"/>
    <w:rsid w:val="001939FE"/>
    <w:rsid w:val="00193CE1"/>
    <w:rsid w:val="00196320"/>
    <w:rsid w:val="001968F0"/>
    <w:rsid w:val="00196F24"/>
    <w:rsid w:val="001A19D1"/>
    <w:rsid w:val="001A59DF"/>
    <w:rsid w:val="001A6705"/>
    <w:rsid w:val="001B049A"/>
    <w:rsid w:val="001B0AF9"/>
    <w:rsid w:val="001B1199"/>
    <w:rsid w:val="001B1E48"/>
    <w:rsid w:val="001B20A4"/>
    <w:rsid w:val="001B27A2"/>
    <w:rsid w:val="001B48AB"/>
    <w:rsid w:val="001B61B0"/>
    <w:rsid w:val="001B6A9C"/>
    <w:rsid w:val="001C0DDE"/>
    <w:rsid w:val="001C1427"/>
    <w:rsid w:val="001C2FBA"/>
    <w:rsid w:val="001C3F72"/>
    <w:rsid w:val="001C40C2"/>
    <w:rsid w:val="001C5AEE"/>
    <w:rsid w:val="001C5E04"/>
    <w:rsid w:val="001C5EA2"/>
    <w:rsid w:val="001C7D8C"/>
    <w:rsid w:val="001C7FAE"/>
    <w:rsid w:val="001E2392"/>
    <w:rsid w:val="001E64A6"/>
    <w:rsid w:val="001F0405"/>
    <w:rsid w:val="001F04B2"/>
    <w:rsid w:val="001F1D8C"/>
    <w:rsid w:val="001F5A6B"/>
    <w:rsid w:val="00204ACC"/>
    <w:rsid w:val="00211341"/>
    <w:rsid w:val="00211B9E"/>
    <w:rsid w:val="002138E9"/>
    <w:rsid w:val="00214E3D"/>
    <w:rsid w:val="00225135"/>
    <w:rsid w:val="002257E8"/>
    <w:rsid w:val="002272AD"/>
    <w:rsid w:val="002276E6"/>
    <w:rsid w:val="00227BB1"/>
    <w:rsid w:val="00232B1A"/>
    <w:rsid w:val="00233B24"/>
    <w:rsid w:val="002358B4"/>
    <w:rsid w:val="00240EDC"/>
    <w:rsid w:val="0024122B"/>
    <w:rsid w:val="00243601"/>
    <w:rsid w:val="002439AD"/>
    <w:rsid w:val="00244AF9"/>
    <w:rsid w:val="00253C9E"/>
    <w:rsid w:val="00254791"/>
    <w:rsid w:val="0025543F"/>
    <w:rsid w:val="00255BA8"/>
    <w:rsid w:val="00261014"/>
    <w:rsid w:val="00267D5E"/>
    <w:rsid w:val="002705C9"/>
    <w:rsid w:val="00275579"/>
    <w:rsid w:val="00280AB5"/>
    <w:rsid w:val="00280E87"/>
    <w:rsid w:val="002810A6"/>
    <w:rsid w:val="002821EA"/>
    <w:rsid w:val="002830C3"/>
    <w:rsid w:val="002844B6"/>
    <w:rsid w:val="002844D0"/>
    <w:rsid w:val="00285562"/>
    <w:rsid w:val="00286AAF"/>
    <w:rsid w:val="00286E33"/>
    <w:rsid w:val="0029007B"/>
    <w:rsid w:val="00290C6F"/>
    <w:rsid w:val="00290E3D"/>
    <w:rsid w:val="002913E5"/>
    <w:rsid w:val="00291FFE"/>
    <w:rsid w:val="0029270D"/>
    <w:rsid w:val="00292770"/>
    <w:rsid w:val="00292B32"/>
    <w:rsid w:val="00293106"/>
    <w:rsid w:val="0029595C"/>
    <w:rsid w:val="00297DF8"/>
    <w:rsid w:val="002A2264"/>
    <w:rsid w:val="002A23C5"/>
    <w:rsid w:val="002A38F6"/>
    <w:rsid w:val="002A4D17"/>
    <w:rsid w:val="002A4DF0"/>
    <w:rsid w:val="002A6638"/>
    <w:rsid w:val="002A6992"/>
    <w:rsid w:val="002A6A8E"/>
    <w:rsid w:val="002B1A7A"/>
    <w:rsid w:val="002B1C64"/>
    <w:rsid w:val="002B4F36"/>
    <w:rsid w:val="002B58AA"/>
    <w:rsid w:val="002B69A9"/>
    <w:rsid w:val="002B7893"/>
    <w:rsid w:val="002C438B"/>
    <w:rsid w:val="002C522C"/>
    <w:rsid w:val="002C559C"/>
    <w:rsid w:val="002C6663"/>
    <w:rsid w:val="002D20FD"/>
    <w:rsid w:val="002D236D"/>
    <w:rsid w:val="002D3499"/>
    <w:rsid w:val="002D48CA"/>
    <w:rsid w:val="002D7494"/>
    <w:rsid w:val="002E106B"/>
    <w:rsid w:val="002E1133"/>
    <w:rsid w:val="002E460B"/>
    <w:rsid w:val="002E5401"/>
    <w:rsid w:val="002E65A5"/>
    <w:rsid w:val="002F150A"/>
    <w:rsid w:val="002F2657"/>
    <w:rsid w:val="002F314A"/>
    <w:rsid w:val="002F52C5"/>
    <w:rsid w:val="002F5B58"/>
    <w:rsid w:val="00300952"/>
    <w:rsid w:val="003029CB"/>
    <w:rsid w:val="003044FC"/>
    <w:rsid w:val="00305779"/>
    <w:rsid w:val="00306286"/>
    <w:rsid w:val="0031087C"/>
    <w:rsid w:val="00315FBF"/>
    <w:rsid w:val="00316920"/>
    <w:rsid w:val="0032373F"/>
    <w:rsid w:val="00323A66"/>
    <w:rsid w:val="00323DE2"/>
    <w:rsid w:val="0032403E"/>
    <w:rsid w:val="00326E8F"/>
    <w:rsid w:val="00332159"/>
    <w:rsid w:val="003330EC"/>
    <w:rsid w:val="00334ABC"/>
    <w:rsid w:val="00337A99"/>
    <w:rsid w:val="00337B7C"/>
    <w:rsid w:val="00341E2B"/>
    <w:rsid w:val="003423A9"/>
    <w:rsid w:val="00343199"/>
    <w:rsid w:val="0034541A"/>
    <w:rsid w:val="00345EEE"/>
    <w:rsid w:val="00346B09"/>
    <w:rsid w:val="00352576"/>
    <w:rsid w:val="00352B61"/>
    <w:rsid w:val="0035335F"/>
    <w:rsid w:val="0035359C"/>
    <w:rsid w:val="00354845"/>
    <w:rsid w:val="00357634"/>
    <w:rsid w:val="00362A3C"/>
    <w:rsid w:val="00363364"/>
    <w:rsid w:val="0036433C"/>
    <w:rsid w:val="003644C3"/>
    <w:rsid w:val="00366490"/>
    <w:rsid w:val="00366F10"/>
    <w:rsid w:val="003672E3"/>
    <w:rsid w:val="003675C0"/>
    <w:rsid w:val="00371AA6"/>
    <w:rsid w:val="003729B0"/>
    <w:rsid w:val="00375D2F"/>
    <w:rsid w:val="003771B9"/>
    <w:rsid w:val="00377581"/>
    <w:rsid w:val="003819BF"/>
    <w:rsid w:val="003822D0"/>
    <w:rsid w:val="00383453"/>
    <w:rsid w:val="00385938"/>
    <w:rsid w:val="003871A4"/>
    <w:rsid w:val="00390CD0"/>
    <w:rsid w:val="00392F30"/>
    <w:rsid w:val="00394B0A"/>
    <w:rsid w:val="003952A4"/>
    <w:rsid w:val="00396A28"/>
    <w:rsid w:val="00397D23"/>
    <w:rsid w:val="003A0B5C"/>
    <w:rsid w:val="003A1172"/>
    <w:rsid w:val="003A135E"/>
    <w:rsid w:val="003A1D0F"/>
    <w:rsid w:val="003A248E"/>
    <w:rsid w:val="003A4621"/>
    <w:rsid w:val="003A4DB9"/>
    <w:rsid w:val="003A7586"/>
    <w:rsid w:val="003B13E4"/>
    <w:rsid w:val="003B30EB"/>
    <w:rsid w:val="003B3BFC"/>
    <w:rsid w:val="003B77EA"/>
    <w:rsid w:val="003C1441"/>
    <w:rsid w:val="003C1E29"/>
    <w:rsid w:val="003C2750"/>
    <w:rsid w:val="003C2D45"/>
    <w:rsid w:val="003C3DEF"/>
    <w:rsid w:val="003C5368"/>
    <w:rsid w:val="003C73DA"/>
    <w:rsid w:val="003D0DB6"/>
    <w:rsid w:val="003D250C"/>
    <w:rsid w:val="003D4720"/>
    <w:rsid w:val="003D4917"/>
    <w:rsid w:val="003D5AC2"/>
    <w:rsid w:val="003D67A9"/>
    <w:rsid w:val="003D6CE7"/>
    <w:rsid w:val="003E233A"/>
    <w:rsid w:val="003E2D49"/>
    <w:rsid w:val="003E2F64"/>
    <w:rsid w:val="003E361B"/>
    <w:rsid w:val="003E419C"/>
    <w:rsid w:val="003E55EB"/>
    <w:rsid w:val="003E56C8"/>
    <w:rsid w:val="003E5B40"/>
    <w:rsid w:val="003E75B2"/>
    <w:rsid w:val="003F0043"/>
    <w:rsid w:val="003F01F0"/>
    <w:rsid w:val="003F07E1"/>
    <w:rsid w:val="003F0E01"/>
    <w:rsid w:val="003F1947"/>
    <w:rsid w:val="003F274E"/>
    <w:rsid w:val="003F5085"/>
    <w:rsid w:val="003F7CCC"/>
    <w:rsid w:val="00403A10"/>
    <w:rsid w:val="00404A03"/>
    <w:rsid w:val="00405E7B"/>
    <w:rsid w:val="00410CF5"/>
    <w:rsid w:val="004123DC"/>
    <w:rsid w:val="004124A7"/>
    <w:rsid w:val="00415D8A"/>
    <w:rsid w:val="0042071A"/>
    <w:rsid w:val="00420819"/>
    <w:rsid w:val="00421589"/>
    <w:rsid w:val="0042297D"/>
    <w:rsid w:val="0042348D"/>
    <w:rsid w:val="0042721D"/>
    <w:rsid w:val="00430206"/>
    <w:rsid w:val="00431FD0"/>
    <w:rsid w:val="0043490A"/>
    <w:rsid w:val="004407DB"/>
    <w:rsid w:val="00441BA3"/>
    <w:rsid w:val="00441EEE"/>
    <w:rsid w:val="00442970"/>
    <w:rsid w:val="004430AF"/>
    <w:rsid w:val="00443DF0"/>
    <w:rsid w:val="004443C8"/>
    <w:rsid w:val="00446690"/>
    <w:rsid w:val="0044711E"/>
    <w:rsid w:val="00447CB6"/>
    <w:rsid w:val="004517E5"/>
    <w:rsid w:val="00451FF8"/>
    <w:rsid w:val="004535EE"/>
    <w:rsid w:val="00453756"/>
    <w:rsid w:val="00454B10"/>
    <w:rsid w:val="00456200"/>
    <w:rsid w:val="00456FF9"/>
    <w:rsid w:val="004624B3"/>
    <w:rsid w:val="00462D3D"/>
    <w:rsid w:val="00463F1C"/>
    <w:rsid w:val="00465C93"/>
    <w:rsid w:val="00474E22"/>
    <w:rsid w:val="004756CB"/>
    <w:rsid w:val="004761AA"/>
    <w:rsid w:val="004845C2"/>
    <w:rsid w:val="004919E6"/>
    <w:rsid w:val="0049313F"/>
    <w:rsid w:val="00493F53"/>
    <w:rsid w:val="004961A5"/>
    <w:rsid w:val="00497463"/>
    <w:rsid w:val="004A04CC"/>
    <w:rsid w:val="004A309A"/>
    <w:rsid w:val="004A419D"/>
    <w:rsid w:val="004A628C"/>
    <w:rsid w:val="004A77E3"/>
    <w:rsid w:val="004A7CBB"/>
    <w:rsid w:val="004B1350"/>
    <w:rsid w:val="004B18E3"/>
    <w:rsid w:val="004B2A05"/>
    <w:rsid w:val="004B4541"/>
    <w:rsid w:val="004B73A2"/>
    <w:rsid w:val="004C26B2"/>
    <w:rsid w:val="004C40BA"/>
    <w:rsid w:val="004C43F1"/>
    <w:rsid w:val="004C5B29"/>
    <w:rsid w:val="004C671C"/>
    <w:rsid w:val="004D1528"/>
    <w:rsid w:val="004D24EF"/>
    <w:rsid w:val="004D2726"/>
    <w:rsid w:val="004D2FA1"/>
    <w:rsid w:val="004D3F58"/>
    <w:rsid w:val="004D46DD"/>
    <w:rsid w:val="004D6F40"/>
    <w:rsid w:val="004E1097"/>
    <w:rsid w:val="004E4D8B"/>
    <w:rsid w:val="004E5CE0"/>
    <w:rsid w:val="004F0832"/>
    <w:rsid w:val="004F3169"/>
    <w:rsid w:val="004F31D7"/>
    <w:rsid w:val="004F48D0"/>
    <w:rsid w:val="004F5D21"/>
    <w:rsid w:val="004F6C65"/>
    <w:rsid w:val="004F755C"/>
    <w:rsid w:val="00500731"/>
    <w:rsid w:val="00501F98"/>
    <w:rsid w:val="00503EA1"/>
    <w:rsid w:val="00507972"/>
    <w:rsid w:val="005124ED"/>
    <w:rsid w:val="0051321E"/>
    <w:rsid w:val="00515961"/>
    <w:rsid w:val="005161AA"/>
    <w:rsid w:val="00516B33"/>
    <w:rsid w:val="005179C6"/>
    <w:rsid w:val="00521237"/>
    <w:rsid w:val="00523F44"/>
    <w:rsid w:val="0052656D"/>
    <w:rsid w:val="00526620"/>
    <w:rsid w:val="00530702"/>
    <w:rsid w:val="00534245"/>
    <w:rsid w:val="0054213A"/>
    <w:rsid w:val="00543068"/>
    <w:rsid w:val="00544E4C"/>
    <w:rsid w:val="00545538"/>
    <w:rsid w:val="00546B41"/>
    <w:rsid w:val="00546D65"/>
    <w:rsid w:val="0054792D"/>
    <w:rsid w:val="00552200"/>
    <w:rsid w:val="00552D55"/>
    <w:rsid w:val="00553246"/>
    <w:rsid w:val="0055349F"/>
    <w:rsid w:val="005538E6"/>
    <w:rsid w:val="00556296"/>
    <w:rsid w:val="00557047"/>
    <w:rsid w:val="00560CD9"/>
    <w:rsid w:val="00561471"/>
    <w:rsid w:val="00566B7B"/>
    <w:rsid w:val="0056786E"/>
    <w:rsid w:val="00573395"/>
    <w:rsid w:val="005736D0"/>
    <w:rsid w:val="00574AE9"/>
    <w:rsid w:val="00575417"/>
    <w:rsid w:val="0057595C"/>
    <w:rsid w:val="00581CE6"/>
    <w:rsid w:val="00581FB3"/>
    <w:rsid w:val="005858A8"/>
    <w:rsid w:val="00587929"/>
    <w:rsid w:val="00591FE0"/>
    <w:rsid w:val="0059231F"/>
    <w:rsid w:val="005A0269"/>
    <w:rsid w:val="005A15BD"/>
    <w:rsid w:val="005A4E34"/>
    <w:rsid w:val="005A6513"/>
    <w:rsid w:val="005A7056"/>
    <w:rsid w:val="005A79C1"/>
    <w:rsid w:val="005B34FF"/>
    <w:rsid w:val="005B3866"/>
    <w:rsid w:val="005B3936"/>
    <w:rsid w:val="005B43C6"/>
    <w:rsid w:val="005C221F"/>
    <w:rsid w:val="005C526E"/>
    <w:rsid w:val="005C5D34"/>
    <w:rsid w:val="005D05D4"/>
    <w:rsid w:val="005D2EE5"/>
    <w:rsid w:val="005D390C"/>
    <w:rsid w:val="005D5B39"/>
    <w:rsid w:val="005D5C39"/>
    <w:rsid w:val="005D6388"/>
    <w:rsid w:val="005D7AAB"/>
    <w:rsid w:val="005E05E4"/>
    <w:rsid w:val="005E2A4B"/>
    <w:rsid w:val="005E52CF"/>
    <w:rsid w:val="005E6738"/>
    <w:rsid w:val="005F4043"/>
    <w:rsid w:val="005F4AFD"/>
    <w:rsid w:val="006001E0"/>
    <w:rsid w:val="006023D9"/>
    <w:rsid w:val="00602A0F"/>
    <w:rsid w:val="00602ABB"/>
    <w:rsid w:val="00602F71"/>
    <w:rsid w:val="00603B3B"/>
    <w:rsid w:val="00604ED2"/>
    <w:rsid w:val="00606D7C"/>
    <w:rsid w:val="006131BC"/>
    <w:rsid w:val="00614748"/>
    <w:rsid w:val="0061690B"/>
    <w:rsid w:val="00621BF2"/>
    <w:rsid w:val="00623849"/>
    <w:rsid w:val="006242D7"/>
    <w:rsid w:val="00624ECD"/>
    <w:rsid w:val="00630E25"/>
    <w:rsid w:val="00633E7D"/>
    <w:rsid w:val="0063490F"/>
    <w:rsid w:val="006361DC"/>
    <w:rsid w:val="0063797A"/>
    <w:rsid w:val="0064081A"/>
    <w:rsid w:val="00640D87"/>
    <w:rsid w:val="00642257"/>
    <w:rsid w:val="006422D4"/>
    <w:rsid w:val="00643FC7"/>
    <w:rsid w:val="006441AE"/>
    <w:rsid w:val="0064543C"/>
    <w:rsid w:val="00645557"/>
    <w:rsid w:val="00646366"/>
    <w:rsid w:val="00650E37"/>
    <w:rsid w:val="006515AC"/>
    <w:rsid w:val="00651B52"/>
    <w:rsid w:val="00657045"/>
    <w:rsid w:val="00662701"/>
    <w:rsid w:val="006657E7"/>
    <w:rsid w:val="0066677D"/>
    <w:rsid w:val="0066712C"/>
    <w:rsid w:val="00667DE4"/>
    <w:rsid w:val="006707A9"/>
    <w:rsid w:val="00670B3A"/>
    <w:rsid w:val="006731B4"/>
    <w:rsid w:val="0067634C"/>
    <w:rsid w:val="00677597"/>
    <w:rsid w:val="006806EF"/>
    <w:rsid w:val="00682259"/>
    <w:rsid w:val="0068385C"/>
    <w:rsid w:val="00686F3B"/>
    <w:rsid w:val="00691502"/>
    <w:rsid w:val="00691F8A"/>
    <w:rsid w:val="00693A72"/>
    <w:rsid w:val="00694753"/>
    <w:rsid w:val="00697144"/>
    <w:rsid w:val="006A4F0C"/>
    <w:rsid w:val="006A7757"/>
    <w:rsid w:val="006B1C44"/>
    <w:rsid w:val="006B6F65"/>
    <w:rsid w:val="006B784E"/>
    <w:rsid w:val="006B78F7"/>
    <w:rsid w:val="006B7E4E"/>
    <w:rsid w:val="006B7F42"/>
    <w:rsid w:val="006C0919"/>
    <w:rsid w:val="006C395D"/>
    <w:rsid w:val="006C44AE"/>
    <w:rsid w:val="006C5907"/>
    <w:rsid w:val="006C5B93"/>
    <w:rsid w:val="006C7529"/>
    <w:rsid w:val="006D0873"/>
    <w:rsid w:val="006D3887"/>
    <w:rsid w:val="006D4C1F"/>
    <w:rsid w:val="006D721F"/>
    <w:rsid w:val="006E0631"/>
    <w:rsid w:val="006E0A81"/>
    <w:rsid w:val="006E0BD4"/>
    <w:rsid w:val="006E6213"/>
    <w:rsid w:val="006F0DDA"/>
    <w:rsid w:val="006F695E"/>
    <w:rsid w:val="006F77DA"/>
    <w:rsid w:val="00700123"/>
    <w:rsid w:val="00703CAD"/>
    <w:rsid w:val="007064C1"/>
    <w:rsid w:val="00711E11"/>
    <w:rsid w:val="0071204E"/>
    <w:rsid w:val="007124D8"/>
    <w:rsid w:val="00712522"/>
    <w:rsid w:val="0071475B"/>
    <w:rsid w:val="00714BF3"/>
    <w:rsid w:val="00714FE1"/>
    <w:rsid w:val="00715B98"/>
    <w:rsid w:val="007208A1"/>
    <w:rsid w:val="00722AC5"/>
    <w:rsid w:val="00727386"/>
    <w:rsid w:val="007308E1"/>
    <w:rsid w:val="00735A13"/>
    <w:rsid w:val="0073633D"/>
    <w:rsid w:val="00736615"/>
    <w:rsid w:val="00741F60"/>
    <w:rsid w:val="00743BEA"/>
    <w:rsid w:val="00745402"/>
    <w:rsid w:val="00750BE8"/>
    <w:rsid w:val="00750E6D"/>
    <w:rsid w:val="00750F96"/>
    <w:rsid w:val="00751821"/>
    <w:rsid w:val="0075306F"/>
    <w:rsid w:val="00753148"/>
    <w:rsid w:val="00753586"/>
    <w:rsid w:val="00753752"/>
    <w:rsid w:val="00754651"/>
    <w:rsid w:val="00755403"/>
    <w:rsid w:val="007556CD"/>
    <w:rsid w:val="00756D52"/>
    <w:rsid w:val="00760069"/>
    <w:rsid w:val="00760C9C"/>
    <w:rsid w:val="00762A3E"/>
    <w:rsid w:val="0076338B"/>
    <w:rsid w:val="0077034C"/>
    <w:rsid w:val="00772B25"/>
    <w:rsid w:val="00774E68"/>
    <w:rsid w:val="00775538"/>
    <w:rsid w:val="007766FF"/>
    <w:rsid w:val="007815DD"/>
    <w:rsid w:val="007849C0"/>
    <w:rsid w:val="00792005"/>
    <w:rsid w:val="0079519F"/>
    <w:rsid w:val="007955C1"/>
    <w:rsid w:val="007965D6"/>
    <w:rsid w:val="007A0AC6"/>
    <w:rsid w:val="007A31E2"/>
    <w:rsid w:val="007A7DD7"/>
    <w:rsid w:val="007B1111"/>
    <w:rsid w:val="007B200E"/>
    <w:rsid w:val="007B6F0E"/>
    <w:rsid w:val="007B7432"/>
    <w:rsid w:val="007B77C2"/>
    <w:rsid w:val="007C134F"/>
    <w:rsid w:val="007D001B"/>
    <w:rsid w:val="007D251E"/>
    <w:rsid w:val="007D45C0"/>
    <w:rsid w:val="007D75A6"/>
    <w:rsid w:val="007E0B52"/>
    <w:rsid w:val="007E1C8E"/>
    <w:rsid w:val="007E24E5"/>
    <w:rsid w:val="007E357A"/>
    <w:rsid w:val="007E3657"/>
    <w:rsid w:val="007E45DA"/>
    <w:rsid w:val="007E4A75"/>
    <w:rsid w:val="007E7B18"/>
    <w:rsid w:val="007F0789"/>
    <w:rsid w:val="007F1FAA"/>
    <w:rsid w:val="007F2235"/>
    <w:rsid w:val="007F22FE"/>
    <w:rsid w:val="007F5089"/>
    <w:rsid w:val="00801A1C"/>
    <w:rsid w:val="0080364A"/>
    <w:rsid w:val="00803C76"/>
    <w:rsid w:val="0080501B"/>
    <w:rsid w:val="008059E8"/>
    <w:rsid w:val="00806354"/>
    <w:rsid w:val="00810216"/>
    <w:rsid w:val="00811E66"/>
    <w:rsid w:val="0081460E"/>
    <w:rsid w:val="00817B11"/>
    <w:rsid w:val="00820DB2"/>
    <w:rsid w:val="00821A45"/>
    <w:rsid w:val="00823121"/>
    <w:rsid w:val="0082514C"/>
    <w:rsid w:val="00830570"/>
    <w:rsid w:val="00830619"/>
    <w:rsid w:val="0083492C"/>
    <w:rsid w:val="00835CB1"/>
    <w:rsid w:val="008378AE"/>
    <w:rsid w:val="00846D58"/>
    <w:rsid w:val="00851DAA"/>
    <w:rsid w:val="0085525F"/>
    <w:rsid w:val="008571A1"/>
    <w:rsid w:val="00863AD5"/>
    <w:rsid w:val="00863E9A"/>
    <w:rsid w:val="00866908"/>
    <w:rsid w:val="00867128"/>
    <w:rsid w:val="0086722C"/>
    <w:rsid w:val="008701E4"/>
    <w:rsid w:val="008707B6"/>
    <w:rsid w:val="00871CCA"/>
    <w:rsid w:val="00872B78"/>
    <w:rsid w:val="008734A9"/>
    <w:rsid w:val="00874767"/>
    <w:rsid w:val="008776AB"/>
    <w:rsid w:val="00880A51"/>
    <w:rsid w:val="00880BB6"/>
    <w:rsid w:val="00886BCF"/>
    <w:rsid w:val="008871CE"/>
    <w:rsid w:val="00890889"/>
    <w:rsid w:val="0089179F"/>
    <w:rsid w:val="0089239E"/>
    <w:rsid w:val="00894BA2"/>
    <w:rsid w:val="00896D11"/>
    <w:rsid w:val="00897B75"/>
    <w:rsid w:val="008A1276"/>
    <w:rsid w:val="008A1857"/>
    <w:rsid w:val="008A445C"/>
    <w:rsid w:val="008A4647"/>
    <w:rsid w:val="008B0EDE"/>
    <w:rsid w:val="008B30C0"/>
    <w:rsid w:val="008B3689"/>
    <w:rsid w:val="008B49D6"/>
    <w:rsid w:val="008B5781"/>
    <w:rsid w:val="008B645B"/>
    <w:rsid w:val="008C01D9"/>
    <w:rsid w:val="008C22BE"/>
    <w:rsid w:val="008C2841"/>
    <w:rsid w:val="008D2636"/>
    <w:rsid w:val="008E124B"/>
    <w:rsid w:val="008E1A98"/>
    <w:rsid w:val="008E7559"/>
    <w:rsid w:val="008E77F9"/>
    <w:rsid w:val="008E7BDF"/>
    <w:rsid w:val="008F27C1"/>
    <w:rsid w:val="00900E08"/>
    <w:rsid w:val="00903A40"/>
    <w:rsid w:val="0090753F"/>
    <w:rsid w:val="00907BC4"/>
    <w:rsid w:val="00912C0C"/>
    <w:rsid w:val="00912C11"/>
    <w:rsid w:val="00913406"/>
    <w:rsid w:val="00916D78"/>
    <w:rsid w:val="0092008D"/>
    <w:rsid w:val="0092015B"/>
    <w:rsid w:val="00920294"/>
    <w:rsid w:val="00920587"/>
    <w:rsid w:val="00921AAF"/>
    <w:rsid w:val="00922043"/>
    <w:rsid w:val="00922B72"/>
    <w:rsid w:val="00922E04"/>
    <w:rsid w:val="0092378C"/>
    <w:rsid w:val="00926283"/>
    <w:rsid w:val="00927646"/>
    <w:rsid w:val="009302C6"/>
    <w:rsid w:val="0093461E"/>
    <w:rsid w:val="00934FE5"/>
    <w:rsid w:val="00936BF8"/>
    <w:rsid w:val="00937845"/>
    <w:rsid w:val="009403CF"/>
    <w:rsid w:val="0094069F"/>
    <w:rsid w:val="00941247"/>
    <w:rsid w:val="009420FC"/>
    <w:rsid w:val="0095170C"/>
    <w:rsid w:val="00951940"/>
    <w:rsid w:val="00952B0C"/>
    <w:rsid w:val="00952BE5"/>
    <w:rsid w:val="00952FA3"/>
    <w:rsid w:val="009542C0"/>
    <w:rsid w:val="00956CA6"/>
    <w:rsid w:val="00957B5A"/>
    <w:rsid w:val="009609E6"/>
    <w:rsid w:val="00962066"/>
    <w:rsid w:val="00963073"/>
    <w:rsid w:val="009664DD"/>
    <w:rsid w:val="0096668F"/>
    <w:rsid w:val="0097008F"/>
    <w:rsid w:val="00970B63"/>
    <w:rsid w:val="00971491"/>
    <w:rsid w:val="0097179A"/>
    <w:rsid w:val="00971F34"/>
    <w:rsid w:val="009734E5"/>
    <w:rsid w:val="00973653"/>
    <w:rsid w:val="00974894"/>
    <w:rsid w:val="00974D65"/>
    <w:rsid w:val="00980092"/>
    <w:rsid w:val="00981D56"/>
    <w:rsid w:val="00985845"/>
    <w:rsid w:val="009910CF"/>
    <w:rsid w:val="009910F8"/>
    <w:rsid w:val="00993339"/>
    <w:rsid w:val="009A1D6C"/>
    <w:rsid w:val="009A242D"/>
    <w:rsid w:val="009A7C51"/>
    <w:rsid w:val="009B0F33"/>
    <w:rsid w:val="009B379C"/>
    <w:rsid w:val="009B54CF"/>
    <w:rsid w:val="009B552D"/>
    <w:rsid w:val="009C1076"/>
    <w:rsid w:val="009C435B"/>
    <w:rsid w:val="009C5F3C"/>
    <w:rsid w:val="009C6D06"/>
    <w:rsid w:val="009D1728"/>
    <w:rsid w:val="009D36A7"/>
    <w:rsid w:val="009D748C"/>
    <w:rsid w:val="009E0BCF"/>
    <w:rsid w:val="009E1A91"/>
    <w:rsid w:val="009E4EB9"/>
    <w:rsid w:val="009F0B81"/>
    <w:rsid w:val="009F60AB"/>
    <w:rsid w:val="009F6A6D"/>
    <w:rsid w:val="00A00B9D"/>
    <w:rsid w:val="00A0216E"/>
    <w:rsid w:val="00A02980"/>
    <w:rsid w:val="00A060C2"/>
    <w:rsid w:val="00A06E31"/>
    <w:rsid w:val="00A073B3"/>
    <w:rsid w:val="00A101F0"/>
    <w:rsid w:val="00A13887"/>
    <w:rsid w:val="00A14F5F"/>
    <w:rsid w:val="00A1500C"/>
    <w:rsid w:val="00A16A25"/>
    <w:rsid w:val="00A17C1D"/>
    <w:rsid w:val="00A20406"/>
    <w:rsid w:val="00A21669"/>
    <w:rsid w:val="00A24B8E"/>
    <w:rsid w:val="00A25C2A"/>
    <w:rsid w:val="00A26392"/>
    <w:rsid w:val="00A265BB"/>
    <w:rsid w:val="00A31264"/>
    <w:rsid w:val="00A31486"/>
    <w:rsid w:val="00A32822"/>
    <w:rsid w:val="00A36CD7"/>
    <w:rsid w:val="00A36E3F"/>
    <w:rsid w:val="00A374B0"/>
    <w:rsid w:val="00A4051B"/>
    <w:rsid w:val="00A4215F"/>
    <w:rsid w:val="00A44B15"/>
    <w:rsid w:val="00A45540"/>
    <w:rsid w:val="00A505B1"/>
    <w:rsid w:val="00A519FB"/>
    <w:rsid w:val="00A5349A"/>
    <w:rsid w:val="00A538B9"/>
    <w:rsid w:val="00A53BEE"/>
    <w:rsid w:val="00A53CEF"/>
    <w:rsid w:val="00A54D61"/>
    <w:rsid w:val="00A57102"/>
    <w:rsid w:val="00A6189F"/>
    <w:rsid w:val="00A62512"/>
    <w:rsid w:val="00A62629"/>
    <w:rsid w:val="00A64479"/>
    <w:rsid w:val="00A67BEF"/>
    <w:rsid w:val="00A67CB4"/>
    <w:rsid w:val="00A71D2A"/>
    <w:rsid w:val="00A71E3F"/>
    <w:rsid w:val="00A8045B"/>
    <w:rsid w:val="00A81FAB"/>
    <w:rsid w:val="00A83243"/>
    <w:rsid w:val="00A83D37"/>
    <w:rsid w:val="00A869C0"/>
    <w:rsid w:val="00A8736B"/>
    <w:rsid w:val="00A87875"/>
    <w:rsid w:val="00A87AE2"/>
    <w:rsid w:val="00A9030A"/>
    <w:rsid w:val="00A9220D"/>
    <w:rsid w:val="00A95AC6"/>
    <w:rsid w:val="00A95D44"/>
    <w:rsid w:val="00AA0A2C"/>
    <w:rsid w:val="00AA1C9F"/>
    <w:rsid w:val="00AA2425"/>
    <w:rsid w:val="00AA3768"/>
    <w:rsid w:val="00AA4452"/>
    <w:rsid w:val="00AA589F"/>
    <w:rsid w:val="00AA60A4"/>
    <w:rsid w:val="00AA7824"/>
    <w:rsid w:val="00AB049B"/>
    <w:rsid w:val="00AB17EF"/>
    <w:rsid w:val="00AB187C"/>
    <w:rsid w:val="00AB3923"/>
    <w:rsid w:val="00AB6358"/>
    <w:rsid w:val="00AC0462"/>
    <w:rsid w:val="00AC0914"/>
    <w:rsid w:val="00AC542B"/>
    <w:rsid w:val="00AD57CB"/>
    <w:rsid w:val="00AD5936"/>
    <w:rsid w:val="00AD7D74"/>
    <w:rsid w:val="00AE16B7"/>
    <w:rsid w:val="00AE190F"/>
    <w:rsid w:val="00AE27AE"/>
    <w:rsid w:val="00AE50B5"/>
    <w:rsid w:val="00AE708D"/>
    <w:rsid w:val="00AE711A"/>
    <w:rsid w:val="00AF08B9"/>
    <w:rsid w:val="00AF1BCB"/>
    <w:rsid w:val="00AF2C56"/>
    <w:rsid w:val="00AF359E"/>
    <w:rsid w:val="00AF567A"/>
    <w:rsid w:val="00AF6D3E"/>
    <w:rsid w:val="00AF7026"/>
    <w:rsid w:val="00B023EA"/>
    <w:rsid w:val="00B04F65"/>
    <w:rsid w:val="00B073C1"/>
    <w:rsid w:val="00B14339"/>
    <w:rsid w:val="00B14C2F"/>
    <w:rsid w:val="00B17556"/>
    <w:rsid w:val="00B254C7"/>
    <w:rsid w:val="00B26A11"/>
    <w:rsid w:val="00B27492"/>
    <w:rsid w:val="00B31C5A"/>
    <w:rsid w:val="00B34641"/>
    <w:rsid w:val="00B349FE"/>
    <w:rsid w:val="00B35401"/>
    <w:rsid w:val="00B445BA"/>
    <w:rsid w:val="00B45826"/>
    <w:rsid w:val="00B47776"/>
    <w:rsid w:val="00B52CD0"/>
    <w:rsid w:val="00B549F8"/>
    <w:rsid w:val="00B5570A"/>
    <w:rsid w:val="00B609CC"/>
    <w:rsid w:val="00B62294"/>
    <w:rsid w:val="00B6297C"/>
    <w:rsid w:val="00B64F74"/>
    <w:rsid w:val="00B677FE"/>
    <w:rsid w:val="00B67BF2"/>
    <w:rsid w:val="00B67D8F"/>
    <w:rsid w:val="00B72AF0"/>
    <w:rsid w:val="00B746EB"/>
    <w:rsid w:val="00B76049"/>
    <w:rsid w:val="00B813D8"/>
    <w:rsid w:val="00B818D3"/>
    <w:rsid w:val="00B8265D"/>
    <w:rsid w:val="00B83343"/>
    <w:rsid w:val="00B83ECC"/>
    <w:rsid w:val="00B86D8B"/>
    <w:rsid w:val="00B8766B"/>
    <w:rsid w:val="00B91668"/>
    <w:rsid w:val="00B91C97"/>
    <w:rsid w:val="00B92976"/>
    <w:rsid w:val="00B93FF0"/>
    <w:rsid w:val="00B9403D"/>
    <w:rsid w:val="00B95B8B"/>
    <w:rsid w:val="00B95D5B"/>
    <w:rsid w:val="00BA10D4"/>
    <w:rsid w:val="00BA1CA4"/>
    <w:rsid w:val="00BA4E5F"/>
    <w:rsid w:val="00BA4E62"/>
    <w:rsid w:val="00BA5186"/>
    <w:rsid w:val="00BA59F2"/>
    <w:rsid w:val="00BB3816"/>
    <w:rsid w:val="00BB42BE"/>
    <w:rsid w:val="00BC3188"/>
    <w:rsid w:val="00BC3197"/>
    <w:rsid w:val="00BC369A"/>
    <w:rsid w:val="00BD2B1F"/>
    <w:rsid w:val="00BD2DD8"/>
    <w:rsid w:val="00BD3B91"/>
    <w:rsid w:val="00BD6983"/>
    <w:rsid w:val="00BD7ED9"/>
    <w:rsid w:val="00BE04C7"/>
    <w:rsid w:val="00BE0DE9"/>
    <w:rsid w:val="00BE493D"/>
    <w:rsid w:val="00BF0E24"/>
    <w:rsid w:val="00BF0FF8"/>
    <w:rsid w:val="00BF1D93"/>
    <w:rsid w:val="00BF2DEF"/>
    <w:rsid w:val="00BF2FD1"/>
    <w:rsid w:val="00BF4824"/>
    <w:rsid w:val="00BF5A9E"/>
    <w:rsid w:val="00BF6B66"/>
    <w:rsid w:val="00BF6BA8"/>
    <w:rsid w:val="00BF73E6"/>
    <w:rsid w:val="00BF778A"/>
    <w:rsid w:val="00C01B91"/>
    <w:rsid w:val="00C01CAF"/>
    <w:rsid w:val="00C02116"/>
    <w:rsid w:val="00C041CB"/>
    <w:rsid w:val="00C0519A"/>
    <w:rsid w:val="00C06F9B"/>
    <w:rsid w:val="00C10F9F"/>
    <w:rsid w:val="00C144A3"/>
    <w:rsid w:val="00C149B9"/>
    <w:rsid w:val="00C1651C"/>
    <w:rsid w:val="00C16991"/>
    <w:rsid w:val="00C16DDB"/>
    <w:rsid w:val="00C205FA"/>
    <w:rsid w:val="00C211F4"/>
    <w:rsid w:val="00C218EF"/>
    <w:rsid w:val="00C219F6"/>
    <w:rsid w:val="00C22EC6"/>
    <w:rsid w:val="00C30C61"/>
    <w:rsid w:val="00C31015"/>
    <w:rsid w:val="00C323A7"/>
    <w:rsid w:val="00C33EC9"/>
    <w:rsid w:val="00C36FA2"/>
    <w:rsid w:val="00C412DE"/>
    <w:rsid w:val="00C4235D"/>
    <w:rsid w:val="00C44217"/>
    <w:rsid w:val="00C47D83"/>
    <w:rsid w:val="00C53009"/>
    <w:rsid w:val="00C54BB4"/>
    <w:rsid w:val="00C55760"/>
    <w:rsid w:val="00C622C8"/>
    <w:rsid w:val="00C635D2"/>
    <w:rsid w:val="00C63F6C"/>
    <w:rsid w:val="00C66E81"/>
    <w:rsid w:val="00C67E89"/>
    <w:rsid w:val="00C72A3C"/>
    <w:rsid w:val="00C73808"/>
    <w:rsid w:val="00C73A0F"/>
    <w:rsid w:val="00C74335"/>
    <w:rsid w:val="00C747B5"/>
    <w:rsid w:val="00C74C72"/>
    <w:rsid w:val="00C7720F"/>
    <w:rsid w:val="00C774F1"/>
    <w:rsid w:val="00C80225"/>
    <w:rsid w:val="00C80AA0"/>
    <w:rsid w:val="00C82DA3"/>
    <w:rsid w:val="00C90A93"/>
    <w:rsid w:val="00C91CBD"/>
    <w:rsid w:val="00C92A3D"/>
    <w:rsid w:val="00C92DE2"/>
    <w:rsid w:val="00C93B30"/>
    <w:rsid w:val="00C9573A"/>
    <w:rsid w:val="00C95D22"/>
    <w:rsid w:val="00C96B67"/>
    <w:rsid w:val="00C97D3E"/>
    <w:rsid w:val="00CA1D56"/>
    <w:rsid w:val="00CA4547"/>
    <w:rsid w:val="00CA46B4"/>
    <w:rsid w:val="00CB0177"/>
    <w:rsid w:val="00CB1786"/>
    <w:rsid w:val="00CB1F58"/>
    <w:rsid w:val="00CB40C7"/>
    <w:rsid w:val="00CB521D"/>
    <w:rsid w:val="00CB625F"/>
    <w:rsid w:val="00CC0BAF"/>
    <w:rsid w:val="00CC2CC3"/>
    <w:rsid w:val="00CD09E8"/>
    <w:rsid w:val="00CD1652"/>
    <w:rsid w:val="00CD2A78"/>
    <w:rsid w:val="00CD6A32"/>
    <w:rsid w:val="00CE051C"/>
    <w:rsid w:val="00CE1257"/>
    <w:rsid w:val="00CE1681"/>
    <w:rsid w:val="00CE2E5C"/>
    <w:rsid w:val="00CE4498"/>
    <w:rsid w:val="00CE4859"/>
    <w:rsid w:val="00CE56D6"/>
    <w:rsid w:val="00CE7641"/>
    <w:rsid w:val="00CF0981"/>
    <w:rsid w:val="00CF28BC"/>
    <w:rsid w:val="00CF3485"/>
    <w:rsid w:val="00CF65D6"/>
    <w:rsid w:val="00D014FA"/>
    <w:rsid w:val="00D01ACF"/>
    <w:rsid w:val="00D03293"/>
    <w:rsid w:val="00D03B44"/>
    <w:rsid w:val="00D068D1"/>
    <w:rsid w:val="00D0758D"/>
    <w:rsid w:val="00D13A2A"/>
    <w:rsid w:val="00D15F1D"/>
    <w:rsid w:val="00D165D0"/>
    <w:rsid w:val="00D224A9"/>
    <w:rsid w:val="00D24854"/>
    <w:rsid w:val="00D25282"/>
    <w:rsid w:val="00D26DAF"/>
    <w:rsid w:val="00D3055F"/>
    <w:rsid w:val="00D4075A"/>
    <w:rsid w:val="00D40B38"/>
    <w:rsid w:val="00D422DC"/>
    <w:rsid w:val="00D432C7"/>
    <w:rsid w:val="00D4513F"/>
    <w:rsid w:val="00D45783"/>
    <w:rsid w:val="00D45E48"/>
    <w:rsid w:val="00D47C97"/>
    <w:rsid w:val="00D508C7"/>
    <w:rsid w:val="00D50BE8"/>
    <w:rsid w:val="00D53B6B"/>
    <w:rsid w:val="00D55BD6"/>
    <w:rsid w:val="00D565B6"/>
    <w:rsid w:val="00D571C0"/>
    <w:rsid w:val="00D57A56"/>
    <w:rsid w:val="00D60AA0"/>
    <w:rsid w:val="00D62D36"/>
    <w:rsid w:val="00D630C7"/>
    <w:rsid w:val="00D64192"/>
    <w:rsid w:val="00D64F7F"/>
    <w:rsid w:val="00D65738"/>
    <w:rsid w:val="00D702AE"/>
    <w:rsid w:val="00D70ECF"/>
    <w:rsid w:val="00D72C2A"/>
    <w:rsid w:val="00D76C04"/>
    <w:rsid w:val="00D76F60"/>
    <w:rsid w:val="00D7791D"/>
    <w:rsid w:val="00D802A5"/>
    <w:rsid w:val="00D80A6F"/>
    <w:rsid w:val="00D8158C"/>
    <w:rsid w:val="00D821AD"/>
    <w:rsid w:val="00D84BA7"/>
    <w:rsid w:val="00D85B59"/>
    <w:rsid w:val="00D862F7"/>
    <w:rsid w:val="00D865DF"/>
    <w:rsid w:val="00D8799E"/>
    <w:rsid w:val="00D91821"/>
    <w:rsid w:val="00D931F2"/>
    <w:rsid w:val="00D938A5"/>
    <w:rsid w:val="00D965C1"/>
    <w:rsid w:val="00DA07B1"/>
    <w:rsid w:val="00DA1863"/>
    <w:rsid w:val="00DA2F9E"/>
    <w:rsid w:val="00DA38C8"/>
    <w:rsid w:val="00DA405B"/>
    <w:rsid w:val="00DA739E"/>
    <w:rsid w:val="00DB0AEA"/>
    <w:rsid w:val="00DB12F7"/>
    <w:rsid w:val="00DB133C"/>
    <w:rsid w:val="00DB1373"/>
    <w:rsid w:val="00DB2584"/>
    <w:rsid w:val="00DB3036"/>
    <w:rsid w:val="00DB6911"/>
    <w:rsid w:val="00DB6CEF"/>
    <w:rsid w:val="00DB7D51"/>
    <w:rsid w:val="00DC0FB2"/>
    <w:rsid w:val="00DC7333"/>
    <w:rsid w:val="00DD43EC"/>
    <w:rsid w:val="00DD6AA6"/>
    <w:rsid w:val="00DD760E"/>
    <w:rsid w:val="00DE2994"/>
    <w:rsid w:val="00DE447C"/>
    <w:rsid w:val="00DE5FA9"/>
    <w:rsid w:val="00DE65DD"/>
    <w:rsid w:val="00DF01F3"/>
    <w:rsid w:val="00DF0CCC"/>
    <w:rsid w:val="00DF1827"/>
    <w:rsid w:val="00DF509E"/>
    <w:rsid w:val="00E00249"/>
    <w:rsid w:val="00E0622D"/>
    <w:rsid w:val="00E068B1"/>
    <w:rsid w:val="00E07B2B"/>
    <w:rsid w:val="00E1051C"/>
    <w:rsid w:val="00E14B75"/>
    <w:rsid w:val="00E160DC"/>
    <w:rsid w:val="00E16506"/>
    <w:rsid w:val="00E20436"/>
    <w:rsid w:val="00E223A8"/>
    <w:rsid w:val="00E22BDF"/>
    <w:rsid w:val="00E23639"/>
    <w:rsid w:val="00E23BA8"/>
    <w:rsid w:val="00E24AAF"/>
    <w:rsid w:val="00E27EEA"/>
    <w:rsid w:val="00E31788"/>
    <w:rsid w:val="00E32D26"/>
    <w:rsid w:val="00E33C62"/>
    <w:rsid w:val="00E33DE7"/>
    <w:rsid w:val="00E343EF"/>
    <w:rsid w:val="00E37978"/>
    <w:rsid w:val="00E40B69"/>
    <w:rsid w:val="00E449F9"/>
    <w:rsid w:val="00E46C10"/>
    <w:rsid w:val="00E473A3"/>
    <w:rsid w:val="00E50ADE"/>
    <w:rsid w:val="00E52662"/>
    <w:rsid w:val="00E562FF"/>
    <w:rsid w:val="00E574F3"/>
    <w:rsid w:val="00E57EF7"/>
    <w:rsid w:val="00E616D3"/>
    <w:rsid w:val="00E63940"/>
    <w:rsid w:val="00E655FF"/>
    <w:rsid w:val="00E71A2D"/>
    <w:rsid w:val="00E71FAE"/>
    <w:rsid w:val="00E72C41"/>
    <w:rsid w:val="00E77C9D"/>
    <w:rsid w:val="00E80216"/>
    <w:rsid w:val="00E8083E"/>
    <w:rsid w:val="00E8104C"/>
    <w:rsid w:val="00E8392F"/>
    <w:rsid w:val="00E84C19"/>
    <w:rsid w:val="00E857C5"/>
    <w:rsid w:val="00E87653"/>
    <w:rsid w:val="00E90834"/>
    <w:rsid w:val="00E90AE7"/>
    <w:rsid w:val="00E9385E"/>
    <w:rsid w:val="00E9768E"/>
    <w:rsid w:val="00EA0641"/>
    <w:rsid w:val="00EA35A1"/>
    <w:rsid w:val="00EA5BF0"/>
    <w:rsid w:val="00EA788C"/>
    <w:rsid w:val="00EB6182"/>
    <w:rsid w:val="00EB7802"/>
    <w:rsid w:val="00EB7A1C"/>
    <w:rsid w:val="00EC2152"/>
    <w:rsid w:val="00EC46D9"/>
    <w:rsid w:val="00EC5121"/>
    <w:rsid w:val="00EC666D"/>
    <w:rsid w:val="00EC7A1C"/>
    <w:rsid w:val="00ED035F"/>
    <w:rsid w:val="00ED0410"/>
    <w:rsid w:val="00ED0F5C"/>
    <w:rsid w:val="00ED30E6"/>
    <w:rsid w:val="00ED3DD3"/>
    <w:rsid w:val="00ED6744"/>
    <w:rsid w:val="00ED72CC"/>
    <w:rsid w:val="00EE0830"/>
    <w:rsid w:val="00EE147F"/>
    <w:rsid w:val="00EE2758"/>
    <w:rsid w:val="00EE3255"/>
    <w:rsid w:val="00EE79C9"/>
    <w:rsid w:val="00EF5451"/>
    <w:rsid w:val="00EF5CCF"/>
    <w:rsid w:val="00EF68EB"/>
    <w:rsid w:val="00EF7EB5"/>
    <w:rsid w:val="00F00C30"/>
    <w:rsid w:val="00F00F1F"/>
    <w:rsid w:val="00F02F50"/>
    <w:rsid w:val="00F02F7D"/>
    <w:rsid w:val="00F04556"/>
    <w:rsid w:val="00F04A24"/>
    <w:rsid w:val="00F07FE0"/>
    <w:rsid w:val="00F12CB7"/>
    <w:rsid w:val="00F1379F"/>
    <w:rsid w:val="00F15EF3"/>
    <w:rsid w:val="00F17175"/>
    <w:rsid w:val="00F17913"/>
    <w:rsid w:val="00F21F27"/>
    <w:rsid w:val="00F232CD"/>
    <w:rsid w:val="00F242D5"/>
    <w:rsid w:val="00F24903"/>
    <w:rsid w:val="00F25373"/>
    <w:rsid w:val="00F26E45"/>
    <w:rsid w:val="00F31164"/>
    <w:rsid w:val="00F31811"/>
    <w:rsid w:val="00F3249B"/>
    <w:rsid w:val="00F36706"/>
    <w:rsid w:val="00F375F1"/>
    <w:rsid w:val="00F4049B"/>
    <w:rsid w:val="00F40604"/>
    <w:rsid w:val="00F42BFC"/>
    <w:rsid w:val="00F464A7"/>
    <w:rsid w:val="00F512AE"/>
    <w:rsid w:val="00F52004"/>
    <w:rsid w:val="00F53108"/>
    <w:rsid w:val="00F5474A"/>
    <w:rsid w:val="00F55E03"/>
    <w:rsid w:val="00F56734"/>
    <w:rsid w:val="00F57973"/>
    <w:rsid w:val="00F60EDF"/>
    <w:rsid w:val="00F64592"/>
    <w:rsid w:val="00F64B10"/>
    <w:rsid w:val="00F66091"/>
    <w:rsid w:val="00F7212F"/>
    <w:rsid w:val="00F7520C"/>
    <w:rsid w:val="00F75724"/>
    <w:rsid w:val="00F77249"/>
    <w:rsid w:val="00F77978"/>
    <w:rsid w:val="00F81500"/>
    <w:rsid w:val="00F815ED"/>
    <w:rsid w:val="00F8194F"/>
    <w:rsid w:val="00F828D9"/>
    <w:rsid w:val="00F828EC"/>
    <w:rsid w:val="00F82DA9"/>
    <w:rsid w:val="00F85A74"/>
    <w:rsid w:val="00F87477"/>
    <w:rsid w:val="00F94B63"/>
    <w:rsid w:val="00F950F1"/>
    <w:rsid w:val="00F96779"/>
    <w:rsid w:val="00F96AD0"/>
    <w:rsid w:val="00FA021A"/>
    <w:rsid w:val="00FA05BD"/>
    <w:rsid w:val="00FA1344"/>
    <w:rsid w:val="00FA26D2"/>
    <w:rsid w:val="00FA362C"/>
    <w:rsid w:val="00FA52F1"/>
    <w:rsid w:val="00FA7DF2"/>
    <w:rsid w:val="00FB253A"/>
    <w:rsid w:val="00FB5427"/>
    <w:rsid w:val="00FB54DE"/>
    <w:rsid w:val="00FC141F"/>
    <w:rsid w:val="00FC282A"/>
    <w:rsid w:val="00FC2C4E"/>
    <w:rsid w:val="00FC2F9F"/>
    <w:rsid w:val="00FC3B65"/>
    <w:rsid w:val="00FC48D9"/>
    <w:rsid w:val="00FC6D1D"/>
    <w:rsid w:val="00FC74A7"/>
    <w:rsid w:val="00FD0CC4"/>
    <w:rsid w:val="00FD203E"/>
    <w:rsid w:val="00FD7584"/>
    <w:rsid w:val="00FD79B9"/>
    <w:rsid w:val="00FD7DF4"/>
    <w:rsid w:val="00FD7FAC"/>
    <w:rsid w:val="00FE07A9"/>
    <w:rsid w:val="00FE6E92"/>
    <w:rsid w:val="00FF2176"/>
    <w:rsid w:val="00FF2838"/>
    <w:rsid w:val="00FF436A"/>
    <w:rsid w:val="00FF49C7"/>
    <w:rsid w:val="00FF65E7"/>
    <w:rsid w:val="00FF6700"/>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6FF3F"/>
  <w15:docId w15:val="{8E389170-EA3A-47D5-A06A-AE4316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200"/>
    <w:rPr>
      <w:rFonts w:ascii="Arial" w:hAnsi="Arial"/>
    </w:rPr>
  </w:style>
  <w:style w:type="paragraph" w:styleId="Heading1">
    <w:name w:val="heading 1"/>
    <w:basedOn w:val="Normal"/>
    <w:next w:val="Normal"/>
    <w:link w:val="Heading1Char"/>
    <w:uiPriority w:val="9"/>
    <w:qFormat/>
    <w:rsid w:val="00F31164"/>
    <w:pPr>
      <w:keepNext/>
      <w:keepLines/>
      <w:numPr>
        <w:numId w:val="20"/>
      </w:numPr>
      <w:spacing w:after="120"/>
      <w:outlineLvl w:val="0"/>
    </w:pPr>
    <w:rPr>
      <w:rFonts w:eastAsiaTheme="majorEastAsia" w:cstheme="majorBidi"/>
      <w:b/>
      <w:bCs/>
      <w:color w:val="005EB8"/>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1164"/>
    <w:rPr>
      <w:rFonts w:ascii="Arial" w:eastAsiaTheme="majorEastAsia" w:hAnsi="Arial" w:cstheme="majorBidi"/>
      <w:b/>
      <w:bCs/>
      <w:color w:val="005EB8"/>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B64F74"/>
    <w:pPr>
      <w:tabs>
        <w:tab w:val="right" w:leader="dot" w:pos="9016"/>
      </w:tabs>
      <w:spacing w:after="100"/>
    </w:pPr>
    <w:rPr>
      <w:rFonts w:eastAsia="Times New Roman"/>
      <w:noProof/>
      <w:sz w:val="24"/>
      <w:szCs w:val="24"/>
      <w:lang w:val="en"/>
    </w:r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paragraph" w:styleId="Title">
    <w:name w:val="Title"/>
    <w:basedOn w:val="Normal"/>
    <w:next w:val="Normal"/>
    <w:link w:val="TitleChar"/>
    <w:uiPriority w:val="10"/>
    <w:qFormat/>
    <w:rsid w:val="002B58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8AA"/>
    <w:rPr>
      <w:rFonts w:asciiTheme="majorHAnsi" w:eastAsiaTheme="majorEastAsia" w:hAnsiTheme="majorHAnsi" w:cstheme="majorBidi"/>
      <w:spacing w:val="-10"/>
      <w:kern w:val="28"/>
      <w:sz w:val="56"/>
      <w:szCs w:val="56"/>
    </w:rPr>
  </w:style>
  <w:style w:type="paragraph" w:customStyle="1" w:styleId="Policyheader">
    <w:name w:val="Policy header"/>
    <w:basedOn w:val="Header"/>
    <w:link w:val="PolicyheaderChar"/>
    <w:qFormat/>
    <w:rsid w:val="001B48AB"/>
    <w:pPr>
      <w:keepNext/>
      <w:numPr>
        <w:numId w:val="17"/>
      </w:numPr>
      <w:tabs>
        <w:tab w:val="clear" w:pos="4513"/>
        <w:tab w:val="clear" w:pos="9026"/>
      </w:tabs>
      <w:spacing w:before="240" w:after="240" w:line="300" w:lineRule="auto"/>
      <w:outlineLvl w:val="0"/>
    </w:pPr>
    <w:rPr>
      <w:rFonts w:asciiTheme="minorHAnsi" w:hAnsiTheme="minorHAnsi"/>
      <w:b/>
      <w:bCs/>
      <w:noProof/>
      <w:sz w:val="28"/>
    </w:rPr>
  </w:style>
  <w:style w:type="paragraph" w:customStyle="1" w:styleId="Policybulletlevel2">
    <w:name w:val="Policy bullet level 2"/>
    <w:basedOn w:val="Normal"/>
    <w:qFormat/>
    <w:rsid w:val="001B48AB"/>
    <w:pPr>
      <w:numPr>
        <w:ilvl w:val="1"/>
        <w:numId w:val="17"/>
      </w:numPr>
      <w:suppressAutoHyphens/>
      <w:spacing w:before="120" w:after="120" w:line="300" w:lineRule="auto"/>
    </w:pPr>
    <w:rPr>
      <w:rFonts w:asciiTheme="minorHAnsi" w:hAnsiTheme="minorHAnsi"/>
    </w:rPr>
  </w:style>
  <w:style w:type="paragraph" w:customStyle="1" w:styleId="PolicybulletLevel3">
    <w:name w:val="Policy bullet Level 3"/>
    <w:basedOn w:val="Policybulletlevel2"/>
    <w:qFormat/>
    <w:rsid w:val="001B48AB"/>
    <w:pPr>
      <w:numPr>
        <w:ilvl w:val="2"/>
      </w:numPr>
    </w:pPr>
  </w:style>
  <w:style w:type="paragraph" w:customStyle="1" w:styleId="Policybulletlevel4">
    <w:name w:val="Policy bullet level 4"/>
    <w:basedOn w:val="PolicybulletLevel3"/>
    <w:qFormat/>
    <w:rsid w:val="001B48AB"/>
    <w:pPr>
      <w:numPr>
        <w:ilvl w:val="3"/>
      </w:numPr>
    </w:pPr>
  </w:style>
  <w:style w:type="character" w:styleId="Strong">
    <w:name w:val="Strong"/>
    <w:basedOn w:val="DefaultParagraphFont"/>
    <w:uiPriority w:val="22"/>
    <w:qFormat/>
    <w:rsid w:val="00172D67"/>
    <w:rPr>
      <w:b/>
      <w:bCs/>
    </w:rPr>
  </w:style>
  <w:style w:type="character" w:customStyle="1" w:styleId="PolicyheaderChar">
    <w:name w:val="Policy header Char"/>
    <w:link w:val="Policyheader"/>
    <w:rsid w:val="008B0EDE"/>
    <w:rPr>
      <w:b/>
      <w:bCs/>
      <w:noProof/>
      <w:sz w:val="28"/>
    </w:rPr>
  </w:style>
  <w:style w:type="paragraph" w:customStyle="1" w:styleId="Header2">
    <w:name w:val="Header 2"/>
    <w:basedOn w:val="Policyheader"/>
    <w:link w:val="Header2Char"/>
    <w:qFormat/>
    <w:rsid w:val="008B0EDE"/>
    <w:pPr>
      <w:numPr>
        <w:numId w:val="0"/>
      </w:numPr>
      <w:ind w:left="851" w:hanging="851"/>
      <w:outlineLvl w:val="1"/>
    </w:pPr>
    <w:rPr>
      <w:rFonts w:ascii="Arial" w:hAnsi="Arial"/>
    </w:rPr>
  </w:style>
  <w:style w:type="character" w:customStyle="1" w:styleId="Header2Char">
    <w:name w:val="Header 2 Char"/>
    <w:basedOn w:val="PolicyheaderChar"/>
    <w:link w:val="Header2"/>
    <w:rsid w:val="008B0EDE"/>
    <w:rPr>
      <w:rFonts w:ascii="Arial" w:hAnsi="Arial"/>
      <w:b/>
      <w:bCs/>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5654">
      <w:bodyDiv w:val="1"/>
      <w:marLeft w:val="0"/>
      <w:marRight w:val="0"/>
      <w:marTop w:val="0"/>
      <w:marBottom w:val="0"/>
      <w:divBdr>
        <w:top w:val="none" w:sz="0" w:space="0" w:color="auto"/>
        <w:left w:val="none" w:sz="0" w:space="0" w:color="auto"/>
        <w:bottom w:val="none" w:sz="0" w:space="0" w:color="auto"/>
        <w:right w:val="none" w:sz="0" w:space="0" w:color="auto"/>
      </w:divBdr>
    </w:div>
    <w:div w:id="80637924">
      <w:bodyDiv w:val="1"/>
      <w:marLeft w:val="0"/>
      <w:marRight w:val="0"/>
      <w:marTop w:val="0"/>
      <w:marBottom w:val="0"/>
      <w:divBdr>
        <w:top w:val="none" w:sz="0" w:space="0" w:color="auto"/>
        <w:left w:val="none" w:sz="0" w:space="0" w:color="auto"/>
        <w:bottom w:val="none" w:sz="0" w:space="0" w:color="auto"/>
        <w:right w:val="none" w:sz="0" w:space="0" w:color="auto"/>
      </w:divBdr>
    </w:div>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493762442">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54435780">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594171052">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718016723">
      <w:bodyDiv w:val="1"/>
      <w:marLeft w:val="0"/>
      <w:marRight w:val="0"/>
      <w:marTop w:val="0"/>
      <w:marBottom w:val="0"/>
      <w:divBdr>
        <w:top w:val="none" w:sz="0" w:space="0" w:color="auto"/>
        <w:left w:val="none" w:sz="0" w:space="0" w:color="auto"/>
        <w:bottom w:val="none" w:sz="0" w:space="0" w:color="auto"/>
        <w:right w:val="none" w:sz="0" w:space="0" w:color="auto"/>
      </w:divBdr>
    </w:div>
    <w:div w:id="883641081">
      <w:bodyDiv w:val="1"/>
      <w:marLeft w:val="0"/>
      <w:marRight w:val="0"/>
      <w:marTop w:val="0"/>
      <w:marBottom w:val="0"/>
      <w:divBdr>
        <w:top w:val="none" w:sz="0" w:space="0" w:color="auto"/>
        <w:left w:val="none" w:sz="0" w:space="0" w:color="auto"/>
        <w:bottom w:val="none" w:sz="0" w:space="0" w:color="auto"/>
        <w:right w:val="none" w:sz="0" w:space="0" w:color="auto"/>
      </w:divBdr>
    </w:div>
    <w:div w:id="956302895">
      <w:bodyDiv w:val="1"/>
      <w:marLeft w:val="0"/>
      <w:marRight w:val="0"/>
      <w:marTop w:val="0"/>
      <w:marBottom w:val="0"/>
      <w:divBdr>
        <w:top w:val="none" w:sz="0" w:space="0" w:color="auto"/>
        <w:left w:val="none" w:sz="0" w:space="0" w:color="auto"/>
        <w:bottom w:val="none" w:sz="0" w:space="0" w:color="auto"/>
        <w:right w:val="none" w:sz="0" w:space="0" w:color="auto"/>
      </w:divBdr>
    </w:div>
    <w:div w:id="1007638302">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359965871">
      <w:bodyDiv w:val="1"/>
      <w:marLeft w:val="0"/>
      <w:marRight w:val="0"/>
      <w:marTop w:val="0"/>
      <w:marBottom w:val="0"/>
      <w:divBdr>
        <w:top w:val="none" w:sz="0" w:space="0" w:color="auto"/>
        <w:left w:val="none" w:sz="0" w:space="0" w:color="auto"/>
        <w:bottom w:val="none" w:sz="0" w:space="0" w:color="auto"/>
        <w:right w:val="none" w:sz="0" w:space="0" w:color="auto"/>
      </w:divBdr>
    </w:div>
    <w:div w:id="1510218061">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759324282">
      <w:bodyDiv w:val="1"/>
      <w:marLeft w:val="0"/>
      <w:marRight w:val="0"/>
      <w:marTop w:val="0"/>
      <w:marBottom w:val="0"/>
      <w:divBdr>
        <w:top w:val="none" w:sz="0" w:space="0" w:color="auto"/>
        <w:left w:val="none" w:sz="0" w:space="0" w:color="auto"/>
        <w:bottom w:val="none" w:sz="0" w:space="0" w:color="auto"/>
        <w:right w:val="none" w:sz="0" w:space="0" w:color="auto"/>
      </w:divBdr>
    </w:div>
    <w:div w:id="1765803819">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074429690">
      <w:bodyDiv w:val="1"/>
      <w:marLeft w:val="0"/>
      <w:marRight w:val="0"/>
      <w:marTop w:val="0"/>
      <w:marBottom w:val="0"/>
      <w:divBdr>
        <w:top w:val="none" w:sz="0" w:space="0" w:color="auto"/>
        <w:left w:val="none" w:sz="0" w:space="0" w:color="auto"/>
        <w:bottom w:val="none" w:sz="0" w:space="0" w:color="auto"/>
        <w:right w:val="none" w:sz="0" w:space="0" w:color="auto"/>
      </w:divBdr>
    </w:div>
    <w:div w:id="2082678603">
      <w:bodyDiv w:val="1"/>
      <w:marLeft w:val="0"/>
      <w:marRight w:val="0"/>
      <w:marTop w:val="0"/>
      <w:marBottom w:val="0"/>
      <w:divBdr>
        <w:top w:val="none" w:sz="0" w:space="0" w:color="auto"/>
        <w:left w:val="none" w:sz="0" w:space="0" w:color="auto"/>
        <w:bottom w:val="none" w:sz="0" w:space="0" w:color="auto"/>
        <w:right w:val="none" w:sz="0" w:space="0" w:color="auto"/>
      </w:divBdr>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 w:id="21183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together.org.uk/investigation-resour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ekhuft.nhs.uk/about-us/our-structu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wp-content/uploads/2022/08/B1465-4.-Oversight-roles-and-responsibilities-specification-v1-FINAL.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khuft.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khuft.nhs.uk/about-us/fo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khuft.nhs.uk/about-us/foi/"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8272ff-30e2-44e5-bc00-e42a8654cac1">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AC06ADD7EA74395EB9E853C7AFA71" ma:contentTypeVersion="19" ma:contentTypeDescription="Create a new document." ma:contentTypeScope="" ma:versionID="deedae2f03c4dd2222cc19dd187d088e">
  <xsd:schema xmlns:xsd="http://www.w3.org/2001/XMLSchema" xmlns:xs="http://www.w3.org/2001/XMLSchema" xmlns:p="http://schemas.microsoft.com/office/2006/metadata/properties" xmlns:ns2="768272ff-30e2-44e5-bc00-e42a8654cac1" xmlns:ns3="cccaf3ac-2de9-44d4-aa31-54302fceb5f7" targetNamespace="http://schemas.microsoft.com/office/2006/metadata/properties" ma:root="true" ma:fieldsID="d3042bae77416b548e92cb0761bc0245" ns2:_="" ns3:_="">
    <xsd:import namespace="768272ff-30e2-44e5-bc00-e42a8654cac1"/>
    <xsd:import namespace="cccaf3ac-2de9-44d4-aa31-54302fceb5f7"/>
    <xsd:element name="properties">
      <xsd:complexType>
        <xsd:sequence>
          <xsd:element name="documentManagement">
            <xsd:complexType>
              <xsd:all>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272ff-30e2-44e5-bc00-e42a8654ca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6c0586-99a1-427c-ac2f-3e117a8f572b}"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768272ff-30e2-44e5-bc00-e42a8654cac1"/>
    <ds:schemaRef ds:uri="cccaf3ac-2de9-44d4-aa31-54302fceb5f7"/>
  </ds:schemaRefs>
</ds:datastoreItem>
</file>

<file path=customXml/itemProps2.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3.xml><?xml version="1.0" encoding="utf-8"?>
<ds:datastoreItem xmlns:ds="http://schemas.openxmlformats.org/officeDocument/2006/customXml" ds:itemID="{B05650F9-7A1E-4D49-B3E1-D30D2FB1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272ff-30e2-44e5-bc00-e42a8654cac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83C85-0999-4565-B8FF-2DF22C5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27</Pages>
  <Words>6277</Words>
  <Characters>35785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cp:lastModifiedBy>Hollie Godwin</cp:lastModifiedBy>
  <cp:revision>9</cp:revision>
  <cp:lastPrinted>2025-08-08T16:27:00Z</cp:lastPrinted>
  <dcterms:created xsi:type="dcterms:W3CDTF">2025-11-18T08:38:00Z</dcterms:created>
  <dcterms:modified xsi:type="dcterms:W3CDTF">2025-11-20T10:45:00Z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0x010100E6FAC06ADD7EA74395EB9E853C7AFA71</vt:lpwstr>
  </property>
  <property fmtid="{D5CDD505-2E9C-101B-9397-08002B2CF9AE}" pid="3" name="MediaServiceImageTags">
    <vt:lpwstr/>
  </property>
  <property fmtid="{D5CDD505-2E9C-101B-9397-08002B2CF9AE}" pid="4" name="GrammarlyDocumentId">
    <vt:lpwstr>19e1421c-ca44-4854-ac16-3013e8549e22</vt:lpwstr>
  </property>
</Properties>
</file>