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E6A3" w14:textId="77777777" w:rsidR="008970DA" w:rsidRDefault="0022378C" w:rsidP="005E51F4">
      <w:pPr>
        <w:spacing w:after="200"/>
        <w:jc w:val="center"/>
        <w:rPr>
          <w:sz w:val="40"/>
          <w:szCs w:val="40"/>
        </w:rPr>
      </w:pPr>
      <w:r>
        <w:rPr>
          <w:sz w:val="40"/>
          <w:szCs w:val="40"/>
        </w:rPr>
        <w:t>East Kent Hospitals University</w:t>
      </w:r>
    </w:p>
    <w:p w14:paraId="0D4CC5EC" w14:textId="77777777" w:rsidR="0022378C" w:rsidRDefault="0022378C" w:rsidP="00D85ED8">
      <w:pPr>
        <w:spacing w:before="200" w:after="200"/>
        <w:jc w:val="center"/>
        <w:rPr>
          <w:sz w:val="40"/>
          <w:szCs w:val="40"/>
        </w:rPr>
      </w:pPr>
      <w:r>
        <w:rPr>
          <w:sz w:val="40"/>
          <w:szCs w:val="40"/>
        </w:rPr>
        <w:t>NHS</w:t>
      </w:r>
      <w:r w:rsidR="008970DA">
        <w:rPr>
          <w:sz w:val="40"/>
          <w:szCs w:val="40"/>
        </w:rPr>
        <w:t xml:space="preserve"> </w:t>
      </w:r>
      <w:r>
        <w:rPr>
          <w:sz w:val="40"/>
          <w:szCs w:val="40"/>
        </w:rPr>
        <w:t>Foundation Trust</w:t>
      </w:r>
    </w:p>
    <w:p w14:paraId="5551A5E1" w14:textId="77777777" w:rsidR="00634FF6" w:rsidRPr="00130197" w:rsidRDefault="008259FE" w:rsidP="001141D6">
      <w:pPr>
        <w:spacing w:before="360" w:after="200"/>
        <w:jc w:val="center"/>
        <w:rPr>
          <w:b/>
          <w:sz w:val="28"/>
          <w:szCs w:val="32"/>
        </w:rPr>
      </w:pPr>
      <w:r w:rsidRPr="00130197">
        <w:rPr>
          <w:b/>
          <w:sz w:val="28"/>
          <w:szCs w:val="32"/>
        </w:rPr>
        <w:t xml:space="preserve">TRUST </w:t>
      </w:r>
      <w:r w:rsidR="001C60EF" w:rsidRPr="00130197">
        <w:rPr>
          <w:b/>
          <w:sz w:val="28"/>
          <w:szCs w:val="32"/>
        </w:rPr>
        <w:t>POLICY</w:t>
      </w:r>
      <w:r w:rsidR="0045239B" w:rsidRPr="00130197">
        <w:rPr>
          <w:b/>
          <w:sz w:val="28"/>
          <w:szCs w:val="32"/>
        </w:rPr>
        <w:t xml:space="preserve"> </w:t>
      </w:r>
    </w:p>
    <w:p w14:paraId="38559CF4" w14:textId="50F74B0D" w:rsidR="0022378C" w:rsidRPr="00C73508" w:rsidRDefault="001D6759" w:rsidP="005E51F4">
      <w:pPr>
        <w:pStyle w:val="Title"/>
        <w:spacing w:after="360"/>
      </w:pPr>
      <w:r>
        <w:t>Patient Safety Incident Response Policy</w:t>
      </w:r>
    </w:p>
    <w:tbl>
      <w:tblPr>
        <w:tblStyle w:val="TableGrid"/>
        <w:tblW w:w="9639" w:type="dxa"/>
        <w:tblLayout w:type="fixed"/>
        <w:tblLook w:val="0620" w:firstRow="1" w:lastRow="0" w:firstColumn="0" w:lastColumn="0" w:noHBand="1" w:noVBand="1"/>
      </w:tblPr>
      <w:tblGrid>
        <w:gridCol w:w="5382"/>
        <w:gridCol w:w="4257"/>
      </w:tblGrid>
      <w:tr w:rsidR="00BC6BD1" w:rsidRPr="00F54910" w14:paraId="56C6AFDD" w14:textId="77777777" w:rsidTr="00BC6BD1">
        <w:tc>
          <w:tcPr>
            <w:tcW w:w="5382" w:type="dxa"/>
          </w:tcPr>
          <w:p w14:paraId="47730BEA" w14:textId="77777777" w:rsidR="00BC6BD1" w:rsidRPr="00BC6BD1" w:rsidRDefault="00F56A43" w:rsidP="00EB1617">
            <w:pPr>
              <w:spacing w:before="80" w:after="80"/>
              <w:rPr>
                <w:b/>
              </w:rPr>
            </w:pPr>
            <w:r>
              <w:rPr>
                <w:b/>
              </w:rPr>
              <w:t>Document properties:</w:t>
            </w:r>
          </w:p>
        </w:tc>
        <w:tc>
          <w:tcPr>
            <w:tcW w:w="4257" w:type="dxa"/>
          </w:tcPr>
          <w:p w14:paraId="239CF098" w14:textId="77777777" w:rsidR="00BC6BD1" w:rsidRPr="00BC6BD1" w:rsidRDefault="00F56A43" w:rsidP="00EB1617">
            <w:pPr>
              <w:spacing w:before="80" w:after="80"/>
              <w:rPr>
                <w:b/>
              </w:rPr>
            </w:pPr>
            <w:r>
              <w:rPr>
                <w:b/>
              </w:rPr>
              <w:t>Detail:</w:t>
            </w:r>
          </w:p>
        </w:tc>
      </w:tr>
      <w:tr w:rsidR="00EB1617" w:rsidRPr="00F54910" w14:paraId="29B13F12" w14:textId="77777777" w:rsidTr="00BC6BD1">
        <w:tc>
          <w:tcPr>
            <w:tcW w:w="5382" w:type="dxa"/>
          </w:tcPr>
          <w:p w14:paraId="1F55976A" w14:textId="77777777" w:rsidR="00EB1617" w:rsidRPr="00F54910" w:rsidRDefault="00EB1617" w:rsidP="00EB1617">
            <w:pPr>
              <w:spacing w:before="80" w:after="80"/>
              <w:rPr>
                <w:b/>
              </w:rPr>
            </w:pPr>
            <w:r w:rsidRPr="00F54910">
              <w:rPr>
                <w:b/>
              </w:rPr>
              <w:t>Version</w:t>
            </w:r>
          </w:p>
        </w:tc>
        <w:tc>
          <w:tcPr>
            <w:tcW w:w="4257" w:type="dxa"/>
          </w:tcPr>
          <w:p w14:paraId="319E8717" w14:textId="44927C37" w:rsidR="00EB1617" w:rsidRDefault="00F73E7A" w:rsidP="00EB1617">
            <w:pPr>
              <w:spacing w:before="80" w:after="80"/>
            </w:pPr>
            <w:r>
              <w:t>2.0</w:t>
            </w:r>
          </w:p>
        </w:tc>
      </w:tr>
      <w:tr w:rsidR="00EB1617" w:rsidRPr="00F54910" w14:paraId="42FC1E49" w14:textId="77777777" w:rsidTr="00BC6BD1">
        <w:tc>
          <w:tcPr>
            <w:tcW w:w="5382" w:type="dxa"/>
          </w:tcPr>
          <w:p w14:paraId="0FCD547B" w14:textId="77777777" w:rsidR="00EB1617" w:rsidRPr="00F54910" w:rsidRDefault="00EB1617" w:rsidP="00EB1617">
            <w:pPr>
              <w:spacing w:before="80" w:after="80"/>
              <w:rPr>
                <w:b/>
              </w:rPr>
            </w:pPr>
            <w:r w:rsidRPr="00F54910">
              <w:rPr>
                <w:b/>
              </w:rPr>
              <w:t>Author</w:t>
            </w:r>
          </w:p>
        </w:tc>
        <w:tc>
          <w:tcPr>
            <w:tcW w:w="4257" w:type="dxa"/>
          </w:tcPr>
          <w:p w14:paraId="532EBC56" w14:textId="3C203A5C" w:rsidR="00EB1617" w:rsidRDefault="005C75D9" w:rsidP="00EB1617">
            <w:pPr>
              <w:spacing w:before="80" w:after="80"/>
            </w:pPr>
            <w:r>
              <w:t>Head of Patient Safety and Improvement</w:t>
            </w:r>
          </w:p>
        </w:tc>
      </w:tr>
      <w:tr w:rsidR="00F56A43" w:rsidRPr="00F54910" w14:paraId="29DD7A65" w14:textId="77777777" w:rsidTr="00854EF3">
        <w:tc>
          <w:tcPr>
            <w:tcW w:w="5382" w:type="dxa"/>
            <w:tcBorders>
              <w:top w:val="single" w:sz="4" w:space="0" w:color="auto"/>
              <w:left w:val="single" w:sz="4" w:space="0" w:color="auto"/>
              <w:bottom w:val="single" w:sz="4" w:space="0" w:color="auto"/>
              <w:right w:val="single" w:sz="4" w:space="0" w:color="auto"/>
            </w:tcBorders>
            <w:vAlign w:val="center"/>
          </w:tcPr>
          <w:p w14:paraId="5D22B7B3" w14:textId="77777777" w:rsidR="00F56A43" w:rsidRPr="00F56A43" w:rsidRDefault="00F56A43" w:rsidP="00F56A43">
            <w:pPr>
              <w:spacing w:after="0" w:line="240" w:lineRule="auto"/>
              <w:rPr>
                <w:b/>
              </w:rPr>
            </w:pPr>
            <w:r w:rsidRPr="00F56A43">
              <w:rPr>
                <w:b/>
              </w:rPr>
              <w:t>Policy Owner</w:t>
            </w:r>
          </w:p>
        </w:tc>
        <w:tc>
          <w:tcPr>
            <w:tcW w:w="4257" w:type="dxa"/>
          </w:tcPr>
          <w:p w14:paraId="17EE3E6C" w14:textId="536C2303" w:rsidR="00F56A43" w:rsidRDefault="005C75D9" w:rsidP="00F56A43">
            <w:pPr>
              <w:spacing w:before="80" w:after="80"/>
            </w:pPr>
            <w:r>
              <w:t>Head of Patient Safety and Improvement</w:t>
            </w:r>
          </w:p>
        </w:tc>
      </w:tr>
      <w:tr w:rsidR="00F56A43" w:rsidRPr="00F54910" w14:paraId="01AA6703" w14:textId="77777777" w:rsidTr="00854EF3">
        <w:tc>
          <w:tcPr>
            <w:tcW w:w="5382" w:type="dxa"/>
            <w:tcBorders>
              <w:top w:val="single" w:sz="4" w:space="0" w:color="auto"/>
              <w:left w:val="single" w:sz="4" w:space="0" w:color="auto"/>
              <w:bottom w:val="single" w:sz="4" w:space="0" w:color="auto"/>
              <w:right w:val="single" w:sz="4" w:space="0" w:color="auto"/>
            </w:tcBorders>
            <w:vAlign w:val="center"/>
          </w:tcPr>
          <w:p w14:paraId="30AD4145" w14:textId="77777777" w:rsidR="00F56A43" w:rsidRDefault="00F56A43" w:rsidP="00F56A43">
            <w:pPr>
              <w:spacing w:after="0" w:line="240" w:lineRule="auto"/>
              <w:rPr>
                <w:b/>
              </w:rPr>
            </w:pPr>
            <w:r>
              <w:rPr>
                <w:b/>
              </w:rPr>
              <w:t>Executive Director Responsible for Policy</w:t>
            </w:r>
          </w:p>
        </w:tc>
        <w:tc>
          <w:tcPr>
            <w:tcW w:w="4257" w:type="dxa"/>
          </w:tcPr>
          <w:p w14:paraId="01ADBFF9" w14:textId="66162305" w:rsidR="00F56A43" w:rsidRDefault="005C75D9" w:rsidP="00F56A43">
            <w:pPr>
              <w:spacing w:before="80" w:after="80"/>
            </w:pPr>
            <w:r>
              <w:t>Chief Nursing and Midwifery Officer</w:t>
            </w:r>
          </w:p>
        </w:tc>
      </w:tr>
      <w:tr w:rsidR="00EB1617" w:rsidRPr="00F54910" w14:paraId="10A790C8" w14:textId="77777777" w:rsidTr="00BC6BD1">
        <w:tc>
          <w:tcPr>
            <w:tcW w:w="5382" w:type="dxa"/>
          </w:tcPr>
          <w:p w14:paraId="013E9060" w14:textId="77777777" w:rsidR="00EB1617" w:rsidRPr="00F54910" w:rsidRDefault="00EB1617" w:rsidP="00EB1617">
            <w:pPr>
              <w:spacing w:before="80" w:after="80"/>
              <w:rPr>
                <w:b/>
              </w:rPr>
            </w:pPr>
            <w:r w:rsidRPr="00F54910">
              <w:rPr>
                <w:b/>
              </w:rPr>
              <w:t>Approving committee</w:t>
            </w:r>
          </w:p>
        </w:tc>
        <w:tc>
          <w:tcPr>
            <w:tcW w:w="4257" w:type="dxa"/>
          </w:tcPr>
          <w:p w14:paraId="5835526A" w14:textId="7DABBADE" w:rsidR="00EB1617" w:rsidRDefault="00F73E7A" w:rsidP="00EB1617">
            <w:pPr>
              <w:spacing w:before="80" w:after="80"/>
            </w:pPr>
            <w:r>
              <w:t>Quality and Safety Committee</w:t>
            </w:r>
          </w:p>
        </w:tc>
      </w:tr>
      <w:tr w:rsidR="00EB1617" w:rsidRPr="00F54910" w14:paraId="1AEE2366" w14:textId="77777777" w:rsidTr="00BC6BD1">
        <w:tc>
          <w:tcPr>
            <w:tcW w:w="5382" w:type="dxa"/>
          </w:tcPr>
          <w:p w14:paraId="0769F983" w14:textId="77777777" w:rsidR="00EB1617" w:rsidRPr="00F54910" w:rsidRDefault="00EB1617" w:rsidP="00EB1617">
            <w:pPr>
              <w:spacing w:before="80" w:after="80"/>
              <w:rPr>
                <w:b/>
              </w:rPr>
            </w:pPr>
            <w:r w:rsidRPr="00F54910">
              <w:rPr>
                <w:b/>
              </w:rPr>
              <w:t>Date approved</w:t>
            </w:r>
          </w:p>
        </w:tc>
        <w:tc>
          <w:tcPr>
            <w:tcW w:w="4257" w:type="dxa"/>
          </w:tcPr>
          <w:p w14:paraId="0795DA8E" w14:textId="388B255A" w:rsidR="00EB1617" w:rsidRPr="00F54910" w:rsidRDefault="00F73E7A" w:rsidP="00EB1617">
            <w:pPr>
              <w:spacing w:before="80" w:after="80"/>
            </w:pPr>
            <w:r>
              <w:t>16 July 2025</w:t>
            </w:r>
          </w:p>
        </w:tc>
      </w:tr>
      <w:tr w:rsidR="00EB1617" w:rsidRPr="00F54910" w14:paraId="2AC432C2" w14:textId="77777777" w:rsidTr="00BC6BD1">
        <w:tc>
          <w:tcPr>
            <w:tcW w:w="5382" w:type="dxa"/>
            <w:tcBorders>
              <w:bottom w:val="single" w:sz="4" w:space="0" w:color="auto"/>
            </w:tcBorders>
          </w:tcPr>
          <w:p w14:paraId="3CD0C12B" w14:textId="41B97F34" w:rsidR="00EB1617" w:rsidRPr="00F54910" w:rsidRDefault="00EB1617" w:rsidP="00EB1617">
            <w:pPr>
              <w:spacing w:before="80" w:after="80"/>
              <w:rPr>
                <w:b/>
              </w:rPr>
            </w:pPr>
            <w:r w:rsidRPr="00F54910">
              <w:rPr>
                <w:b/>
              </w:rPr>
              <w:t xml:space="preserve">Date ratified by Policy </w:t>
            </w:r>
            <w:r>
              <w:rPr>
                <w:b/>
              </w:rPr>
              <w:t>Authorisation</w:t>
            </w:r>
            <w:r w:rsidRPr="00F54910">
              <w:rPr>
                <w:b/>
              </w:rPr>
              <w:t xml:space="preserve"> Group</w:t>
            </w:r>
          </w:p>
        </w:tc>
        <w:tc>
          <w:tcPr>
            <w:tcW w:w="4257" w:type="dxa"/>
            <w:tcBorders>
              <w:bottom w:val="single" w:sz="4" w:space="0" w:color="auto"/>
            </w:tcBorders>
          </w:tcPr>
          <w:p w14:paraId="2F8F628B" w14:textId="2040B257" w:rsidR="00EB1617" w:rsidRPr="00F54910" w:rsidRDefault="00D60F67" w:rsidP="00EB1617">
            <w:pPr>
              <w:spacing w:before="80" w:after="80"/>
            </w:pPr>
            <w:r>
              <w:t>18 August 2025</w:t>
            </w:r>
          </w:p>
        </w:tc>
      </w:tr>
      <w:tr w:rsidR="00EB1617" w:rsidRPr="00F54910" w14:paraId="758D9AE1" w14:textId="77777777" w:rsidTr="00BC6BD1">
        <w:tc>
          <w:tcPr>
            <w:tcW w:w="5382" w:type="dxa"/>
            <w:tcBorders>
              <w:bottom w:val="single" w:sz="4" w:space="0" w:color="auto"/>
            </w:tcBorders>
          </w:tcPr>
          <w:p w14:paraId="43DC0229" w14:textId="77777777" w:rsidR="00EB1617" w:rsidRPr="00F54910" w:rsidRDefault="00EB1617" w:rsidP="00EB1617">
            <w:pPr>
              <w:spacing w:before="80" w:after="80"/>
              <w:rPr>
                <w:b/>
              </w:rPr>
            </w:pPr>
            <w:r w:rsidRPr="00F54910">
              <w:rPr>
                <w:b/>
              </w:rPr>
              <w:t>Date issued</w:t>
            </w:r>
          </w:p>
        </w:tc>
        <w:tc>
          <w:tcPr>
            <w:tcW w:w="4257" w:type="dxa"/>
            <w:tcBorders>
              <w:bottom w:val="single" w:sz="4" w:space="0" w:color="auto"/>
            </w:tcBorders>
          </w:tcPr>
          <w:p w14:paraId="6A4BB5E2" w14:textId="5F66F321" w:rsidR="00EB1617" w:rsidRPr="00F54910" w:rsidRDefault="00D60F67" w:rsidP="00EB1617">
            <w:pPr>
              <w:spacing w:before="80" w:after="80"/>
            </w:pPr>
            <w:r>
              <w:t>18 August 2025</w:t>
            </w:r>
          </w:p>
        </w:tc>
      </w:tr>
      <w:tr w:rsidR="00EB1617" w:rsidRPr="00F54910" w14:paraId="791CAC07" w14:textId="77777777" w:rsidTr="00BC6BD1">
        <w:tc>
          <w:tcPr>
            <w:tcW w:w="5382" w:type="dxa"/>
            <w:tcBorders>
              <w:bottom w:val="single" w:sz="4" w:space="0" w:color="auto"/>
            </w:tcBorders>
          </w:tcPr>
          <w:p w14:paraId="547BACA3" w14:textId="77777777" w:rsidR="00EB1617" w:rsidRPr="00F54910" w:rsidRDefault="00EB1617" w:rsidP="00EB1617">
            <w:pPr>
              <w:spacing w:before="80" w:after="80"/>
              <w:rPr>
                <w:b/>
              </w:rPr>
            </w:pPr>
            <w:r>
              <w:rPr>
                <w:b/>
              </w:rPr>
              <w:t>Next scheduled review date</w:t>
            </w:r>
          </w:p>
        </w:tc>
        <w:tc>
          <w:tcPr>
            <w:tcW w:w="4257" w:type="dxa"/>
            <w:tcBorders>
              <w:bottom w:val="single" w:sz="4" w:space="0" w:color="auto"/>
            </w:tcBorders>
          </w:tcPr>
          <w:p w14:paraId="279ACFA5" w14:textId="45CB6A9C" w:rsidR="00EB1617" w:rsidRPr="00F54910" w:rsidRDefault="003268CF" w:rsidP="00EB1617">
            <w:pPr>
              <w:spacing w:before="80" w:after="80"/>
            </w:pPr>
            <w:r>
              <w:t xml:space="preserve">31 March </w:t>
            </w:r>
            <w:r w:rsidR="005C75D9">
              <w:t>2028</w:t>
            </w:r>
          </w:p>
        </w:tc>
      </w:tr>
    </w:tbl>
    <w:p w14:paraId="5C00867F" w14:textId="77777777" w:rsidR="00BC6BD1" w:rsidRDefault="00BC6BD1" w:rsidP="005E51F4">
      <w:pPr>
        <w:spacing w:after="0"/>
      </w:pPr>
    </w:p>
    <w:tbl>
      <w:tblPr>
        <w:tblStyle w:val="TableGrid"/>
        <w:tblW w:w="9639" w:type="dxa"/>
        <w:tblLayout w:type="fixed"/>
        <w:tblLook w:val="0620" w:firstRow="1" w:lastRow="0" w:firstColumn="0" w:lastColumn="0" w:noHBand="1" w:noVBand="1"/>
      </w:tblPr>
      <w:tblGrid>
        <w:gridCol w:w="5382"/>
        <w:gridCol w:w="4257"/>
      </w:tblGrid>
      <w:tr w:rsidR="00BC6BD1" w:rsidRPr="00F54910" w14:paraId="41C72323" w14:textId="77777777" w:rsidTr="00BC6BD1">
        <w:tc>
          <w:tcPr>
            <w:tcW w:w="5382" w:type="dxa"/>
            <w:tcBorders>
              <w:top w:val="single" w:sz="4" w:space="0" w:color="auto"/>
            </w:tcBorders>
          </w:tcPr>
          <w:p w14:paraId="1B349D04" w14:textId="77777777" w:rsidR="00814569" w:rsidRPr="00814569" w:rsidRDefault="00BC6BD1" w:rsidP="00EB1617">
            <w:pPr>
              <w:spacing w:before="80" w:after="80"/>
              <w:rPr>
                <w:b/>
              </w:rPr>
            </w:pPr>
            <w:r>
              <w:rPr>
                <w:b/>
              </w:rPr>
              <w:t>Applies to</w:t>
            </w:r>
            <w:r w:rsidR="00814569">
              <w:rPr>
                <w:b/>
              </w:rPr>
              <w:t>:</w:t>
            </w:r>
          </w:p>
        </w:tc>
        <w:tc>
          <w:tcPr>
            <w:tcW w:w="4257" w:type="dxa"/>
            <w:tcBorders>
              <w:top w:val="single" w:sz="4" w:space="0" w:color="auto"/>
            </w:tcBorders>
          </w:tcPr>
          <w:p w14:paraId="4C7864FD" w14:textId="77777777" w:rsidR="00BC6BD1" w:rsidRPr="00BC6BD1" w:rsidRDefault="00F56A43" w:rsidP="00EB1617">
            <w:pPr>
              <w:spacing w:before="80" w:after="80"/>
              <w:rPr>
                <w:b/>
              </w:rPr>
            </w:pPr>
            <w:r>
              <w:rPr>
                <w:b/>
              </w:rPr>
              <w:t>Yes/No</w:t>
            </w:r>
          </w:p>
        </w:tc>
      </w:tr>
      <w:tr w:rsidR="008259FE" w:rsidRPr="008259FE" w14:paraId="322E512C" w14:textId="77777777" w:rsidTr="00BC6BD1">
        <w:tc>
          <w:tcPr>
            <w:tcW w:w="5382" w:type="dxa"/>
          </w:tcPr>
          <w:p w14:paraId="0F9BDEC5" w14:textId="77777777" w:rsidR="008259FE" w:rsidRPr="008259FE" w:rsidRDefault="008259FE" w:rsidP="00962C20">
            <w:pPr>
              <w:spacing w:before="80" w:after="80"/>
              <w:rPr>
                <w:b/>
              </w:rPr>
            </w:pPr>
            <w:r w:rsidRPr="008259FE">
              <w:rPr>
                <w:b/>
              </w:rPr>
              <w:t>Trust staff (specify groups e.g</w:t>
            </w:r>
            <w:r w:rsidR="006C366E">
              <w:rPr>
                <w:b/>
              </w:rPr>
              <w:t xml:space="preserve">.  </w:t>
            </w:r>
            <w:r w:rsidRPr="008259FE">
              <w:rPr>
                <w:b/>
              </w:rPr>
              <w:t>clinical/non-clinical)</w:t>
            </w:r>
          </w:p>
        </w:tc>
        <w:tc>
          <w:tcPr>
            <w:tcW w:w="4257" w:type="dxa"/>
          </w:tcPr>
          <w:p w14:paraId="69BDD201" w14:textId="58F40072" w:rsidR="008259FE" w:rsidRPr="009B422F" w:rsidRDefault="005C75D9" w:rsidP="00962C20">
            <w:pPr>
              <w:spacing w:before="80" w:after="80"/>
            </w:pPr>
            <w:r>
              <w:t>Yes, clinical and non-clinical</w:t>
            </w:r>
          </w:p>
        </w:tc>
      </w:tr>
      <w:tr w:rsidR="008259FE" w:rsidRPr="008259FE" w14:paraId="46A27179" w14:textId="77777777" w:rsidTr="00BC6BD1">
        <w:trPr>
          <w:trHeight w:val="485"/>
        </w:trPr>
        <w:tc>
          <w:tcPr>
            <w:tcW w:w="5382" w:type="dxa"/>
          </w:tcPr>
          <w:p w14:paraId="35ECD289" w14:textId="77777777" w:rsidR="008259FE" w:rsidRPr="008259FE" w:rsidRDefault="008259FE" w:rsidP="00962C20">
            <w:pPr>
              <w:spacing w:before="80" w:after="80"/>
              <w:rPr>
                <w:b/>
              </w:rPr>
            </w:pPr>
            <w:r w:rsidRPr="008259FE">
              <w:rPr>
                <w:b/>
              </w:rPr>
              <w:t>Subsidiaries</w:t>
            </w:r>
          </w:p>
        </w:tc>
        <w:tc>
          <w:tcPr>
            <w:tcW w:w="4257" w:type="dxa"/>
          </w:tcPr>
          <w:p w14:paraId="5955AB88" w14:textId="5BEB7625" w:rsidR="008259FE" w:rsidRPr="009B422F" w:rsidRDefault="00F73E7A" w:rsidP="00962C20">
            <w:pPr>
              <w:spacing w:before="80" w:after="80"/>
            </w:pPr>
            <w:r>
              <w:t>No</w:t>
            </w:r>
          </w:p>
        </w:tc>
      </w:tr>
      <w:tr w:rsidR="008259FE" w:rsidRPr="008259FE" w14:paraId="623055B0" w14:textId="77777777" w:rsidTr="00BC6BD1">
        <w:tc>
          <w:tcPr>
            <w:tcW w:w="5382" w:type="dxa"/>
          </w:tcPr>
          <w:p w14:paraId="60E80C77" w14:textId="77777777" w:rsidR="008259FE" w:rsidRPr="008259FE" w:rsidRDefault="008259FE" w:rsidP="00962C20">
            <w:pPr>
              <w:spacing w:before="80" w:after="80"/>
              <w:rPr>
                <w:b/>
              </w:rPr>
            </w:pPr>
            <w:r w:rsidRPr="008259FE">
              <w:rPr>
                <w:b/>
              </w:rPr>
              <w:t>2gether Support Solutions Ltd</w:t>
            </w:r>
            <w:r w:rsidR="006C366E">
              <w:rPr>
                <w:b/>
              </w:rPr>
              <w:t xml:space="preserve">.  </w:t>
            </w:r>
            <w:r w:rsidRPr="008259FE">
              <w:rPr>
                <w:b/>
              </w:rPr>
              <w:t>as a service provider (hard and soft facilities services)</w:t>
            </w:r>
          </w:p>
        </w:tc>
        <w:tc>
          <w:tcPr>
            <w:tcW w:w="4257" w:type="dxa"/>
          </w:tcPr>
          <w:p w14:paraId="41332572" w14:textId="0F5DE281" w:rsidR="008259FE" w:rsidRPr="009B422F" w:rsidRDefault="00F73E7A" w:rsidP="00962C20">
            <w:pPr>
              <w:spacing w:before="80" w:after="80"/>
            </w:pPr>
            <w:r>
              <w:t>No</w:t>
            </w:r>
          </w:p>
        </w:tc>
      </w:tr>
    </w:tbl>
    <w:p w14:paraId="73542184" w14:textId="77777777" w:rsidR="00814569" w:rsidRDefault="00814569" w:rsidP="005E51F4">
      <w:pPr>
        <w:spacing w:after="0"/>
      </w:pPr>
    </w:p>
    <w:p w14:paraId="6A7C1E0C" w14:textId="3BB3C806" w:rsidR="001141D6" w:rsidRPr="00633918" w:rsidRDefault="008259FE" w:rsidP="00633918">
      <w:pPr>
        <w:spacing w:before="200" w:after="200"/>
      </w:pPr>
      <w:r w:rsidRPr="008259FE">
        <w:rPr>
          <w:b/>
        </w:rPr>
        <w:t>This policy is available in other formats, for example, in large print, Audio and Easy Read on request</w:t>
      </w:r>
      <w:r w:rsidR="006C366E">
        <w:rPr>
          <w:b/>
        </w:rPr>
        <w:t xml:space="preserve">.  </w:t>
      </w:r>
      <w:r w:rsidRPr="008259FE">
        <w:rPr>
          <w:b/>
        </w:rPr>
        <w:t xml:space="preserve">Please contact </w:t>
      </w:r>
      <w:hyperlink r:id="rId9" w:history="1">
        <w:r w:rsidR="005C75D9" w:rsidRPr="005E2A4F">
          <w:rPr>
            <w:rStyle w:val="Hyperlink"/>
            <w:b/>
            <w:szCs w:val="24"/>
          </w:rPr>
          <w:t>ekhuft.psirf@nhs.net</w:t>
        </w:r>
      </w:hyperlink>
    </w:p>
    <w:p w14:paraId="3699A9DF" w14:textId="77777777" w:rsidR="008259FE" w:rsidRPr="008259FE" w:rsidRDefault="008259FE" w:rsidP="0071472D">
      <w:pPr>
        <w:pStyle w:val="SectionTitle"/>
        <w:keepNext/>
        <w:pageBreakBefore/>
      </w:pPr>
      <w:r w:rsidRPr="008259FE">
        <w:lastRenderedPageBreak/>
        <w:t>Version Control Schedule</w:t>
      </w:r>
    </w:p>
    <w:tbl>
      <w:tblPr>
        <w:tblStyle w:val="TableGrid"/>
        <w:tblW w:w="9747" w:type="dxa"/>
        <w:tblLook w:val="0620" w:firstRow="1" w:lastRow="0" w:firstColumn="0" w:lastColumn="0" w:noHBand="1" w:noVBand="1"/>
      </w:tblPr>
      <w:tblGrid>
        <w:gridCol w:w="1245"/>
        <w:gridCol w:w="1617"/>
        <w:gridCol w:w="2374"/>
        <w:gridCol w:w="1150"/>
        <w:gridCol w:w="3361"/>
      </w:tblGrid>
      <w:tr w:rsidR="008259FE" w:rsidRPr="008259FE" w14:paraId="21536665" w14:textId="77777777" w:rsidTr="00F73E7A">
        <w:tc>
          <w:tcPr>
            <w:tcW w:w="1245" w:type="dxa"/>
          </w:tcPr>
          <w:p w14:paraId="40169EFD" w14:textId="77777777" w:rsidR="008259FE" w:rsidRPr="008259FE" w:rsidRDefault="008259FE" w:rsidP="0071385C">
            <w:pPr>
              <w:pStyle w:val="SectionTitle"/>
              <w:spacing w:before="0" w:after="0"/>
            </w:pPr>
            <w:r w:rsidRPr="008259FE">
              <w:t>Version</w:t>
            </w:r>
          </w:p>
        </w:tc>
        <w:tc>
          <w:tcPr>
            <w:tcW w:w="1617" w:type="dxa"/>
          </w:tcPr>
          <w:p w14:paraId="3EDE149F" w14:textId="77777777" w:rsidR="008259FE" w:rsidRPr="008259FE" w:rsidRDefault="008259FE" w:rsidP="0071385C">
            <w:pPr>
              <w:pStyle w:val="SectionTitle"/>
              <w:spacing w:before="0" w:after="0"/>
            </w:pPr>
            <w:r w:rsidRPr="008259FE">
              <w:t>Date</w:t>
            </w:r>
          </w:p>
        </w:tc>
        <w:tc>
          <w:tcPr>
            <w:tcW w:w="2374" w:type="dxa"/>
          </w:tcPr>
          <w:p w14:paraId="68C9E0E4" w14:textId="77777777" w:rsidR="008259FE" w:rsidRPr="008259FE" w:rsidRDefault="008259FE" w:rsidP="0071385C">
            <w:pPr>
              <w:pStyle w:val="SectionTitle"/>
              <w:spacing w:before="0" w:after="0"/>
            </w:pPr>
            <w:r w:rsidRPr="008259FE">
              <w:t>Author</w:t>
            </w:r>
          </w:p>
        </w:tc>
        <w:tc>
          <w:tcPr>
            <w:tcW w:w="1150" w:type="dxa"/>
          </w:tcPr>
          <w:p w14:paraId="23C56F75" w14:textId="77777777" w:rsidR="008259FE" w:rsidRPr="008259FE" w:rsidRDefault="008259FE" w:rsidP="0071385C">
            <w:pPr>
              <w:pStyle w:val="SectionTitle"/>
              <w:spacing w:before="0" w:after="0"/>
            </w:pPr>
            <w:r w:rsidRPr="008259FE">
              <w:t>Status</w:t>
            </w:r>
          </w:p>
        </w:tc>
        <w:tc>
          <w:tcPr>
            <w:tcW w:w="3361" w:type="dxa"/>
          </w:tcPr>
          <w:p w14:paraId="6851B32B" w14:textId="77777777" w:rsidR="008259FE" w:rsidRPr="008259FE" w:rsidRDefault="008259FE" w:rsidP="0071385C">
            <w:pPr>
              <w:pStyle w:val="SectionTitle"/>
              <w:spacing w:before="0" w:after="0"/>
            </w:pPr>
            <w:r w:rsidRPr="008259FE">
              <w:t>Comment</w:t>
            </w:r>
          </w:p>
        </w:tc>
      </w:tr>
      <w:tr w:rsidR="008259FE" w:rsidRPr="008259FE" w14:paraId="3F6089A4" w14:textId="77777777" w:rsidTr="00F73E7A">
        <w:trPr>
          <w:trHeight w:val="20"/>
        </w:trPr>
        <w:tc>
          <w:tcPr>
            <w:tcW w:w="1245" w:type="dxa"/>
          </w:tcPr>
          <w:p w14:paraId="178BE824" w14:textId="16BD9239" w:rsidR="008259FE" w:rsidRPr="0071385C" w:rsidRDefault="00F73E7A" w:rsidP="00962C20">
            <w:pPr>
              <w:pStyle w:val="SectionTitle"/>
              <w:spacing w:before="120" w:after="120"/>
              <w:rPr>
                <w:b w:val="0"/>
                <w:sz w:val="24"/>
              </w:rPr>
            </w:pPr>
            <w:r>
              <w:rPr>
                <w:b w:val="0"/>
                <w:sz w:val="24"/>
              </w:rPr>
              <w:t>1.0</w:t>
            </w:r>
          </w:p>
        </w:tc>
        <w:tc>
          <w:tcPr>
            <w:tcW w:w="1617" w:type="dxa"/>
          </w:tcPr>
          <w:p w14:paraId="6D557070" w14:textId="268FD1F2" w:rsidR="008259FE" w:rsidRPr="0071385C" w:rsidRDefault="00F73E7A" w:rsidP="00962C20">
            <w:pPr>
              <w:pStyle w:val="SectionTitle"/>
              <w:spacing w:before="120" w:after="120"/>
              <w:rPr>
                <w:b w:val="0"/>
                <w:sz w:val="24"/>
              </w:rPr>
            </w:pPr>
            <w:r>
              <w:rPr>
                <w:b w:val="0"/>
                <w:sz w:val="24"/>
              </w:rPr>
              <w:t>07/06/2024</w:t>
            </w:r>
          </w:p>
        </w:tc>
        <w:tc>
          <w:tcPr>
            <w:tcW w:w="2374" w:type="dxa"/>
          </w:tcPr>
          <w:p w14:paraId="01C75DD8" w14:textId="209A1579" w:rsidR="008259FE" w:rsidRPr="0071385C" w:rsidRDefault="00F73E7A" w:rsidP="00962C20">
            <w:pPr>
              <w:pStyle w:val="SectionTitle"/>
              <w:spacing w:before="120" w:after="120"/>
              <w:rPr>
                <w:b w:val="0"/>
                <w:sz w:val="24"/>
              </w:rPr>
            </w:pPr>
            <w:r>
              <w:rPr>
                <w:b w:val="0"/>
                <w:sz w:val="24"/>
              </w:rPr>
              <w:t>Head of Patient Safety and Improvement</w:t>
            </w:r>
          </w:p>
        </w:tc>
        <w:tc>
          <w:tcPr>
            <w:tcW w:w="1150" w:type="dxa"/>
          </w:tcPr>
          <w:p w14:paraId="5867E356" w14:textId="617C331C" w:rsidR="008259FE" w:rsidRPr="0071385C" w:rsidRDefault="00F73E7A" w:rsidP="00962C20">
            <w:pPr>
              <w:pStyle w:val="SectionTitle"/>
              <w:spacing w:before="120" w:after="120"/>
              <w:rPr>
                <w:b w:val="0"/>
                <w:sz w:val="24"/>
              </w:rPr>
            </w:pPr>
            <w:r>
              <w:rPr>
                <w:b w:val="0"/>
                <w:sz w:val="24"/>
              </w:rPr>
              <w:t>Archived</w:t>
            </w:r>
          </w:p>
        </w:tc>
        <w:tc>
          <w:tcPr>
            <w:tcW w:w="3361" w:type="dxa"/>
          </w:tcPr>
          <w:p w14:paraId="2489391B" w14:textId="46E422D8" w:rsidR="005C75D9" w:rsidRPr="0071385C" w:rsidRDefault="005C75D9" w:rsidP="00962C20">
            <w:pPr>
              <w:pStyle w:val="SectionTitle"/>
              <w:spacing w:before="120" w:after="120"/>
              <w:rPr>
                <w:b w:val="0"/>
                <w:sz w:val="24"/>
              </w:rPr>
            </w:pPr>
          </w:p>
        </w:tc>
      </w:tr>
      <w:tr w:rsidR="008259FE" w:rsidRPr="008259FE" w14:paraId="5D593FCC" w14:textId="77777777" w:rsidTr="00F73E7A">
        <w:trPr>
          <w:trHeight w:val="20"/>
        </w:trPr>
        <w:tc>
          <w:tcPr>
            <w:tcW w:w="1245" w:type="dxa"/>
          </w:tcPr>
          <w:p w14:paraId="758D2155" w14:textId="04DD3447" w:rsidR="008259FE" w:rsidRPr="0071385C" w:rsidRDefault="00F73E7A" w:rsidP="00962C20">
            <w:pPr>
              <w:pStyle w:val="SectionTitle"/>
              <w:spacing w:before="120" w:after="120"/>
              <w:rPr>
                <w:b w:val="0"/>
                <w:sz w:val="24"/>
              </w:rPr>
            </w:pPr>
            <w:r>
              <w:rPr>
                <w:b w:val="0"/>
                <w:sz w:val="24"/>
              </w:rPr>
              <w:t>2.0</w:t>
            </w:r>
          </w:p>
        </w:tc>
        <w:tc>
          <w:tcPr>
            <w:tcW w:w="1617" w:type="dxa"/>
          </w:tcPr>
          <w:p w14:paraId="4244A208" w14:textId="49289229" w:rsidR="008259FE" w:rsidRPr="0071385C" w:rsidRDefault="00F73E7A" w:rsidP="00962C20">
            <w:pPr>
              <w:pStyle w:val="SectionTitle"/>
              <w:spacing w:before="120" w:after="120"/>
              <w:rPr>
                <w:b w:val="0"/>
                <w:sz w:val="24"/>
              </w:rPr>
            </w:pPr>
            <w:r>
              <w:rPr>
                <w:b w:val="0"/>
                <w:sz w:val="24"/>
              </w:rPr>
              <w:t>16/07/2025</w:t>
            </w:r>
          </w:p>
        </w:tc>
        <w:tc>
          <w:tcPr>
            <w:tcW w:w="2374" w:type="dxa"/>
          </w:tcPr>
          <w:p w14:paraId="5E08D2F6" w14:textId="4789590C" w:rsidR="008259FE" w:rsidRPr="0071385C" w:rsidRDefault="00F73E7A" w:rsidP="00962C20">
            <w:pPr>
              <w:pStyle w:val="SectionTitle"/>
              <w:spacing w:before="120" w:after="120"/>
              <w:rPr>
                <w:b w:val="0"/>
                <w:sz w:val="24"/>
              </w:rPr>
            </w:pPr>
            <w:r>
              <w:rPr>
                <w:b w:val="0"/>
                <w:sz w:val="24"/>
              </w:rPr>
              <w:t>Head of Patient Safety and Improvement</w:t>
            </w:r>
          </w:p>
        </w:tc>
        <w:tc>
          <w:tcPr>
            <w:tcW w:w="1150" w:type="dxa"/>
          </w:tcPr>
          <w:p w14:paraId="13922134" w14:textId="2BAFBC2A" w:rsidR="008259FE" w:rsidRPr="0071385C" w:rsidRDefault="00F73E7A" w:rsidP="00962C20">
            <w:pPr>
              <w:pStyle w:val="SectionTitle"/>
              <w:spacing w:before="120" w:after="120"/>
              <w:rPr>
                <w:b w:val="0"/>
                <w:sz w:val="24"/>
              </w:rPr>
            </w:pPr>
            <w:r>
              <w:rPr>
                <w:b w:val="0"/>
                <w:sz w:val="24"/>
              </w:rPr>
              <w:t>Final</w:t>
            </w:r>
          </w:p>
        </w:tc>
        <w:tc>
          <w:tcPr>
            <w:tcW w:w="3361" w:type="dxa"/>
          </w:tcPr>
          <w:p w14:paraId="681088B4" w14:textId="7A7A22A4" w:rsidR="008259FE" w:rsidRPr="0071385C" w:rsidRDefault="00F73E7A" w:rsidP="00962C20">
            <w:pPr>
              <w:pStyle w:val="SectionTitle"/>
              <w:spacing w:before="120" w:after="120"/>
              <w:rPr>
                <w:b w:val="0"/>
                <w:sz w:val="24"/>
              </w:rPr>
            </w:pPr>
            <w:r>
              <w:rPr>
                <w:b w:val="0"/>
                <w:sz w:val="24"/>
              </w:rPr>
              <w:t>Replaces previous version</w:t>
            </w:r>
          </w:p>
        </w:tc>
      </w:tr>
      <w:tr w:rsidR="00D60F67" w:rsidRPr="008259FE" w14:paraId="2873B35B" w14:textId="77777777" w:rsidTr="00F73E7A">
        <w:trPr>
          <w:trHeight w:val="20"/>
        </w:trPr>
        <w:tc>
          <w:tcPr>
            <w:tcW w:w="1245" w:type="dxa"/>
          </w:tcPr>
          <w:p w14:paraId="48960D42" w14:textId="4266592A" w:rsidR="00D60F67" w:rsidRDefault="00D60F67" w:rsidP="00962C20">
            <w:pPr>
              <w:pStyle w:val="SectionTitle"/>
              <w:spacing w:before="120" w:after="120"/>
              <w:rPr>
                <w:b w:val="0"/>
                <w:sz w:val="24"/>
              </w:rPr>
            </w:pPr>
            <w:r>
              <w:rPr>
                <w:b w:val="0"/>
                <w:sz w:val="24"/>
              </w:rPr>
              <w:t>2.1</w:t>
            </w:r>
          </w:p>
        </w:tc>
        <w:tc>
          <w:tcPr>
            <w:tcW w:w="1617" w:type="dxa"/>
          </w:tcPr>
          <w:p w14:paraId="3F87735F" w14:textId="24E6A37D" w:rsidR="00D60F67" w:rsidRDefault="00D60F67" w:rsidP="00962C20">
            <w:pPr>
              <w:pStyle w:val="SectionTitle"/>
              <w:spacing w:before="120" w:after="120"/>
              <w:rPr>
                <w:b w:val="0"/>
                <w:sz w:val="24"/>
              </w:rPr>
            </w:pPr>
            <w:r>
              <w:rPr>
                <w:b w:val="0"/>
                <w:sz w:val="24"/>
              </w:rPr>
              <w:t>21/08/2025</w:t>
            </w:r>
          </w:p>
        </w:tc>
        <w:tc>
          <w:tcPr>
            <w:tcW w:w="2374" w:type="dxa"/>
          </w:tcPr>
          <w:p w14:paraId="4A61C78C" w14:textId="75C93BC5" w:rsidR="00D60F67" w:rsidRDefault="00D60F67" w:rsidP="00962C20">
            <w:pPr>
              <w:pStyle w:val="SectionTitle"/>
              <w:spacing w:before="120" w:after="120"/>
              <w:rPr>
                <w:b w:val="0"/>
                <w:sz w:val="24"/>
              </w:rPr>
            </w:pPr>
            <w:r>
              <w:rPr>
                <w:b w:val="0"/>
                <w:sz w:val="24"/>
              </w:rPr>
              <w:t>Head of Patient Safety and Improvement</w:t>
            </w:r>
          </w:p>
        </w:tc>
        <w:tc>
          <w:tcPr>
            <w:tcW w:w="1150" w:type="dxa"/>
          </w:tcPr>
          <w:p w14:paraId="24311D01" w14:textId="014C1CE5" w:rsidR="00D60F67" w:rsidRDefault="00D60F67" w:rsidP="00962C20">
            <w:pPr>
              <w:pStyle w:val="SectionTitle"/>
              <w:spacing w:before="120" w:after="120"/>
              <w:rPr>
                <w:b w:val="0"/>
                <w:sz w:val="24"/>
              </w:rPr>
            </w:pPr>
            <w:r>
              <w:rPr>
                <w:b w:val="0"/>
                <w:sz w:val="24"/>
              </w:rPr>
              <w:t>Final</w:t>
            </w:r>
          </w:p>
        </w:tc>
        <w:tc>
          <w:tcPr>
            <w:tcW w:w="3361" w:type="dxa"/>
          </w:tcPr>
          <w:p w14:paraId="0B326C5C" w14:textId="1DF307ED" w:rsidR="00D60F67" w:rsidRDefault="00D60F67" w:rsidP="00962C20">
            <w:pPr>
              <w:pStyle w:val="SectionTitle"/>
              <w:spacing w:before="120" w:after="120"/>
              <w:rPr>
                <w:b w:val="0"/>
                <w:sz w:val="24"/>
              </w:rPr>
            </w:pPr>
            <w:r>
              <w:rPr>
                <w:b w:val="0"/>
                <w:sz w:val="24"/>
              </w:rPr>
              <w:t xml:space="preserve">Updated </w:t>
            </w:r>
            <w:r w:rsidRPr="00D60F67">
              <w:rPr>
                <w:b w:val="0"/>
                <w:sz w:val="24"/>
              </w:rPr>
              <w:t>Incident Response Decision Making Flowchart</w:t>
            </w:r>
            <w:r>
              <w:rPr>
                <w:b w:val="0"/>
                <w:sz w:val="24"/>
              </w:rPr>
              <w:t xml:space="preserve"> 2025/26 following approval of PSIRF plan by CNMO.</w:t>
            </w:r>
          </w:p>
        </w:tc>
      </w:tr>
    </w:tbl>
    <w:p w14:paraId="7EC5728D" w14:textId="77777777" w:rsidR="008259FE" w:rsidRDefault="008259FE" w:rsidP="008259FE">
      <w:pPr>
        <w:pStyle w:val="SectionTitle"/>
      </w:pPr>
      <w:r w:rsidRPr="008259FE">
        <w:t>Policy Reviewers</w:t>
      </w:r>
    </w:p>
    <w:p w14:paraId="77C88E32" w14:textId="77777777" w:rsidR="00F56A43" w:rsidRPr="008259FE" w:rsidRDefault="00F56A43" w:rsidP="00F56A43">
      <w:r>
        <w:t>If policy references children/young people or includes references to medicines policy must be reviewed by the relevant group.</w:t>
      </w:r>
    </w:p>
    <w:tbl>
      <w:tblPr>
        <w:tblStyle w:val="TableGrid"/>
        <w:tblW w:w="9747" w:type="dxa"/>
        <w:tblLook w:val="0620" w:firstRow="1" w:lastRow="0" w:firstColumn="0" w:lastColumn="0" w:noHBand="1" w:noVBand="1"/>
      </w:tblPr>
      <w:tblGrid>
        <w:gridCol w:w="7366"/>
        <w:gridCol w:w="2381"/>
      </w:tblGrid>
      <w:tr w:rsidR="008259FE" w:rsidRPr="008259FE" w14:paraId="5AE6941A" w14:textId="77777777" w:rsidTr="0019207A">
        <w:trPr>
          <w:trHeight w:val="397"/>
        </w:trPr>
        <w:tc>
          <w:tcPr>
            <w:tcW w:w="7366" w:type="dxa"/>
          </w:tcPr>
          <w:p w14:paraId="6404017C" w14:textId="77777777" w:rsidR="008259FE" w:rsidRPr="008259FE" w:rsidRDefault="008259FE" w:rsidP="0071385C">
            <w:pPr>
              <w:pStyle w:val="SectionTitle"/>
              <w:spacing w:before="0" w:after="0"/>
            </w:pPr>
            <w:r w:rsidRPr="008259FE">
              <w:t xml:space="preserve">Title and </w:t>
            </w:r>
            <w:r w:rsidR="00765EDD">
              <w:t>Care Group</w:t>
            </w:r>
            <w:r w:rsidRPr="008259FE">
              <w:t xml:space="preserve"> of Individual</w:t>
            </w:r>
          </w:p>
        </w:tc>
        <w:tc>
          <w:tcPr>
            <w:tcW w:w="2381" w:type="dxa"/>
          </w:tcPr>
          <w:p w14:paraId="08B9CC7D" w14:textId="77777777" w:rsidR="008259FE" w:rsidRPr="008259FE" w:rsidRDefault="008259FE" w:rsidP="0071385C">
            <w:pPr>
              <w:pStyle w:val="SectionTitle"/>
              <w:spacing w:before="0" w:after="0"/>
            </w:pPr>
            <w:r w:rsidRPr="008259FE">
              <w:t>Date Consulted</w:t>
            </w:r>
          </w:p>
        </w:tc>
      </w:tr>
      <w:tr w:rsidR="008259FE" w:rsidRPr="008259FE" w14:paraId="6BF2D2F9" w14:textId="77777777" w:rsidTr="0019207A">
        <w:trPr>
          <w:trHeight w:val="397"/>
        </w:trPr>
        <w:tc>
          <w:tcPr>
            <w:tcW w:w="7366" w:type="dxa"/>
          </w:tcPr>
          <w:p w14:paraId="5ACC883A" w14:textId="4E3B5966" w:rsidR="008259FE" w:rsidRPr="003E34A4" w:rsidRDefault="005C75D9" w:rsidP="00962C20">
            <w:pPr>
              <w:pStyle w:val="SectionTitle"/>
              <w:spacing w:before="0" w:after="0"/>
              <w:rPr>
                <w:b w:val="0"/>
                <w:sz w:val="24"/>
              </w:rPr>
            </w:pPr>
            <w:r>
              <w:rPr>
                <w:b w:val="0"/>
                <w:sz w:val="24"/>
              </w:rPr>
              <w:t>Director of Quality Governance, Corporate</w:t>
            </w:r>
          </w:p>
        </w:tc>
        <w:tc>
          <w:tcPr>
            <w:tcW w:w="2381" w:type="dxa"/>
          </w:tcPr>
          <w:p w14:paraId="739310A7" w14:textId="79306F29" w:rsidR="008259FE" w:rsidRPr="003E34A4" w:rsidRDefault="001B5F47" w:rsidP="00962C20">
            <w:pPr>
              <w:pStyle w:val="SectionTitle"/>
              <w:spacing w:before="0" w:after="0"/>
              <w:rPr>
                <w:b w:val="0"/>
                <w:sz w:val="24"/>
              </w:rPr>
            </w:pPr>
            <w:r>
              <w:rPr>
                <w:b w:val="0"/>
                <w:sz w:val="24"/>
              </w:rPr>
              <w:t>11/06/2025</w:t>
            </w:r>
          </w:p>
        </w:tc>
      </w:tr>
      <w:tr w:rsidR="0071472D" w:rsidRPr="008259FE" w14:paraId="7A5FA52B" w14:textId="77777777" w:rsidTr="0019207A">
        <w:trPr>
          <w:trHeight w:val="397"/>
        </w:trPr>
        <w:tc>
          <w:tcPr>
            <w:tcW w:w="7366" w:type="dxa"/>
          </w:tcPr>
          <w:p w14:paraId="5D94817B" w14:textId="2430C215" w:rsidR="0071472D" w:rsidRPr="003E34A4" w:rsidRDefault="005C75D9" w:rsidP="00962C20">
            <w:pPr>
              <w:pStyle w:val="SectionTitle"/>
              <w:spacing w:before="0" w:after="0"/>
              <w:rPr>
                <w:b w:val="0"/>
                <w:sz w:val="24"/>
              </w:rPr>
            </w:pPr>
            <w:r>
              <w:rPr>
                <w:b w:val="0"/>
                <w:sz w:val="24"/>
              </w:rPr>
              <w:t>Associate Director of Safeguarding, Corporate</w:t>
            </w:r>
          </w:p>
        </w:tc>
        <w:tc>
          <w:tcPr>
            <w:tcW w:w="2381" w:type="dxa"/>
          </w:tcPr>
          <w:p w14:paraId="25384299" w14:textId="663CC814" w:rsidR="0071472D" w:rsidRPr="003E34A4" w:rsidRDefault="001B5F47" w:rsidP="00962C20">
            <w:pPr>
              <w:pStyle w:val="SectionTitle"/>
              <w:spacing w:before="0" w:after="0"/>
              <w:rPr>
                <w:b w:val="0"/>
                <w:sz w:val="24"/>
              </w:rPr>
            </w:pPr>
            <w:r>
              <w:rPr>
                <w:b w:val="0"/>
                <w:sz w:val="24"/>
              </w:rPr>
              <w:t>23/05/2025</w:t>
            </w:r>
          </w:p>
        </w:tc>
      </w:tr>
      <w:tr w:rsidR="005C75D9" w:rsidRPr="008259FE" w14:paraId="527AB184" w14:textId="77777777" w:rsidTr="0019207A">
        <w:trPr>
          <w:trHeight w:val="397"/>
        </w:trPr>
        <w:tc>
          <w:tcPr>
            <w:tcW w:w="7366" w:type="dxa"/>
          </w:tcPr>
          <w:p w14:paraId="154AA530" w14:textId="7ACAF149" w:rsidR="005C75D9" w:rsidRPr="003E34A4" w:rsidRDefault="001B5F47" w:rsidP="00962C20">
            <w:pPr>
              <w:pStyle w:val="SectionTitle"/>
              <w:spacing w:before="0" w:after="0"/>
              <w:rPr>
                <w:b w:val="0"/>
                <w:sz w:val="24"/>
              </w:rPr>
            </w:pPr>
            <w:r>
              <w:rPr>
                <w:b w:val="0"/>
                <w:sz w:val="24"/>
              </w:rPr>
              <w:t>Associate Director of Patient Experience,</w:t>
            </w:r>
            <w:r w:rsidR="005C75D9">
              <w:rPr>
                <w:b w:val="0"/>
                <w:sz w:val="24"/>
              </w:rPr>
              <w:t xml:space="preserve"> Corporate</w:t>
            </w:r>
          </w:p>
        </w:tc>
        <w:tc>
          <w:tcPr>
            <w:tcW w:w="2381" w:type="dxa"/>
          </w:tcPr>
          <w:p w14:paraId="6BAFCDE5" w14:textId="470D7845" w:rsidR="005C75D9" w:rsidRPr="003E34A4" w:rsidRDefault="001B5F47" w:rsidP="00962C20">
            <w:pPr>
              <w:pStyle w:val="SectionTitle"/>
              <w:spacing w:before="0" w:after="0"/>
              <w:rPr>
                <w:b w:val="0"/>
                <w:sz w:val="24"/>
              </w:rPr>
            </w:pPr>
            <w:r>
              <w:rPr>
                <w:b w:val="0"/>
                <w:sz w:val="24"/>
              </w:rPr>
              <w:t>23/05/2025</w:t>
            </w:r>
          </w:p>
        </w:tc>
      </w:tr>
      <w:tr w:rsidR="005C75D9" w:rsidRPr="008259FE" w14:paraId="032E632A" w14:textId="77777777" w:rsidTr="0019207A">
        <w:trPr>
          <w:trHeight w:val="397"/>
        </w:trPr>
        <w:tc>
          <w:tcPr>
            <w:tcW w:w="7366" w:type="dxa"/>
          </w:tcPr>
          <w:p w14:paraId="3D32BD1D" w14:textId="2B6FBA7B" w:rsidR="005C75D9" w:rsidRPr="003E34A4" w:rsidRDefault="00677C35" w:rsidP="00962C20">
            <w:pPr>
              <w:pStyle w:val="SectionTitle"/>
              <w:spacing w:before="0" w:after="0"/>
              <w:rPr>
                <w:b w:val="0"/>
                <w:sz w:val="24"/>
              </w:rPr>
            </w:pPr>
            <w:r>
              <w:rPr>
                <w:b w:val="0"/>
                <w:sz w:val="24"/>
              </w:rPr>
              <w:t xml:space="preserve">Quality and Safety Team, </w:t>
            </w:r>
            <w:r w:rsidR="005C75D9">
              <w:rPr>
                <w:b w:val="0"/>
                <w:sz w:val="24"/>
              </w:rPr>
              <w:t xml:space="preserve">Kent and Medway Integrated Care Board </w:t>
            </w:r>
          </w:p>
        </w:tc>
        <w:tc>
          <w:tcPr>
            <w:tcW w:w="2381" w:type="dxa"/>
          </w:tcPr>
          <w:p w14:paraId="5E8DDB99" w14:textId="17354BD4" w:rsidR="005C75D9" w:rsidRPr="003E34A4" w:rsidRDefault="00677C35" w:rsidP="00962C20">
            <w:pPr>
              <w:pStyle w:val="SectionTitle"/>
              <w:spacing w:before="0" w:after="0"/>
              <w:rPr>
                <w:b w:val="0"/>
                <w:sz w:val="24"/>
              </w:rPr>
            </w:pPr>
            <w:r>
              <w:rPr>
                <w:b w:val="0"/>
                <w:sz w:val="24"/>
              </w:rPr>
              <w:t>02/07/2025</w:t>
            </w:r>
          </w:p>
        </w:tc>
      </w:tr>
      <w:tr w:rsidR="005C75D9" w:rsidRPr="008259FE" w14:paraId="091AFD5C" w14:textId="77777777" w:rsidTr="0019207A">
        <w:trPr>
          <w:trHeight w:val="397"/>
        </w:trPr>
        <w:tc>
          <w:tcPr>
            <w:tcW w:w="7366" w:type="dxa"/>
          </w:tcPr>
          <w:p w14:paraId="36CF63BB" w14:textId="52F26C18" w:rsidR="005C75D9" w:rsidRPr="003E34A4" w:rsidRDefault="005C75D9" w:rsidP="00962C20">
            <w:pPr>
              <w:pStyle w:val="SectionTitle"/>
              <w:spacing w:before="0" w:after="0"/>
              <w:rPr>
                <w:b w:val="0"/>
                <w:sz w:val="24"/>
              </w:rPr>
            </w:pPr>
            <w:r>
              <w:rPr>
                <w:b w:val="0"/>
                <w:sz w:val="24"/>
              </w:rPr>
              <w:t>Quality Governance Business Partners</w:t>
            </w:r>
            <w:r w:rsidR="00F73E7A">
              <w:rPr>
                <w:b w:val="0"/>
                <w:sz w:val="24"/>
              </w:rPr>
              <w:t xml:space="preserve"> including Children and Young People representative</w:t>
            </w:r>
          </w:p>
        </w:tc>
        <w:tc>
          <w:tcPr>
            <w:tcW w:w="2381" w:type="dxa"/>
          </w:tcPr>
          <w:p w14:paraId="4D31C337" w14:textId="6ACBC8FA" w:rsidR="005C75D9" w:rsidRPr="003E34A4" w:rsidRDefault="001B5F47" w:rsidP="00962C20">
            <w:pPr>
              <w:pStyle w:val="SectionTitle"/>
              <w:spacing w:before="0" w:after="0"/>
              <w:rPr>
                <w:b w:val="0"/>
                <w:sz w:val="24"/>
              </w:rPr>
            </w:pPr>
            <w:r>
              <w:rPr>
                <w:b w:val="0"/>
                <w:sz w:val="24"/>
              </w:rPr>
              <w:t>23/05/2025</w:t>
            </w:r>
          </w:p>
        </w:tc>
      </w:tr>
      <w:tr w:rsidR="005C75D9" w:rsidRPr="008259FE" w14:paraId="28669B33" w14:textId="77777777" w:rsidTr="0019207A">
        <w:trPr>
          <w:trHeight w:val="397"/>
        </w:trPr>
        <w:tc>
          <w:tcPr>
            <w:tcW w:w="7366" w:type="dxa"/>
          </w:tcPr>
          <w:p w14:paraId="2BE4209F" w14:textId="6E462EDD" w:rsidR="005C75D9" w:rsidRDefault="005C75D9" w:rsidP="00962C20">
            <w:pPr>
              <w:pStyle w:val="SectionTitle"/>
              <w:spacing w:before="0" w:after="0"/>
              <w:rPr>
                <w:b w:val="0"/>
                <w:sz w:val="24"/>
              </w:rPr>
            </w:pPr>
            <w:r>
              <w:rPr>
                <w:b w:val="0"/>
                <w:sz w:val="24"/>
              </w:rPr>
              <w:t xml:space="preserve">Patient Safety </w:t>
            </w:r>
            <w:r w:rsidR="008861C1">
              <w:rPr>
                <w:b w:val="0"/>
                <w:sz w:val="24"/>
              </w:rPr>
              <w:t>Team</w:t>
            </w:r>
          </w:p>
        </w:tc>
        <w:tc>
          <w:tcPr>
            <w:tcW w:w="2381" w:type="dxa"/>
          </w:tcPr>
          <w:p w14:paraId="69C43D0A" w14:textId="26EA1DD3" w:rsidR="005C75D9" w:rsidRPr="003E34A4" w:rsidRDefault="001B5F47" w:rsidP="00962C20">
            <w:pPr>
              <w:pStyle w:val="SectionTitle"/>
              <w:spacing w:before="0" w:after="0"/>
              <w:rPr>
                <w:b w:val="0"/>
                <w:sz w:val="24"/>
              </w:rPr>
            </w:pPr>
            <w:r>
              <w:rPr>
                <w:b w:val="0"/>
                <w:sz w:val="24"/>
              </w:rPr>
              <w:t>23/05/2025</w:t>
            </w:r>
          </w:p>
        </w:tc>
      </w:tr>
      <w:tr w:rsidR="008861C1" w:rsidRPr="008259FE" w14:paraId="47B3B50A" w14:textId="77777777" w:rsidTr="0019207A">
        <w:trPr>
          <w:trHeight w:val="397"/>
        </w:trPr>
        <w:tc>
          <w:tcPr>
            <w:tcW w:w="7366" w:type="dxa"/>
          </w:tcPr>
          <w:p w14:paraId="6560B8E5" w14:textId="1F338F1D" w:rsidR="008861C1" w:rsidRDefault="008861C1" w:rsidP="00962C20">
            <w:pPr>
              <w:pStyle w:val="SectionTitle"/>
              <w:spacing w:before="0" w:after="0"/>
              <w:rPr>
                <w:b w:val="0"/>
                <w:sz w:val="24"/>
              </w:rPr>
            </w:pPr>
            <w:r>
              <w:rPr>
                <w:b w:val="0"/>
                <w:sz w:val="24"/>
              </w:rPr>
              <w:t>Maternity representative</w:t>
            </w:r>
          </w:p>
        </w:tc>
        <w:tc>
          <w:tcPr>
            <w:tcW w:w="2381" w:type="dxa"/>
          </w:tcPr>
          <w:p w14:paraId="4AA2195C" w14:textId="7E86FCFE" w:rsidR="008861C1" w:rsidRPr="003E34A4" w:rsidRDefault="001B5F47" w:rsidP="00962C20">
            <w:pPr>
              <w:pStyle w:val="SectionTitle"/>
              <w:spacing w:before="0" w:after="0"/>
              <w:rPr>
                <w:b w:val="0"/>
                <w:sz w:val="24"/>
              </w:rPr>
            </w:pPr>
            <w:r>
              <w:rPr>
                <w:b w:val="0"/>
                <w:sz w:val="24"/>
              </w:rPr>
              <w:t>23/05/2025</w:t>
            </w:r>
          </w:p>
        </w:tc>
      </w:tr>
      <w:tr w:rsidR="008861C1" w:rsidRPr="008259FE" w14:paraId="4EC3A262" w14:textId="77777777" w:rsidTr="0019207A">
        <w:trPr>
          <w:trHeight w:val="397"/>
        </w:trPr>
        <w:tc>
          <w:tcPr>
            <w:tcW w:w="7366" w:type="dxa"/>
          </w:tcPr>
          <w:p w14:paraId="7B1796C7" w14:textId="015D1A16" w:rsidR="008861C1" w:rsidRDefault="008861C1" w:rsidP="00962C20">
            <w:pPr>
              <w:pStyle w:val="SectionTitle"/>
              <w:spacing w:before="0" w:after="0"/>
              <w:rPr>
                <w:b w:val="0"/>
                <w:sz w:val="24"/>
              </w:rPr>
            </w:pPr>
            <w:r>
              <w:rPr>
                <w:b w:val="0"/>
                <w:sz w:val="24"/>
              </w:rPr>
              <w:t>Fundamentals of Care representative</w:t>
            </w:r>
          </w:p>
        </w:tc>
        <w:tc>
          <w:tcPr>
            <w:tcW w:w="2381" w:type="dxa"/>
          </w:tcPr>
          <w:p w14:paraId="530054D7" w14:textId="1BA49835" w:rsidR="008861C1" w:rsidRPr="003E34A4" w:rsidRDefault="001B5F47" w:rsidP="00962C20">
            <w:pPr>
              <w:pStyle w:val="SectionTitle"/>
              <w:spacing w:before="0" w:after="0"/>
              <w:rPr>
                <w:b w:val="0"/>
                <w:sz w:val="24"/>
              </w:rPr>
            </w:pPr>
            <w:r>
              <w:rPr>
                <w:b w:val="0"/>
                <w:sz w:val="24"/>
              </w:rPr>
              <w:t>23/05/2025</w:t>
            </w:r>
          </w:p>
        </w:tc>
      </w:tr>
      <w:tr w:rsidR="008861C1" w:rsidRPr="008259FE" w14:paraId="5AEB7379" w14:textId="77777777" w:rsidTr="0019207A">
        <w:trPr>
          <w:trHeight w:val="397"/>
        </w:trPr>
        <w:tc>
          <w:tcPr>
            <w:tcW w:w="7366" w:type="dxa"/>
          </w:tcPr>
          <w:p w14:paraId="19F07D69" w14:textId="100CF4B4" w:rsidR="008861C1" w:rsidRDefault="008861C1" w:rsidP="00962C20">
            <w:pPr>
              <w:pStyle w:val="SectionTitle"/>
              <w:spacing w:before="0" w:after="0"/>
              <w:rPr>
                <w:b w:val="0"/>
                <w:sz w:val="24"/>
              </w:rPr>
            </w:pPr>
            <w:r>
              <w:rPr>
                <w:b w:val="0"/>
                <w:sz w:val="24"/>
              </w:rPr>
              <w:t>People and Culture team representative</w:t>
            </w:r>
          </w:p>
        </w:tc>
        <w:tc>
          <w:tcPr>
            <w:tcW w:w="2381" w:type="dxa"/>
          </w:tcPr>
          <w:p w14:paraId="3A07DE64" w14:textId="7B1355F0" w:rsidR="008861C1" w:rsidRPr="003E34A4" w:rsidRDefault="00677C35" w:rsidP="00962C20">
            <w:pPr>
              <w:pStyle w:val="SectionTitle"/>
              <w:spacing w:before="0" w:after="0"/>
              <w:rPr>
                <w:b w:val="0"/>
                <w:sz w:val="24"/>
              </w:rPr>
            </w:pPr>
            <w:r>
              <w:rPr>
                <w:b w:val="0"/>
                <w:sz w:val="24"/>
              </w:rPr>
              <w:t>17/06/2025</w:t>
            </w:r>
          </w:p>
        </w:tc>
      </w:tr>
    </w:tbl>
    <w:p w14:paraId="42506EAA" w14:textId="77777777" w:rsidR="008259FE" w:rsidRPr="008259FE" w:rsidRDefault="008259FE" w:rsidP="00962C20">
      <w:pPr>
        <w:pStyle w:val="SectionTitle"/>
        <w:spacing w:before="0" w:after="0"/>
      </w:pPr>
    </w:p>
    <w:tbl>
      <w:tblPr>
        <w:tblStyle w:val="TableGrid"/>
        <w:tblW w:w="9747" w:type="dxa"/>
        <w:tblLook w:val="0620" w:firstRow="1" w:lastRow="0" w:firstColumn="0" w:lastColumn="0" w:noHBand="1" w:noVBand="1"/>
      </w:tblPr>
      <w:tblGrid>
        <w:gridCol w:w="7366"/>
        <w:gridCol w:w="2381"/>
      </w:tblGrid>
      <w:tr w:rsidR="008259FE" w:rsidRPr="008259FE" w14:paraId="3E3CEBA6" w14:textId="77777777" w:rsidTr="0019207A">
        <w:trPr>
          <w:trHeight w:val="397"/>
        </w:trPr>
        <w:tc>
          <w:tcPr>
            <w:tcW w:w="7366" w:type="dxa"/>
          </w:tcPr>
          <w:p w14:paraId="22B235F8" w14:textId="77777777" w:rsidR="008259FE" w:rsidRPr="008259FE" w:rsidRDefault="008259FE" w:rsidP="00962C20">
            <w:pPr>
              <w:pStyle w:val="SectionTitle"/>
              <w:spacing w:before="0" w:after="0"/>
            </w:pPr>
            <w:r w:rsidRPr="008259FE">
              <w:t>Name of Committee</w:t>
            </w:r>
          </w:p>
        </w:tc>
        <w:tc>
          <w:tcPr>
            <w:tcW w:w="2381" w:type="dxa"/>
          </w:tcPr>
          <w:p w14:paraId="29CD2624" w14:textId="77777777" w:rsidR="008259FE" w:rsidRPr="008259FE" w:rsidRDefault="008259FE" w:rsidP="00962C20">
            <w:pPr>
              <w:pStyle w:val="SectionTitle"/>
              <w:spacing w:before="0" w:after="0"/>
            </w:pPr>
            <w:r w:rsidRPr="008259FE">
              <w:t>Date Reviewed</w:t>
            </w:r>
          </w:p>
        </w:tc>
      </w:tr>
      <w:tr w:rsidR="008259FE" w:rsidRPr="008259FE" w14:paraId="30CBFA2A" w14:textId="77777777" w:rsidTr="0019207A">
        <w:trPr>
          <w:trHeight w:val="397"/>
        </w:trPr>
        <w:tc>
          <w:tcPr>
            <w:tcW w:w="7366" w:type="dxa"/>
          </w:tcPr>
          <w:p w14:paraId="42291E77" w14:textId="3C368B8F" w:rsidR="008259FE" w:rsidRPr="003E34A4" w:rsidRDefault="005C75D9" w:rsidP="00962C20">
            <w:pPr>
              <w:pStyle w:val="SectionTitle"/>
              <w:spacing w:before="0" w:after="0"/>
              <w:rPr>
                <w:b w:val="0"/>
                <w:sz w:val="24"/>
              </w:rPr>
            </w:pPr>
            <w:r>
              <w:rPr>
                <w:b w:val="0"/>
                <w:sz w:val="24"/>
              </w:rPr>
              <w:t>Operational Quality Governance Group</w:t>
            </w:r>
          </w:p>
        </w:tc>
        <w:tc>
          <w:tcPr>
            <w:tcW w:w="2381" w:type="dxa"/>
          </w:tcPr>
          <w:p w14:paraId="3E8288EE" w14:textId="760035E9" w:rsidR="008259FE" w:rsidRPr="003E34A4" w:rsidRDefault="001B5F47" w:rsidP="00962C20">
            <w:pPr>
              <w:pStyle w:val="SectionTitle"/>
              <w:spacing w:before="0" w:after="0"/>
              <w:rPr>
                <w:b w:val="0"/>
                <w:sz w:val="24"/>
              </w:rPr>
            </w:pPr>
            <w:r>
              <w:rPr>
                <w:b w:val="0"/>
                <w:sz w:val="24"/>
              </w:rPr>
              <w:t>11/06/2025</w:t>
            </w:r>
          </w:p>
        </w:tc>
      </w:tr>
      <w:tr w:rsidR="00AE674D" w:rsidRPr="008259FE" w14:paraId="5C61F69D" w14:textId="77777777" w:rsidTr="00F73E7A">
        <w:trPr>
          <w:trHeight w:val="397"/>
        </w:trPr>
        <w:tc>
          <w:tcPr>
            <w:tcW w:w="7366" w:type="dxa"/>
          </w:tcPr>
          <w:p w14:paraId="1C48DFB9" w14:textId="64D79525" w:rsidR="00AE674D" w:rsidRPr="003E34A4" w:rsidRDefault="005C75D9" w:rsidP="00962C20">
            <w:pPr>
              <w:pStyle w:val="SectionTitle"/>
              <w:spacing w:before="0" w:after="0"/>
              <w:rPr>
                <w:b w:val="0"/>
                <w:sz w:val="24"/>
              </w:rPr>
            </w:pPr>
            <w:r>
              <w:rPr>
                <w:b w:val="0"/>
                <w:sz w:val="24"/>
              </w:rPr>
              <w:t>Quality and Safety Committee</w:t>
            </w:r>
          </w:p>
        </w:tc>
        <w:tc>
          <w:tcPr>
            <w:tcW w:w="2381" w:type="dxa"/>
            <w:shd w:val="clear" w:color="auto" w:fill="auto"/>
          </w:tcPr>
          <w:p w14:paraId="32BB741B" w14:textId="6A4CB2C3" w:rsidR="00AE674D" w:rsidRPr="003E34A4" w:rsidRDefault="00F73E7A" w:rsidP="00962C20">
            <w:pPr>
              <w:pStyle w:val="SectionTitle"/>
              <w:spacing w:before="0" w:after="0"/>
              <w:rPr>
                <w:b w:val="0"/>
                <w:sz w:val="24"/>
                <w:highlight w:val="yellow"/>
              </w:rPr>
            </w:pPr>
            <w:r w:rsidRPr="00F73E7A">
              <w:rPr>
                <w:b w:val="0"/>
                <w:sz w:val="24"/>
              </w:rPr>
              <w:t>16/07/2025</w:t>
            </w:r>
          </w:p>
        </w:tc>
      </w:tr>
    </w:tbl>
    <w:p w14:paraId="23E7E2B8" w14:textId="77777777" w:rsidR="007E68E2" w:rsidRDefault="007E68E2" w:rsidP="008259FE">
      <w:pPr>
        <w:pStyle w:val="SectionTitle"/>
      </w:pPr>
    </w:p>
    <w:p w14:paraId="51A8FB13" w14:textId="77777777" w:rsidR="00D60F67" w:rsidRDefault="00D60F67">
      <w:pPr>
        <w:spacing w:after="0" w:line="240" w:lineRule="auto"/>
        <w:rPr>
          <w:b/>
          <w:sz w:val="28"/>
        </w:rPr>
      </w:pPr>
      <w:r>
        <w:br w:type="page"/>
      </w:r>
    </w:p>
    <w:p w14:paraId="353ED7D4" w14:textId="0F83E305" w:rsidR="008259FE" w:rsidRPr="008259FE" w:rsidRDefault="008259FE" w:rsidP="008259FE">
      <w:pPr>
        <w:pStyle w:val="SectionTitle"/>
      </w:pPr>
      <w:r w:rsidRPr="008259FE">
        <w:lastRenderedPageBreak/>
        <w:t>Summary of Key Changes from Last Approved Version</w:t>
      </w:r>
    </w:p>
    <w:p w14:paraId="58D960F0" w14:textId="785E3980" w:rsidR="00C54F1E" w:rsidRDefault="00C54F1E" w:rsidP="00147164">
      <w:pPr>
        <w:spacing w:before="120"/>
      </w:pPr>
      <w:bookmarkStart w:id="0" w:name="_Hlk202534272"/>
      <w:r>
        <w:t>Updated the Duties section</w:t>
      </w:r>
      <w:r w:rsidR="007A4A91">
        <w:t>, strengthening oversight requirements</w:t>
      </w:r>
      <w:r>
        <w:t xml:space="preserve"> and added Care Group leadership responsibilities.</w:t>
      </w:r>
    </w:p>
    <w:p w14:paraId="18E67680" w14:textId="4DAEEEC8" w:rsidR="007A4A91" w:rsidRDefault="007A4A91" w:rsidP="007A4A91">
      <w:pPr>
        <w:spacing w:before="120"/>
      </w:pPr>
      <w:r>
        <w:t>Updated duties section to reflect role clarity established in the last year; removed medical examiner and HM Coroner duties as outside the scope of the policy.</w:t>
      </w:r>
    </w:p>
    <w:p w14:paraId="0723FC2C" w14:textId="53826C7D" w:rsidR="005A29A6" w:rsidRDefault="005A29A6" w:rsidP="00147164">
      <w:pPr>
        <w:spacing w:before="120"/>
      </w:pPr>
      <w:r>
        <w:t>Updated Patient Safety Partner section</w:t>
      </w:r>
      <w:r w:rsidR="007A4A91">
        <w:t>, to include NHS Standard Contract requirements.</w:t>
      </w:r>
    </w:p>
    <w:p w14:paraId="3BCA8F14" w14:textId="4D3EBA6C" w:rsidR="008B74CB" w:rsidRDefault="006E50FD" w:rsidP="00147164">
      <w:pPr>
        <w:spacing w:before="120"/>
      </w:pPr>
      <w:r>
        <w:t>Updated the Patient Safety Culture section</w:t>
      </w:r>
      <w:r w:rsidR="008861C1">
        <w:t xml:space="preserve"> and throughout in relation to the Being Fair tool</w:t>
      </w:r>
      <w:r w:rsidR="007A4A91">
        <w:t>.</w:t>
      </w:r>
    </w:p>
    <w:p w14:paraId="12C8D382" w14:textId="4210E2AA" w:rsidR="00AE5F18" w:rsidRDefault="00AE5F18" w:rsidP="00147164">
      <w:pPr>
        <w:spacing w:before="120"/>
      </w:pPr>
      <w:r>
        <w:t>Health inequalities section updated to reflect the Patient safety healthcare inequalities reduction framework (</w:t>
      </w:r>
      <w:r w:rsidR="008861C1">
        <w:t>NHSE</w:t>
      </w:r>
      <w:r w:rsidR="007A4A91">
        <w:t>).</w:t>
      </w:r>
    </w:p>
    <w:p w14:paraId="69E83F1C" w14:textId="759A6DAB" w:rsidR="00F74C01" w:rsidRDefault="00F74C01" w:rsidP="00147164">
      <w:pPr>
        <w:spacing w:before="120"/>
      </w:pPr>
      <w:r>
        <w:t>Adoption of NHSE, HSIB and Learn Together (2022)</w:t>
      </w:r>
      <w:r w:rsidR="007D1584">
        <w:t>.</w:t>
      </w:r>
    </w:p>
    <w:p w14:paraId="6C3DFC2D" w14:textId="457DA45F" w:rsidR="007D1584" w:rsidRDefault="007D1584" w:rsidP="00147164">
      <w:pPr>
        <w:spacing w:before="120"/>
      </w:pPr>
      <w:r>
        <w:t>Inclusion of HFIX and iFACES in relation to safety action development.</w:t>
      </w:r>
    </w:p>
    <w:p w14:paraId="0017AACE" w14:textId="0834B536" w:rsidR="006D696A" w:rsidRDefault="006D696A" w:rsidP="00147164">
      <w:pPr>
        <w:spacing w:before="120"/>
      </w:pPr>
      <w:r>
        <w:t>Revision of investigation and oversight timeframes.</w:t>
      </w:r>
    </w:p>
    <w:p w14:paraId="5099E3DD" w14:textId="73204201" w:rsidR="007A4A91" w:rsidRDefault="007A4A91" w:rsidP="00147164">
      <w:pPr>
        <w:spacing w:before="120"/>
      </w:pPr>
      <w:r>
        <w:t>List of definitions refined and added to.</w:t>
      </w:r>
    </w:p>
    <w:p w14:paraId="37911507" w14:textId="1A5D8A55" w:rsidR="00F73E7A" w:rsidRDefault="00F73E7A" w:rsidP="00147164">
      <w:pPr>
        <w:spacing w:before="120"/>
      </w:pPr>
      <w:r>
        <w:t>Clarified interface with Spencer Private Hospitals, 2gether Support Solutions and East Kent Urgent Treatment Centre Alliance.</w:t>
      </w:r>
    </w:p>
    <w:bookmarkEnd w:id="0"/>
    <w:p w14:paraId="31BB8857" w14:textId="77777777" w:rsidR="008259FE" w:rsidRPr="008259FE" w:rsidRDefault="008259FE" w:rsidP="0071385C">
      <w:pPr>
        <w:pStyle w:val="SectionTitle"/>
        <w:spacing w:before="360"/>
      </w:pPr>
      <w:r w:rsidRPr="008259FE">
        <w:t>Associated Documentation</w:t>
      </w:r>
    </w:p>
    <w:p w14:paraId="0DD8A749" w14:textId="60ED7203" w:rsidR="001B5F47" w:rsidRDefault="001B5F47" w:rsidP="00962C20">
      <w:pPr>
        <w:pStyle w:val="SectionTitle"/>
        <w:spacing w:before="120" w:after="120"/>
        <w:rPr>
          <w:b w:val="0"/>
          <w:sz w:val="24"/>
        </w:rPr>
      </w:pPr>
      <w:r>
        <w:rPr>
          <w:b w:val="0"/>
          <w:sz w:val="24"/>
        </w:rPr>
        <w:t>Accessible and Reasonable Adjustments Policy</w:t>
      </w:r>
    </w:p>
    <w:p w14:paraId="103BC52B" w14:textId="0678C889" w:rsidR="001B5F47" w:rsidRDefault="001B5F47" w:rsidP="00962C20">
      <w:pPr>
        <w:pStyle w:val="SectionTitle"/>
        <w:spacing w:before="120" w:after="120"/>
        <w:rPr>
          <w:b w:val="0"/>
          <w:sz w:val="24"/>
        </w:rPr>
      </w:pPr>
      <w:r>
        <w:rPr>
          <w:b w:val="0"/>
          <w:sz w:val="24"/>
        </w:rPr>
        <w:t>Carers Policy</w:t>
      </w:r>
    </w:p>
    <w:p w14:paraId="636C8DEF" w14:textId="77777777" w:rsidR="001B5F47" w:rsidRDefault="001B5F47" w:rsidP="001B5F47">
      <w:pPr>
        <w:pStyle w:val="SectionTitle"/>
        <w:spacing w:before="120" w:after="120"/>
        <w:rPr>
          <w:b w:val="0"/>
          <w:sz w:val="24"/>
        </w:rPr>
      </w:pPr>
      <w:r>
        <w:rPr>
          <w:b w:val="0"/>
          <w:sz w:val="24"/>
        </w:rPr>
        <w:t>Complaints Management Policy</w:t>
      </w:r>
    </w:p>
    <w:p w14:paraId="408B95FE" w14:textId="77777777" w:rsidR="001B5F47" w:rsidRDefault="001B5F47" w:rsidP="001B5F47">
      <w:pPr>
        <w:pStyle w:val="SectionTitle"/>
        <w:spacing w:before="120" w:after="120"/>
        <w:rPr>
          <w:b w:val="0"/>
          <w:sz w:val="24"/>
        </w:rPr>
      </w:pPr>
      <w:r>
        <w:rPr>
          <w:b w:val="0"/>
          <w:sz w:val="24"/>
        </w:rPr>
        <w:t>Duty of Candour Policy</w:t>
      </w:r>
    </w:p>
    <w:p w14:paraId="7D287D84" w14:textId="3EC22CF9" w:rsidR="001B5F47" w:rsidRDefault="001B5F47" w:rsidP="001B5F47">
      <w:pPr>
        <w:pStyle w:val="SectionTitle"/>
        <w:spacing w:before="120" w:after="120"/>
        <w:rPr>
          <w:b w:val="0"/>
          <w:sz w:val="24"/>
        </w:rPr>
      </w:pPr>
      <w:r>
        <w:rPr>
          <w:b w:val="0"/>
          <w:sz w:val="24"/>
        </w:rPr>
        <w:t>Incident Management Policy</w:t>
      </w:r>
    </w:p>
    <w:p w14:paraId="3A441643" w14:textId="6473F0D6" w:rsidR="001B5F47" w:rsidRDefault="001B5F47" w:rsidP="001B5F47">
      <w:pPr>
        <w:pStyle w:val="SectionTitle"/>
        <w:spacing w:before="120" w:after="120"/>
        <w:rPr>
          <w:b w:val="0"/>
          <w:sz w:val="24"/>
        </w:rPr>
      </w:pPr>
      <w:r>
        <w:rPr>
          <w:b w:val="0"/>
          <w:sz w:val="24"/>
        </w:rPr>
        <w:t>Interpreting and Translation Policy</w:t>
      </w:r>
    </w:p>
    <w:p w14:paraId="15641C1B" w14:textId="77777777" w:rsidR="001B5F47" w:rsidRDefault="001B5F47" w:rsidP="001B5F47">
      <w:pPr>
        <w:pStyle w:val="SectionTitle"/>
        <w:spacing w:before="120" w:after="120"/>
        <w:rPr>
          <w:b w:val="0"/>
          <w:sz w:val="24"/>
        </w:rPr>
      </w:pPr>
      <w:r>
        <w:rPr>
          <w:b w:val="0"/>
          <w:sz w:val="24"/>
        </w:rPr>
        <w:t>Learning from Deaths Policy</w:t>
      </w:r>
    </w:p>
    <w:p w14:paraId="26DC2BE0" w14:textId="56978510" w:rsidR="004463EE" w:rsidRDefault="004463EE" w:rsidP="00962C20">
      <w:pPr>
        <w:pStyle w:val="SectionTitle"/>
        <w:spacing w:before="120" w:after="120"/>
        <w:rPr>
          <w:b w:val="0"/>
          <w:sz w:val="24"/>
        </w:rPr>
      </w:pPr>
      <w:r>
        <w:rPr>
          <w:b w:val="0"/>
          <w:sz w:val="24"/>
        </w:rPr>
        <w:t>Patient Safety Incident Response Plan</w:t>
      </w:r>
    </w:p>
    <w:p w14:paraId="007049F4" w14:textId="64900AF2" w:rsidR="004463EE" w:rsidRDefault="008B74CB" w:rsidP="00962C20">
      <w:pPr>
        <w:pStyle w:val="SectionTitle"/>
        <w:spacing w:before="120" w:after="120"/>
        <w:rPr>
          <w:b w:val="0"/>
          <w:sz w:val="24"/>
        </w:rPr>
      </w:pPr>
      <w:r>
        <w:rPr>
          <w:b w:val="0"/>
          <w:sz w:val="24"/>
        </w:rPr>
        <w:t>Patient Safety Partner Policy</w:t>
      </w:r>
    </w:p>
    <w:p w14:paraId="2D150EB9" w14:textId="671F3B79" w:rsidR="001B5F47" w:rsidRDefault="001B5F47" w:rsidP="00962C20">
      <w:pPr>
        <w:pStyle w:val="SectionTitle"/>
        <w:spacing w:before="120" w:after="120"/>
        <w:rPr>
          <w:b w:val="0"/>
          <w:sz w:val="24"/>
        </w:rPr>
      </w:pPr>
      <w:r>
        <w:rPr>
          <w:b w:val="0"/>
          <w:sz w:val="24"/>
        </w:rPr>
        <w:t>Supporting Gender Diverse Patients Policy</w:t>
      </w:r>
    </w:p>
    <w:p w14:paraId="0DF4E44B" w14:textId="57E059C7" w:rsidR="00013AE1" w:rsidRDefault="00013AE1" w:rsidP="00962C20">
      <w:pPr>
        <w:pStyle w:val="SectionTitle"/>
        <w:spacing w:before="120" w:after="120"/>
        <w:rPr>
          <w:b w:val="0"/>
          <w:sz w:val="24"/>
        </w:rPr>
      </w:pPr>
      <w:r>
        <w:rPr>
          <w:b w:val="0"/>
          <w:sz w:val="24"/>
        </w:rPr>
        <w:t>Volunteer Services Policy</w:t>
      </w:r>
    </w:p>
    <w:p w14:paraId="1675B643" w14:textId="77777777" w:rsidR="004463EE" w:rsidRPr="0071385C" w:rsidRDefault="004463EE" w:rsidP="00962C20">
      <w:pPr>
        <w:pStyle w:val="SectionTitle"/>
        <w:spacing w:before="120" w:after="120"/>
        <w:rPr>
          <w:b w:val="0"/>
          <w:sz w:val="24"/>
        </w:rPr>
      </w:pPr>
    </w:p>
    <w:p w14:paraId="2800D57B" w14:textId="77777777" w:rsidR="00E615EC" w:rsidRDefault="00D40ED0" w:rsidP="0071472D">
      <w:pPr>
        <w:pStyle w:val="SectionTitle"/>
        <w:pageBreakBefore/>
        <w:spacing w:after="0"/>
        <w:rPr>
          <w:noProof/>
        </w:rPr>
      </w:pPr>
      <w:r>
        <w:lastRenderedPageBreak/>
        <w:t>Contents</w:t>
      </w:r>
      <w:r w:rsidR="000A1E88">
        <w:fldChar w:fldCharType="begin"/>
      </w:r>
      <w:r w:rsidR="000A1E88">
        <w:instrText xml:space="preserve"> TOC \o "1-3" \h \z \u </w:instrText>
      </w:r>
      <w:r w:rsidR="000A1E88">
        <w:fldChar w:fldCharType="separate"/>
      </w:r>
    </w:p>
    <w:p w14:paraId="430A9F42" w14:textId="0B7D5437" w:rsidR="00E615EC" w:rsidRDefault="005558DF">
      <w:pPr>
        <w:pStyle w:val="TOC1"/>
        <w:rPr>
          <w:rFonts w:eastAsiaTheme="minorEastAsia"/>
          <w:noProof/>
          <w:lang w:eastAsia="en-GB"/>
        </w:rPr>
      </w:pPr>
      <w:hyperlink w:anchor="_Toc199923740" w:history="1">
        <w:r w:rsidR="00E615EC" w:rsidRPr="002A5FD7">
          <w:rPr>
            <w:rStyle w:val="Hyperlink"/>
            <w:noProof/>
          </w:rPr>
          <w:t>1.</w:t>
        </w:r>
        <w:r w:rsidR="00E615EC">
          <w:rPr>
            <w:rFonts w:eastAsiaTheme="minorEastAsia"/>
            <w:noProof/>
            <w:lang w:eastAsia="en-GB"/>
          </w:rPr>
          <w:tab/>
        </w:r>
        <w:r w:rsidR="00E615EC" w:rsidRPr="002A5FD7">
          <w:rPr>
            <w:rStyle w:val="Hyperlink"/>
            <w:noProof/>
          </w:rPr>
          <w:t>Policy Description</w:t>
        </w:r>
        <w:r w:rsidR="00E615EC">
          <w:rPr>
            <w:noProof/>
            <w:webHidden/>
          </w:rPr>
          <w:tab/>
        </w:r>
        <w:r w:rsidR="00E615EC">
          <w:rPr>
            <w:noProof/>
            <w:webHidden/>
          </w:rPr>
          <w:fldChar w:fldCharType="begin"/>
        </w:r>
        <w:r w:rsidR="00E615EC">
          <w:rPr>
            <w:noProof/>
            <w:webHidden/>
          </w:rPr>
          <w:instrText xml:space="preserve"> PAGEREF _Toc199923740 \h </w:instrText>
        </w:r>
        <w:r w:rsidR="00E615EC">
          <w:rPr>
            <w:noProof/>
            <w:webHidden/>
          </w:rPr>
        </w:r>
        <w:r w:rsidR="00E615EC">
          <w:rPr>
            <w:noProof/>
            <w:webHidden/>
          </w:rPr>
          <w:fldChar w:fldCharType="separate"/>
        </w:r>
        <w:r w:rsidR="00F73E7A">
          <w:rPr>
            <w:noProof/>
            <w:webHidden/>
          </w:rPr>
          <w:t>5</w:t>
        </w:r>
        <w:r w:rsidR="00E615EC">
          <w:rPr>
            <w:noProof/>
            <w:webHidden/>
          </w:rPr>
          <w:fldChar w:fldCharType="end"/>
        </w:r>
      </w:hyperlink>
    </w:p>
    <w:p w14:paraId="098C7D13" w14:textId="0D01E58E" w:rsidR="00E615EC" w:rsidRDefault="005558DF">
      <w:pPr>
        <w:pStyle w:val="TOC1"/>
        <w:rPr>
          <w:rFonts w:eastAsiaTheme="minorEastAsia"/>
          <w:noProof/>
          <w:lang w:eastAsia="en-GB"/>
        </w:rPr>
      </w:pPr>
      <w:hyperlink w:anchor="_Toc199923741" w:history="1">
        <w:r w:rsidR="00E615EC" w:rsidRPr="002A5FD7">
          <w:rPr>
            <w:rStyle w:val="Hyperlink"/>
            <w:noProof/>
          </w:rPr>
          <w:t>2.</w:t>
        </w:r>
        <w:r w:rsidR="00E615EC">
          <w:rPr>
            <w:rFonts w:eastAsiaTheme="minorEastAsia"/>
            <w:noProof/>
            <w:lang w:eastAsia="en-GB"/>
          </w:rPr>
          <w:tab/>
        </w:r>
        <w:r w:rsidR="00E615EC" w:rsidRPr="002A5FD7">
          <w:rPr>
            <w:rStyle w:val="Hyperlink"/>
            <w:noProof/>
          </w:rPr>
          <w:t>Introduction</w:t>
        </w:r>
        <w:r w:rsidR="00E615EC">
          <w:rPr>
            <w:noProof/>
            <w:webHidden/>
          </w:rPr>
          <w:tab/>
        </w:r>
        <w:r w:rsidR="00E615EC">
          <w:rPr>
            <w:noProof/>
            <w:webHidden/>
          </w:rPr>
          <w:fldChar w:fldCharType="begin"/>
        </w:r>
        <w:r w:rsidR="00E615EC">
          <w:rPr>
            <w:noProof/>
            <w:webHidden/>
          </w:rPr>
          <w:instrText xml:space="preserve"> PAGEREF _Toc199923741 \h </w:instrText>
        </w:r>
        <w:r w:rsidR="00E615EC">
          <w:rPr>
            <w:noProof/>
            <w:webHidden/>
          </w:rPr>
        </w:r>
        <w:r w:rsidR="00E615EC">
          <w:rPr>
            <w:noProof/>
            <w:webHidden/>
          </w:rPr>
          <w:fldChar w:fldCharType="separate"/>
        </w:r>
        <w:r w:rsidR="00F73E7A">
          <w:rPr>
            <w:noProof/>
            <w:webHidden/>
          </w:rPr>
          <w:t>5</w:t>
        </w:r>
        <w:r w:rsidR="00E615EC">
          <w:rPr>
            <w:noProof/>
            <w:webHidden/>
          </w:rPr>
          <w:fldChar w:fldCharType="end"/>
        </w:r>
      </w:hyperlink>
    </w:p>
    <w:p w14:paraId="6DA6EA10" w14:textId="7CA29275" w:rsidR="00E615EC" w:rsidRDefault="005558DF">
      <w:pPr>
        <w:pStyle w:val="TOC1"/>
        <w:rPr>
          <w:rFonts w:eastAsiaTheme="minorEastAsia"/>
          <w:noProof/>
          <w:lang w:eastAsia="en-GB"/>
        </w:rPr>
      </w:pPr>
      <w:hyperlink w:anchor="_Toc199923742" w:history="1">
        <w:r w:rsidR="00E615EC" w:rsidRPr="002A5FD7">
          <w:rPr>
            <w:rStyle w:val="Hyperlink"/>
            <w:noProof/>
          </w:rPr>
          <w:t>3.</w:t>
        </w:r>
        <w:r w:rsidR="00E615EC">
          <w:rPr>
            <w:rFonts w:eastAsiaTheme="minorEastAsia"/>
            <w:noProof/>
            <w:lang w:eastAsia="en-GB"/>
          </w:rPr>
          <w:tab/>
        </w:r>
        <w:r w:rsidR="00E615EC" w:rsidRPr="002A5FD7">
          <w:rPr>
            <w:rStyle w:val="Hyperlink"/>
            <w:noProof/>
          </w:rPr>
          <w:t>Definitions</w:t>
        </w:r>
        <w:r w:rsidR="00E615EC">
          <w:rPr>
            <w:noProof/>
            <w:webHidden/>
          </w:rPr>
          <w:tab/>
        </w:r>
        <w:r w:rsidR="00E615EC">
          <w:rPr>
            <w:noProof/>
            <w:webHidden/>
          </w:rPr>
          <w:fldChar w:fldCharType="begin"/>
        </w:r>
        <w:r w:rsidR="00E615EC">
          <w:rPr>
            <w:noProof/>
            <w:webHidden/>
          </w:rPr>
          <w:instrText xml:space="preserve"> PAGEREF _Toc199923742 \h </w:instrText>
        </w:r>
        <w:r w:rsidR="00E615EC">
          <w:rPr>
            <w:noProof/>
            <w:webHidden/>
          </w:rPr>
        </w:r>
        <w:r w:rsidR="00E615EC">
          <w:rPr>
            <w:noProof/>
            <w:webHidden/>
          </w:rPr>
          <w:fldChar w:fldCharType="separate"/>
        </w:r>
        <w:r w:rsidR="00F73E7A">
          <w:rPr>
            <w:noProof/>
            <w:webHidden/>
          </w:rPr>
          <w:t>5</w:t>
        </w:r>
        <w:r w:rsidR="00E615EC">
          <w:rPr>
            <w:noProof/>
            <w:webHidden/>
          </w:rPr>
          <w:fldChar w:fldCharType="end"/>
        </w:r>
      </w:hyperlink>
    </w:p>
    <w:p w14:paraId="376E4F70" w14:textId="3BBB75AD" w:rsidR="00E615EC" w:rsidRDefault="005558DF">
      <w:pPr>
        <w:pStyle w:val="TOC1"/>
        <w:rPr>
          <w:rFonts w:eastAsiaTheme="minorEastAsia"/>
          <w:noProof/>
          <w:lang w:eastAsia="en-GB"/>
        </w:rPr>
      </w:pPr>
      <w:hyperlink w:anchor="_Toc199923743" w:history="1">
        <w:r w:rsidR="00E615EC" w:rsidRPr="002A5FD7">
          <w:rPr>
            <w:rStyle w:val="Hyperlink"/>
            <w:noProof/>
          </w:rPr>
          <w:t>4.</w:t>
        </w:r>
        <w:r w:rsidR="00E615EC">
          <w:rPr>
            <w:rFonts w:eastAsiaTheme="minorEastAsia"/>
            <w:noProof/>
            <w:lang w:eastAsia="en-GB"/>
          </w:rPr>
          <w:tab/>
        </w:r>
        <w:r w:rsidR="00E615EC" w:rsidRPr="002A5FD7">
          <w:rPr>
            <w:rStyle w:val="Hyperlink"/>
            <w:noProof/>
          </w:rPr>
          <w:t>Purpose and Scope</w:t>
        </w:r>
        <w:r w:rsidR="00E615EC">
          <w:rPr>
            <w:noProof/>
            <w:webHidden/>
          </w:rPr>
          <w:tab/>
        </w:r>
        <w:r w:rsidR="00E615EC">
          <w:rPr>
            <w:noProof/>
            <w:webHidden/>
          </w:rPr>
          <w:fldChar w:fldCharType="begin"/>
        </w:r>
        <w:r w:rsidR="00E615EC">
          <w:rPr>
            <w:noProof/>
            <w:webHidden/>
          </w:rPr>
          <w:instrText xml:space="preserve"> PAGEREF _Toc199923743 \h </w:instrText>
        </w:r>
        <w:r w:rsidR="00E615EC">
          <w:rPr>
            <w:noProof/>
            <w:webHidden/>
          </w:rPr>
        </w:r>
        <w:r w:rsidR="00E615EC">
          <w:rPr>
            <w:noProof/>
            <w:webHidden/>
          </w:rPr>
          <w:fldChar w:fldCharType="separate"/>
        </w:r>
        <w:r w:rsidR="00F73E7A">
          <w:rPr>
            <w:noProof/>
            <w:webHidden/>
          </w:rPr>
          <w:t>7</w:t>
        </w:r>
        <w:r w:rsidR="00E615EC">
          <w:rPr>
            <w:noProof/>
            <w:webHidden/>
          </w:rPr>
          <w:fldChar w:fldCharType="end"/>
        </w:r>
      </w:hyperlink>
    </w:p>
    <w:p w14:paraId="1DEA5D9F" w14:textId="434B3818" w:rsidR="00E615EC" w:rsidRDefault="005558DF">
      <w:pPr>
        <w:pStyle w:val="TOC1"/>
        <w:rPr>
          <w:rFonts w:eastAsiaTheme="minorEastAsia"/>
          <w:noProof/>
          <w:lang w:eastAsia="en-GB"/>
        </w:rPr>
      </w:pPr>
      <w:hyperlink w:anchor="_Toc199923744" w:history="1">
        <w:r w:rsidR="00E615EC" w:rsidRPr="002A5FD7">
          <w:rPr>
            <w:rStyle w:val="Hyperlink"/>
            <w:noProof/>
          </w:rPr>
          <w:t>5.</w:t>
        </w:r>
        <w:r w:rsidR="00E615EC">
          <w:rPr>
            <w:rFonts w:eastAsiaTheme="minorEastAsia"/>
            <w:noProof/>
            <w:lang w:eastAsia="en-GB"/>
          </w:rPr>
          <w:tab/>
        </w:r>
        <w:r w:rsidR="00E615EC" w:rsidRPr="002A5FD7">
          <w:rPr>
            <w:rStyle w:val="Hyperlink"/>
            <w:noProof/>
          </w:rPr>
          <w:t>Duties</w:t>
        </w:r>
        <w:r w:rsidR="00E615EC">
          <w:rPr>
            <w:noProof/>
            <w:webHidden/>
          </w:rPr>
          <w:tab/>
        </w:r>
        <w:r w:rsidR="00E615EC">
          <w:rPr>
            <w:noProof/>
            <w:webHidden/>
          </w:rPr>
          <w:fldChar w:fldCharType="begin"/>
        </w:r>
        <w:r w:rsidR="00E615EC">
          <w:rPr>
            <w:noProof/>
            <w:webHidden/>
          </w:rPr>
          <w:instrText xml:space="preserve"> PAGEREF _Toc199923744 \h </w:instrText>
        </w:r>
        <w:r w:rsidR="00E615EC">
          <w:rPr>
            <w:noProof/>
            <w:webHidden/>
          </w:rPr>
        </w:r>
        <w:r w:rsidR="00E615EC">
          <w:rPr>
            <w:noProof/>
            <w:webHidden/>
          </w:rPr>
          <w:fldChar w:fldCharType="separate"/>
        </w:r>
        <w:r w:rsidR="00F73E7A">
          <w:rPr>
            <w:noProof/>
            <w:webHidden/>
          </w:rPr>
          <w:t>7</w:t>
        </w:r>
        <w:r w:rsidR="00E615EC">
          <w:rPr>
            <w:noProof/>
            <w:webHidden/>
          </w:rPr>
          <w:fldChar w:fldCharType="end"/>
        </w:r>
      </w:hyperlink>
    </w:p>
    <w:p w14:paraId="43165FBF" w14:textId="3A5A4742" w:rsidR="00E615EC" w:rsidRDefault="005558DF">
      <w:pPr>
        <w:pStyle w:val="TOC1"/>
        <w:rPr>
          <w:rFonts w:eastAsiaTheme="minorEastAsia"/>
          <w:noProof/>
          <w:lang w:eastAsia="en-GB"/>
        </w:rPr>
      </w:pPr>
      <w:hyperlink w:anchor="_Toc199923745" w:history="1">
        <w:r w:rsidR="00E615EC" w:rsidRPr="002A5FD7">
          <w:rPr>
            <w:rStyle w:val="Hyperlink"/>
            <w:noProof/>
          </w:rPr>
          <w:t>6.</w:t>
        </w:r>
        <w:r w:rsidR="00E615EC">
          <w:rPr>
            <w:rFonts w:eastAsiaTheme="minorEastAsia"/>
            <w:noProof/>
            <w:lang w:eastAsia="en-GB"/>
          </w:rPr>
          <w:tab/>
        </w:r>
        <w:r w:rsidR="00E615EC" w:rsidRPr="002A5FD7">
          <w:rPr>
            <w:rStyle w:val="Hyperlink"/>
            <w:noProof/>
          </w:rPr>
          <w:t>Patient safety culture</w:t>
        </w:r>
        <w:r w:rsidR="00E615EC">
          <w:rPr>
            <w:noProof/>
            <w:webHidden/>
          </w:rPr>
          <w:tab/>
        </w:r>
        <w:r w:rsidR="00E615EC">
          <w:rPr>
            <w:noProof/>
            <w:webHidden/>
          </w:rPr>
          <w:fldChar w:fldCharType="begin"/>
        </w:r>
        <w:r w:rsidR="00E615EC">
          <w:rPr>
            <w:noProof/>
            <w:webHidden/>
          </w:rPr>
          <w:instrText xml:space="preserve"> PAGEREF _Toc199923745 \h </w:instrText>
        </w:r>
        <w:r w:rsidR="00E615EC">
          <w:rPr>
            <w:noProof/>
            <w:webHidden/>
          </w:rPr>
        </w:r>
        <w:r w:rsidR="00E615EC">
          <w:rPr>
            <w:noProof/>
            <w:webHidden/>
          </w:rPr>
          <w:fldChar w:fldCharType="separate"/>
        </w:r>
        <w:r w:rsidR="00F73E7A">
          <w:rPr>
            <w:noProof/>
            <w:webHidden/>
          </w:rPr>
          <w:t>10</w:t>
        </w:r>
        <w:r w:rsidR="00E615EC">
          <w:rPr>
            <w:noProof/>
            <w:webHidden/>
          </w:rPr>
          <w:fldChar w:fldCharType="end"/>
        </w:r>
      </w:hyperlink>
    </w:p>
    <w:p w14:paraId="4C640B10" w14:textId="11CA827A" w:rsidR="00E615EC" w:rsidRDefault="005558DF">
      <w:pPr>
        <w:pStyle w:val="TOC1"/>
        <w:rPr>
          <w:rFonts w:eastAsiaTheme="minorEastAsia"/>
          <w:noProof/>
          <w:lang w:eastAsia="en-GB"/>
        </w:rPr>
      </w:pPr>
      <w:hyperlink w:anchor="_Toc199923746" w:history="1">
        <w:r w:rsidR="00E615EC" w:rsidRPr="002A5FD7">
          <w:rPr>
            <w:rStyle w:val="Hyperlink"/>
            <w:noProof/>
          </w:rPr>
          <w:t>7.</w:t>
        </w:r>
        <w:r w:rsidR="00E615EC">
          <w:rPr>
            <w:rFonts w:eastAsiaTheme="minorEastAsia"/>
            <w:noProof/>
            <w:lang w:eastAsia="en-GB"/>
          </w:rPr>
          <w:tab/>
        </w:r>
        <w:r w:rsidR="00E615EC" w:rsidRPr="002A5FD7">
          <w:rPr>
            <w:rStyle w:val="Hyperlink"/>
            <w:noProof/>
          </w:rPr>
          <w:t>Patient Safety Partners</w:t>
        </w:r>
        <w:r w:rsidR="00E615EC">
          <w:rPr>
            <w:noProof/>
            <w:webHidden/>
          </w:rPr>
          <w:tab/>
        </w:r>
        <w:r w:rsidR="00E615EC">
          <w:rPr>
            <w:noProof/>
            <w:webHidden/>
          </w:rPr>
          <w:fldChar w:fldCharType="begin"/>
        </w:r>
        <w:r w:rsidR="00E615EC">
          <w:rPr>
            <w:noProof/>
            <w:webHidden/>
          </w:rPr>
          <w:instrText xml:space="preserve"> PAGEREF _Toc199923746 \h </w:instrText>
        </w:r>
        <w:r w:rsidR="00E615EC">
          <w:rPr>
            <w:noProof/>
            <w:webHidden/>
          </w:rPr>
        </w:r>
        <w:r w:rsidR="00E615EC">
          <w:rPr>
            <w:noProof/>
            <w:webHidden/>
          </w:rPr>
          <w:fldChar w:fldCharType="separate"/>
        </w:r>
        <w:r w:rsidR="00F73E7A">
          <w:rPr>
            <w:noProof/>
            <w:webHidden/>
          </w:rPr>
          <w:t>11</w:t>
        </w:r>
        <w:r w:rsidR="00E615EC">
          <w:rPr>
            <w:noProof/>
            <w:webHidden/>
          </w:rPr>
          <w:fldChar w:fldCharType="end"/>
        </w:r>
      </w:hyperlink>
    </w:p>
    <w:p w14:paraId="35093523" w14:textId="36267780" w:rsidR="00E615EC" w:rsidRDefault="005558DF">
      <w:pPr>
        <w:pStyle w:val="TOC1"/>
        <w:rPr>
          <w:rFonts w:eastAsiaTheme="minorEastAsia"/>
          <w:noProof/>
          <w:lang w:eastAsia="en-GB"/>
        </w:rPr>
      </w:pPr>
      <w:hyperlink w:anchor="_Toc199923747" w:history="1">
        <w:r w:rsidR="00E615EC" w:rsidRPr="002A5FD7">
          <w:rPr>
            <w:rStyle w:val="Hyperlink"/>
            <w:noProof/>
          </w:rPr>
          <w:t>8.</w:t>
        </w:r>
        <w:r w:rsidR="00E615EC">
          <w:rPr>
            <w:rFonts w:eastAsiaTheme="minorEastAsia"/>
            <w:noProof/>
            <w:lang w:eastAsia="en-GB"/>
          </w:rPr>
          <w:tab/>
        </w:r>
        <w:r w:rsidR="00E615EC" w:rsidRPr="002A5FD7">
          <w:rPr>
            <w:rStyle w:val="Hyperlink"/>
            <w:noProof/>
          </w:rPr>
          <w:t>Addressing Health Inequalities</w:t>
        </w:r>
        <w:r w:rsidR="00E615EC">
          <w:rPr>
            <w:noProof/>
            <w:webHidden/>
          </w:rPr>
          <w:tab/>
        </w:r>
        <w:r w:rsidR="00E615EC">
          <w:rPr>
            <w:noProof/>
            <w:webHidden/>
          </w:rPr>
          <w:fldChar w:fldCharType="begin"/>
        </w:r>
        <w:r w:rsidR="00E615EC">
          <w:rPr>
            <w:noProof/>
            <w:webHidden/>
          </w:rPr>
          <w:instrText xml:space="preserve"> PAGEREF _Toc199923747 \h </w:instrText>
        </w:r>
        <w:r w:rsidR="00E615EC">
          <w:rPr>
            <w:noProof/>
            <w:webHidden/>
          </w:rPr>
        </w:r>
        <w:r w:rsidR="00E615EC">
          <w:rPr>
            <w:noProof/>
            <w:webHidden/>
          </w:rPr>
          <w:fldChar w:fldCharType="separate"/>
        </w:r>
        <w:r w:rsidR="00F73E7A">
          <w:rPr>
            <w:noProof/>
            <w:webHidden/>
          </w:rPr>
          <w:t>11</w:t>
        </w:r>
        <w:r w:rsidR="00E615EC">
          <w:rPr>
            <w:noProof/>
            <w:webHidden/>
          </w:rPr>
          <w:fldChar w:fldCharType="end"/>
        </w:r>
      </w:hyperlink>
    </w:p>
    <w:p w14:paraId="3D484EC4" w14:textId="6502E165" w:rsidR="00E615EC" w:rsidRDefault="005558DF">
      <w:pPr>
        <w:pStyle w:val="TOC1"/>
        <w:rPr>
          <w:rFonts w:eastAsiaTheme="minorEastAsia"/>
          <w:noProof/>
          <w:lang w:eastAsia="en-GB"/>
        </w:rPr>
      </w:pPr>
      <w:hyperlink w:anchor="_Toc199923748" w:history="1">
        <w:r w:rsidR="00E615EC" w:rsidRPr="002A5FD7">
          <w:rPr>
            <w:rStyle w:val="Hyperlink"/>
            <w:noProof/>
          </w:rPr>
          <w:t>9.</w:t>
        </w:r>
        <w:r w:rsidR="00E615EC">
          <w:rPr>
            <w:rFonts w:eastAsiaTheme="minorEastAsia"/>
            <w:noProof/>
            <w:lang w:eastAsia="en-GB"/>
          </w:rPr>
          <w:tab/>
        </w:r>
        <w:r w:rsidR="00E615EC" w:rsidRPr="002A5FD7">
          <w:rPr>
            <w:rStyle w:val="Hyperlink"/>
            <w:noProof/>
          </w:rPr>
          <w:t>Engaging and involving patients, families and staff following a patient safety incident</w:t>
        </w:r>
        <w:r w:rsidR="00E615EC">
          <w:rPr>
            <w:noProof/>
            <w:webHidden/>
          </w:rPr>
          <w:tab/>
        </w:r>
        <w:r w:rsidR="00E615EC">
          <w:rPr>
            <w:noProof/>
            <w:webHidden/>
          </w:rPr>
          <w:fldChar w:fldCharType="begin"/>
        </w:r>
        <w:r w:rsidR="00E615EC">
          <w:rPr>
            <w:noProof/>
            <w:webHidden/>
          </w:rPr>
          <w:instrText xml:space="preserve"> PAGEREF _Toc199923748 \h </w:instrText>
        </w:r>
        <w:r w:rsidR="00E615EC">
          <w:rPr>
            <w:noProof/>
            <w:webHidden/>
          </w:rPr>
        </w:r>
        <w:r w:rsidR="00E615EC">
          <w:rPr>
            <w:noProof/>
            <w:webHidden/>
          </w:rPr>
          <w:fldChar w:fldCharType="separate"/>
        </w:r>
        <w:r w:rsidR="00F73E7A">
          <w:rPr>
            <w:noProof/>
            <w:webHidden/>
          </w:rPr>
          <w:t>13</w:t>
        </w:r>
        <w:r w:rsidR="00E615EC">
          <w:rPr>
            <w:noProof/>
            <w:webHidden/>
          </w:rPr>
          <w:fldChar w:fldCharType="end"/>
        </w:r>
      </w:hyperlink>
    </w:p>
    <w:p w14:paraId="1A0280E2" w14:textId="5BC936B5" w:rsidR="00E615EC" w:rsidRDefault="005558DF">
      <w:pPr>
        <w:pStyle w:val="TOC1"/>
        <w:rPr>
          <w:rFonts w:eastAsiaTheme="minorEastAsia"/>
          <w:noProof/>
          <w:lang w:eastAsia="en-GB"/>
        </w:rPr>
      </w:pPr>
      <w:hyperlink w:anchor="_Toc199923749" w:history="1">
        <w:r w:rsidR="00E615EC" w:rsidRPr="002A5FD7">
          <w:rPr>
            <w:rStyle w:val="Hyperlink"/>
            <w:noProof/>
          </w:rPr>
          <w:t>10.</w:t>
        </w:r>
        <w:r w:rsidR="00E615EC">
          <w:rPr>
            <w:rFonts w:eastAsiaTheme="minorEastAsia"/>
            <w:noProof/>
            <w:lang w:eastAsia="en-GB"/>
          </w:rPr>
          <w:tab/>
        </w:r>
        <w:r w:rsidR="00E615EC" w:rsidRPr="002A5FD7">
          <w:rPr>
            <w:rStyle w:val="Hyperlink"/>
            <w:noProof/>
          </w:rPr>
          <w:t>Patient Safety Incident Response Planning</w:t>
        </w:r>
        <w:r w:rsidR="00E615EC">
          <w:rPr>
            <w:noProof/>
            <w:webHidden/>
          </w:rPr>
          <w:tab/>
        </w:r>
        <w:r w:rsidR="00E615EC">
          <w:rPr>
            <w:noProof/>
            <w:webHidden/>
          </w:rPr>
          <w:fldChar w:fldCharType="begin"/>
        </w:r>
        <w:r w:rsidR="00E615EC">
          <w:rPr>
            <w:noProof/>
            <w:webHidden/>
          </w:rPr>
          <w:instrText xml:space="preserve"> PAGEREF _Toc199923749 \h </w:instrText>
        </w:r>
        <w:r w:rsidR="00E615EC">
          <w:rPr>
            <w:noProof/>
            <w:webHidden/>
          </w:rPr>
        </w:r>
        <w:r w:rsidR="00E615EC">
          <w:rPr>
            <w:noProof/>
            <w:webHidden/>
          </w:rPr>
          <w:fldChar w:fldCharType="separate"/>
        </w:r>
        <w:r w:rsidR="00F73E7A">
          <w:rPr>
            <w:noProof/>
            <w:webHidden/>
          </w:rPr>
          <w:t>14</w:t>
        </w:r>
        <w:r w:rsidR="00E615EC">
          <w:rPr>
            <w:noProof/>
            <w:webHidden/>
          </w:rPr>
          <w:fldChar w:fldCharType="end"/>
        </w:r>
      </w:hyperlink>
    </w:p>
    <w:p w14:paraId="6D17231C" w14:textId="38BBD46C" w:rsidR="00E615EC" w:rsidRDefault="005558DF">
      <w:pPr>
        <w:pStyle w:val="TOC1"/>
        <w:rPr>
          <w:rFonts w:eastAsiaTheme="minorEastAsia"/>
          <w:noProof/>
          <w:lang w:eastAsia="en-GB"/>
        </w:rPr>
      </w:pPr>
      <w:hyperlink w:anchor="_Toc199923750" w:history="1">
        <w:r w:rsidR="00E615EC" w:rsidRPr="002A5FD7">
          <w:rPr>
            <w:rStyle w:val="Hyperlink"/>
            <w:noProof/>
          </w:rPr>
          <w:t>11.</w:t>
        </w:r>
        <w:r w:rsidR="00E615EC">
          <w:rPr>
            <w:rFonts w:eastAsiaTheme="minorEastAsia"/>
            <w:noProof/>
            <w:lang w:eastAsia="en-GB"/>
          </w:rPr>
          <w:tab/>
        </w:r>
        <w:r w:rsidR="00E615EC" w:rsidRPr="002A5FD7">
          <w:rPr>
            <w:rStyle w:val="Hyperlink"/>
            <w:noProof/>
          </w:rPr>
          <w:t>Responding to Patient Safety Events</w:t>
        </w:r>
        <w:r w:rsidR="00E615EC">
          <w:rPr>
            <w:noProof/>
            <w:webHidden/>
          </w:rPr>
          <w:tab/>
        </w:r>
        <w:r w:rsidR="00E615EC">
          <w:rPr>
            <w:noProof/>
            <w:webHidden/>
          </w:rPr>
          <w:fldChar w:fldCharType="begin"/>
        </w:r>
        <w:r w:rsidR="00E615EC">
          <w:rPr>
            <w:noProof/>
            <w:webHidden/>
          </w:rPr>
          <w:instrText xml:space="preserve"> PAGEREF _Toc199923750 \h </w:instrText>
        </w:r>
        <w:r w:rsidR="00E615EC">
          <w:rPr>
            <w:noProof/>
            <w:webHidden/>
          </w:rPr>
        </w:r>
        <w:r w:rsidR="00E615EC">
          <w:rPr>
            <w:noProof/>
            <w:webHidden/>
          </w:rPr>
          <w:fldChar w:fldCharType="separate"/>
        </w:r>
        <w:r w:rsidR="00F73E7A">
          <w:rPr>
            <w:noProof/>
            <w:webHidden/>
          </w:rPr>
          <w:t>17</w:t>
        </w:r>
        <w:r w:rsidR="00E615EC">
          <w:rPr>
            <w:noProof/>
            <w:webHidden/>
          </w:rPr>
          <w:fldChar w:fldCharType="end"/>
        </w:r>
      </w:hyperlink>
    </w:p>
    <w:p w14:paraId="2BAACE2D" w14:textId="2577C8AF" w:rsidR="00E615EC" w:rsidRDefault="005558DF">
      <w:pPr>
        <w:pStyle w:val="TOC1"/>
        <w:rPr>
          <w:rFonts w:eastAsiaTheme="minorEastAsia"/>
          <w:noProof/>
          <w:lang w:eastAsia="en-GB"/>
        </w:rPr>
      </w:pPr>
      <w:hyperlink w:anchor="_Toc199923751" w:history="1">
        <w:r w:rsidR="00E615EC" w:rsidRPr="002A5FD7">
          <w:rPr>
            <w:rStyle w:val="Hyperlink"/>
            <w:noProof/>
          </w:rPr>
          <w:t>12.</w:t>
        </w:r>
        <w:r w:rsidR="00E615EC">
          <w:rPr>
            <w:rFonts w:eastAsiaTheme="minorEastAsia"/>
            <w:noProof/>
            <w:lang w:eastAsia="en-GB"/>
          </w:rPr>
          <w:tab/>
        </w:r>
        <w:r w:rsidR="00E615EC" w:rsidRPr="002A5FD7">
          <w:rPr>
            <w:rStyle w:val="Hyperlink"/>
            <w:noProof/>
          </w:rPr>
          <w:t>Complaints and Appeals</w:t>
        </w:r>
        <w:r w:rsidR="00E615EC">
          <w:rPr>
            <w:noProof/>
            <w:webHidden/>
          </w:rPr>
          <w:tab/>
        </w:r>
        <w:r w:rsidR="00E615EC">
          <w:rPr>
            <w:noProof/>
            <w:webHidden/>
          </w:rPr>
          <w:fldChar w:fldCharType="begin"/>
        </w:r>
        <w:r w:rsidR="00E615EC">
          <w:rPr>
            <w:noProof/>
            <w:webHidden/>
          </w:rPr>
          <w:instrText xml:space="preserve"> PAGEREF _Toc199923751 \h </w:instrText>
        </w:r>
        <w:r w:rsidR="00E615EC">
          <w:rPr>
            <w:noProof/>
            <w:webHidden/>
          </w:rPr>
        </w:r>
        <w:r w:rsidR="00E615EC">
          <w:rPr>
            <w:noProof/>
            <w:webHidden/>
          </w:rPr>
          <w:fldChar w:fldCharType="separate"/>
        </w:r>
        <w:r w:rsidR="00F73E7A">
          <w:rPr>
            <w:noProof/>
            <w:webHidden/>
          </w:rPr>
          <w:t>23</w:t>
        </w:r>
        <w:r w:rsidR="00E615EC">
          <w:rPr>
            <w:noProof/>
            <w:webHidden/>
          </w:rPr>
          <w:fldChar w:fldCharType="end"/>
        </w:r>
      </w:hyperlink>
    </w:p>
    <w:p w14:paraId="52B4687E" w14:textId="413E8C7D" w:rsidR="00E615EC" w:rsidRDefault="005558DF">
      <w:pPr>
        <w:pStyle w:val="TOC1"/>
        <w:rPr>
          <w:rFonts w:eastAsiaTheme="minorEastAsia"/>
          <w:noProof/>
          <w:lang w:eastAsia="en-GB"/>
        </w:rPr>
      </w:pPr>
      <w:hyperlink w:anchor="_Toc199923752" w:history="1">
        <w:r w:rsidR="00E615EC" w:rsidRPr="002A5FD7">
          <w:rPr>
            <w:rStyle w:val="Hyperlink"/>
            <w:noProof/>
          </w:rPr>
          <w:t>13.</w:t>
        </w:r>
        <w:r w:rsidR="00E615EC">
          <w:rPr>
            <w:rFonts w:eastAsiaTheme="minorEastAsia"/>
            <w:noProof/>
            <w:lang w:eastAsia="en-GB"/>
          </w:rPr>
          <w:tab/>
        </w:r>
        <w:r w:rsidR="00E615EC" w:rsidRPr="002A5FD7">
          <w:rPr>
            <w:rStyle w:val="Hyperlink"/>
            <w:noProof/>
          </w:rPr>
          <w:t>Policy Development, Approval and Authorisation</w:t>
        </w:r>
        <w:r w:rsidR="00E615EC">
          <w:rPr>
            <w:noProof/>
            <w:webHidden/>
          </w:rPr>
          <w:tab/>
        </w:r>
        <w:r w:rsidR="00E615EC">
          <w:rPr>
            <w:noProof/>
            <w:webHidden/>
          </w:rPr>
          <w:fldChar w:fldCharType="begin"/>
        </w:r>
        <w:r w:rsidR="00E615EC">
          <w:rPr>
            <w:noProof/>
            <w:webHidden/>
          </w:rPr>
          <w:instrText xml:space="preserve"> PAGEREF _Toc199923752 \h </w:instrText>
        </w:r>
        <w:r w:rsidR="00E615EC">
          <w:rPr>
            <w:noProof/>
            <w:webHidden/>
          </w:rPr>
        </w:r>
        <w:r w:rsidR="00E615EC">
          <w:rPr>
            <w:noProof/>
            <w:webHidden/>
          </w:rPr>
          <w:fldChar w:fldCharType="separate"/>
        </w:r>
        <w:r w:rsidR="00F73E7A">
          <w:rPr>
            <w:noProof/>
            <w:webHidden/>
          </w:rPr>
          <w:t>24</w:t>
        </w:r>
        <w:r w:rsidR="00E615EC">
          <w:rPr>
            <w:noProof/>
            <w:webHidden/>
          </w:rPr>
          <w:fldChar w:fldCharType="end"/>
        </w:r>
      </w:hyperlink>
    </w:p>
    <w:p w14:paraId="6E1982F0" w14:textId="464A781C" w:rsidR="00E615EC" w:rsidRDefault="005558DF">
      <w:pPr>
        <w:pStyle w:val="TOC1"/>
        <w:rPr>
          <w:rFonts w:eastAsiaTheme="minorEastAsia"/>
          <w:noProof/>
          <w:lang w:eastAsia="en-GB"/>
        </w:rPr>
      </w:pPr>
      <w:hyperlink w:anchor="_Toc199923753" w:history="1">
        <w:r w:rsidR="00E615EC" w:rsidRPr="002A5FD7">
          <w:rPr>
            <w:rStyle w:val="Hyperlink"/>
            <w:noProof/>
          </w:rPr>
          <w:t>14.</w:t>
        </w:r>
        <w:r w:rsidR="00E615EC">
          <w:rPr>
            <w:rFonts w:eastAsiaTheme="minorEastAsia"/>
            <w:noProof/>
            <w:lang w:eastAsia="en-GB"/>
          </w:rPr>
          <w:tab/>
        </w:r>
        <w:r w:rsidR="00E615EC" w:rsidRPr="002A5FD7">
          <w:rPr>
            <w:rStyle w:val="Hyperlink"/>
            <w:noProof/>
          </w:rPr>
          <w:t>Review and Revision Arrangements</w:t>
        </w:r>
        <w:r w:rsidR="00E615EC">
          <w:rPr>
            <w:noProof/>
            <w:webHidden/>
          </w:rPr>
          <w:tab/>
        </w:r>
        <w:r w:rsidR="00E615EC">
          <w:rPr>
            <w:noProof/>
            <w:webHidden/>
          </w:rPr>
          <w:fldChar w:fldCharType="begin"/>
        </w:r>
        <w:r w:rsidR="00E615EC">
          <w:rPr>
            <w:noProof/>
            <w:webHidden/>
          </w:rPr>
          <w:instrText xml:space="preserve"> PAGEREF _Toc199923753 \h </w:instrText>
        </w:r>
        <w:r w:rsidR="00E615EC">
          <w:rPr>
            <w:noProof/>
            <w:webHidden/>
          </w:rPr>
        </w:r>
        <w:r w:rsidR="00E615EC">
          <w:rPr>
            <w:noProof/>
            <w:webHidden/>
          </w:rPr>
          <w:fldChar w:fldCharType="separate"/>
        </w:r>
        <w:r w:rsidR="00F73E7A">
          <w:rPr>
            <w:noProof/>
            <w:webHidden/>
          </w:rPr>
          <w:t>24</w:t>
        </w:r>
        <w:r w:rsidR="00E615EC">
          <w:rPr>
            <w:noProof/>
            <w:webHidden/>
          </w:rPr>
          <w:fldChar w:fldCharType="end"/>
        </w:r>
      </w:hyperlink>
    </w:p>
    <w:p w14:paraId="63C110DE" w14:textId="5AFAA568" w:rsidR="00E615EC" w:rsidRDefault="005558DF">
      <w:pPr>
        <w:pStyle w:val="TOC1"/>
        <w:rPr>
          <w:rFonts w:eastAsiaTheme="minorEastAsia"/>
          <w:noProof/>
          <w:lang w:eastAsia="en-GB"/>
        </w:rPr>
      </w:pPr>
      <w:hyperlink w:anchor="_Toc199923754" w:history="1">
        <w:r w:rsidR="00E615EC" w:rsidRPr="002A5FD7">
          <w:rPr>
            <w:rStyle w:val="Hyperlink"/>
            <w:noProof/>
          </w:rPr>
          <w:t>15.</w:t>
        </w:r>
        <w:r w:rsidR="00E615EC">
          <w:rPr>
            <w:rFonts w:eastAsiaTheme="minorEastAsia"/>
            <w:noProof/>
            <w:lang w:eastAsia="en-GB"/>
          </w:rPr>
          <w:tab/>
        </w:r>
        <w:r w:rsidR="00E615EC" w:rsidRPr="002A5FD7">
          <w:rPr>
            <w:rStyle w:val="Hyperlink"/>
            <w:noProof/>
          </w:rPr>
          <w:t>Policy Implementation</w:t>
        </w:r>
        <w:r w:rsidR="00E615EC">
          <w:rPr>
            <w:noProof/>
            <w:webHidden/>
          </w:rPr>
          <w:tab/>
        </w:r>
        <w:r w:rsidR="00E615EC">
          <w:rPr>
            <w:noProof/>
            <w:webHidden/>
          </w:rPr>
          <w:fldChar w:fldCharType="begin"/>
        </w:r>
        <w:r w:rsidR="00E615EC">
          <w:rPr>
            <w:noProof/>
            <w:webHidden/>
          </w:rPr>
          <w:instrText xml:space="preserve"> PAGEREF _Toc199923754 \h </w:instrText>
        </w:r>
        <w:r w:rsidR="00E615EC">
          <w:rPr>
            <w:noProof/>
            <w:webHidden/>
          </w:rPr>
        </w:r>
        <w:r w:rsidR="00E615EC">
          <w:rPr>
            <w:noProof/>
            <w:webHidden/>
          </w:rPr>
          <w:fldChar w:fldCharType="separate"/>
        </w:r>
        <w:r w:rsidR="00F73E7A">
          <w:rPr>
            <w:noProof/>
            <w:webHidden/>
          </w:rPr>
          <w:t>24</w:t>
        </w:r>
        <w:r w:rsidR="00E615EC">
          <w:rPr>
            <w:noProof/>
            <w:webHidden/>
          </w:rPr>
          <w:fldChar w:fldCharType="end"/>
        </w:r>
      </w:hyperlink>
    </w:p>
    <w:p w14:paraId="00B11335" w14:textId="7797A2D5" w:rsidR="00E615EC" w:rsidRDefault="005558DF">
      <w:pPr>
        <w:pStyle w:val="TOC1"/>
        <w:rPr>
          <w:rFonts w:eastAsiaTheme="minorEastAsia"/>
          <w:noProof/>
          <w:lang w:eastAsia="en-GB"/>
        </w:rPr>
      </w:pPr>
      <w:hyperlink w:anchor="_Toc199923755" w:history="1">
        <w:r w:rsidR="00E615EC" w:rsidRPr="002A5FD7">
          <w:rPr>
            <w:rStyle w:val="Hyperlink"/>
            <w:noProof/>
          </w:rPr>
          <w:t>16.</w:t>
        </w:r>
        <w:r w:rsidR="00E615EC">
          <w:rPr>
            <w:rFonts w:eastAsiaTheme="minorEastAsia"/>
            <w:noProof/>
            <w:lang w:eastAsia="en-GB"/>
          </w:rPr>
          <w:tab/>
        </w:r>
        <w:r w:rsidR="00E615EC" w:rsidRPr="002A5FD7">
          <w:rPr>
            <w:rStyle w:val="Hyperlink"/>
            <w:noProof/>
          </w:rPr>
          <w:t>Document Control including Archiving Arrangements</w:t>
        </w:r>
        <w:r w:rsidR="00E615EC">
          <w:rPr>
            <w:noProof/>
            <w:webHidden/>
          </w:rPr>
          <w:tab/>
        </w:r>
        <w:r w:rsidR="00E615EC">
          <w:rPr>
            <w:noProof/>
            <w:webHidden/>
          </w:rPr>
          <w:fldChar w:fldCharType="begin"/>
        </w:r>
        <w:r w:rsidR="00E615EC">
          <w:rPr>
            <w:noProof/>
            <w:webHidden/>
          </w:rPr>
          <w:instrText xml:space="preserve"> PAGEREF _Toc199923755 \h </w:instrText>
        </w:r>
        <w:r w:rsidR="00E615EC">
          <w:rPr>
            <w:noProof/>
            <w:webHidden/>
          </w:rPr>
        </w:r>
        <w:r w:rsidR="00E615EC">
          <w:rPr>
            <w:noProof/>
            <w:webHidden/>
          </w:rPr>
          <w:fldChar w:fldCharType="separate"/>
        </w:r>
        <w:r w:rsidR="00F73E7A">
          <w:rPr>
            <w:noProof/>
            <w:webHidden/>
          </w:rPr>
          <w:t>24</w:t>
        </w:r>
        <w:r w:rsidR="00E615EC">
          <w:rPr>
            <w:noProof/>
            <w:webHidden/>
          </w:rPr>
          <w:fldChar w:fldCharType="end"/>
        </w:r>
      </w:hyperlink>
    </w:p>
    <w:p w14:paraId="243A83B7" w14:textId="00E58973" w:rsidR="00E615EC" w:rsidRDefault="005558DF">
      <w:pPr>
        <w:pStyle w:val="TOC1"/>
        <w:rPr>
          <w:rFonts w:eastAsiaTheme="minorEastAsia"/>
          <w:noProof/>
          <w:lang w:eastAsia="en-GB"/>
        </w:rPr>
      </w:pPr>
      <w:hyperlink w:anchor="_Toc199923756" w:history="1">
        <w:r w:rsidR="00E615EC" w:rsidRPr="002A5FD7">
          <w:rPr>
            <w:rStyle w:val="Hyperlink"/>
            <w:noProof/>
          </w:rPr>
          <w:t>17.</w:t>
        </w:r>
        <w:r w:rsidR="00E615EC">
          <w:rPr>
            <w:rFonts w:eastAsiaTheme="minorEastAsia"/>
            <w:noProof/>
            <w:lang w:eastAsia="en-GB"/>
          </w:rPr>
          <w:tab/>
        </w:r>
        <w:r w:rsidR="00E615EC" w:rsidRPr="002A5FD7">
          <w:rPr>
            <w:rStyle w:val="Hyperlink"/>
            <w:noProof/>
          </w:rPr>
          <w:t>Monitoring and Assurance</w:t>
        </w:r>
        <w:r w:rsidR="00E615EC">
          <w:rPr>
            <w:noProof/>
            <w:webHidden/>
          </w:rPr>
          <w:tab/>
        </w:r>
        <w:r w:rsidR="00E615EC">
          <w:rPr>
            <w:noProof/>
            <w:webHidden/>
          </w:rPr>
          <w:fldChar w:fldCharType="begin"/>
        </w:r>
        <w:r w:rsidR="00E615EC">
          <w:rPr>
            <w:noProof/>
            <w:webHidden/>
          </w:rPr>
          <w:instrText xml:space="preserve"> PAGEREF _Toc199923756 \h </w:instrText>
        </w:r>
        <w:r w:rsidR="00E615EC">
          <w:rPr>
            <w:noProof/>
            <w:webHidden/>
          </w:rPr>
        </w:r>
        <w:r w:rsidR="00E615EC">
          <w:rPr>
            <w:noProof/>
            <w:webHidden/>
          </w:rPr>
          <w:fldChar w:fldCharType="separate"/>
        </w:r>
        <w:r w:rsidR="00F73E7A">
          <w:rPr>
            <w:noProof/>
            <w:webHidden/>
          </w:rPr>
          <w:t>24</w:t>
        </w:r>
        <w:r w:rsidR="00E615EC">
          <w:rPr>
            <w:noProof/>
            <w:webHidden/>
          </w:rPr>
          <w:fldChar w:fldCharType="end"/>
        </w:r>
      </w:hyperlink>
    </w:p>
    <w:p w14:paraId="73DBC471" w14:textId="496A773E" w:rsidR="00E615EC" w:rsidRDefault="005558DF">
      <w:pPr>
        <w:pStyle w:val="TOC1"/>
        <w:rPr>
          <w:rFonts w:eastAsiaTheme="minorEastAsia"/>
          <w:noProof/>
          <w:lang w:eastAsia="en-GB"/>
        </w:rPr>
      </w:pPr>
      <w:hyperlink w:anchor="_Toc199923757" w:history="1">
        <w:r w:rsidR="00E615EC" w:rsidRPr="002A5FD7">
          <w:rPr>
            <w:rStyle w:val="Hyperlink"/>
            <w:noProof/>
          </w:rPr>
          <w:t>18.</w:t>
        </w:r>
        <w:r w:rsidR="00E615EC">
          <w:rPr>
            <w:rFonts w:eastAsiaTheme="minorEastAsia"/>
            <w:noProof/>
            <w:lang w:eastAsia="en-GB"/>
          </w:rPr>
          <w:tab/>
        </w:r>
        <w:r w:rsidR="00E615EC" w:rsidRPr="002A5FD7">
          <w:rPr>
            <w:rStyle w:val="Hyperlink"/>
            <w:noProof/>
          </w:rPr>
          <w:t>References</w:t>
        </w:r>
        <w:r w:rsidR="00E615EC">
          <w:rPr>
            <w:noProof/>
            <w:webHidden/>
          </w:rPr>
          <w:tab/>
        </w:r>
        <w:r w:rsidR="00E615EC">
          <w:rPr>
            <w:noProof/>
            <w:webHidden/>
          </w:rPr>
          <w:fldChar w:fldCharType="begin"/>
        </w:r>
        <w:r w:rsidR="00E615EC">
          <w:rPr>
            <w:noProof/>
            <w:webHidden/>
          </w:rPr>
          <w:instrText xml:space="preserve"> PAGEREF _Toc199923757 \h </w:instrText>
        </w:r>
        <w:r w:rsidR="00E615EC">
          <w:rPr>
            <w:noProof/>
            <w:webHidden/>
          </w:rPr>
        </w:r>
        <w:r w:rsidR="00E615EC">
          <w:rPr>
            <w:noProof/>
            <w:webHidden/>
          </w:rPr>
          <w:fldChar w:fldCharType="separate"/>
        </w:r>
        <w:r w:rsidR="00F73E7A">
          <w:rPr>
            <w:noProof/>
            <w:webHidden/>
          </w:rPr>
          <w:t>26</w:t>
        </w:r>
        <w:r w:rsidR="00E615EC">
          <w:rPr>
            <w:noProof/>
            <w:webHidden/>
          </w:rPr>
          <w:fldChar w:fldCharType="end"/>
        </w:r>
      </w:hyperlink>
    </w:p>
    <w:p w14:paraId="510C1AE6" w14:textId="47FD2D33" w:rsidR="00E615EC" w:rsidRDefault="005558DF">
      <w:pPr>
        <w:pStyle w:val="TOC1"/>
        <w:rPr>
          <w:rFonts w:eastAsiaTheme="minorEastAsia"/>
          <w:noProof/>
          <w:lang w:eastAsia="en-GB"/>
        </w:rPr>
      </w:pPr>
      <w:hyperlink w:anchor="_Toc199923758" w:history="1">
        <w:r w:rsidR="00E615EC" w:rsidRPr="002A5FD7">
          <w:rPr>
            <w:rStyle w:val="Hyperlink"/>
            <w:noProof/>
          </w:rPr>
          <w:t>19.</w:t>
        </w:r>
        <w:r w:rsidR="00E615EC">
          <w:rPr>
            <w:rFonts w:eastAsiaTheme="minorEastAsia"/>
            <w:noProof/>
            <w:lang w:eastAsia="en-GB"/>
          </w:rPr>
          <w:tab/>
        </w:r>
        <w:r w:rsidR="00E615EC" w:rsidRPr="002A5FD7">
          <w:rPr>
            <w:rStyle w:val="Hyperlink"/>
            <w:noProof/>
          </w:rPr>
          <w:t>Appendices</w:t>
        </w:r>
        <w:r w:rsidR="00E615EC">
          <w:rPr>
            <w:noProof/>
            <w:webHidden/>
          </w:rPr>
          <w:tab/>
        </w:r>
        <w:r w:rsidR="00E615EC">
          <w:rPr>
            <w:noProof/>
            <w:webHidden/>
          </w:rPr>
          <w:fldChar w:fldCharType="begin"/>
        </w:r>
        <w:r w:rsidR="00E615EC">
          <w:rPr>
            <w:noProof/>
            <w:webHidden/>
          </w:rPr>
          <w:instrText xml:space="preserve"> PAGEREF _Toc199923758 \h </w:instrText>
        </w:r>
        <w:r w:rsidR="00E615EC">
          <w:rPr>
            <w:noProof/>
            <w:webHidden/>
          </w:rPr>
        </w:r>
        <w:r w:rsidR="00E615EC">
          <w:rPr>
            <w:noProof/>
            <w:webHidden/>
          </w:rPr>
          <w:fldChar w:fldCharType="separate"/>
        </w:r>
        <w:r w:rsidR="00F73E7A">
          <w:rPr>
            <w:noProof/>
            <w:webHidden/>
          </w:rPr>
          <w:t>26</w:t>
        </w:r>
        <w:r w:rsidR="00E615EC">
          <w:rPr>
            <w:noProof/>
            <w:webHidden/>
          </w:rPr>
          <w:fldChar w:fldCharType="end"/>
        </w:r>
      </w:hyperlink>
    </w:p>
    <w:p w14:paraId="5870C4BE" w14:textId="6EEEF333" w:rsidR="00E615EC" w:rsidRDefault="005558DF">
      <w:pPr>
        <w:pStyle w:val="TOC2"/>
        <w:rPr>
          <w:rFonts w:eastAsiaTheme="minorEastAsia"/>
          <w:noProof/>
          <w:lang w:eastAsia="en-GB"/>
        </w:rPr>
      </w:pPr>
      <w:hyperlink w:anchor="_Toc199923759" w:history="1">
        <w:r w:rsidR="00E615EC" w:rsidRPr="002A5FD7">
          <w:rPr>
            <w:rStyle w:val="Hyperlink"/>
            <w:noProof/>
            <w:lang w:val="en"/>
          </w:rPr>
          <w:t>Appendix 1: Incident Response Decision Making Flowchart</w:t>
        </w:r>
        <w:r w:rsidR="00E615EC">
          <w:rPr>
            <w:noProof/>
            <w:webHidden/>
          </w:rPr>
          <w:tab/>
        </w:r>
        <w:r w:rsidR="00E615EC">
          <w:rPr>
            <w:noProof/>
            <w:webHidden/>
          </w:rPr>
          <w:fldChar w:fldCharType="begin"/>
        </w:r>
        <w:r w:rsidR="00E615EC">
          <w:rPr>
            <w:noProof/>
            <w:webHidden/>
          </w:rPr>
          <w:instrText xml:space="preserve"> PAGEREF _Toc199923759 \h </w:instrText>
        </w:r>
        <w:r w:rsidR="00E615EC">
          <w:rPr>
            <w:noProof/>
            <w:webHidden/>
          </w:rPr>
        </w:r>
        <w:r w:rsidR="00E615EC">
          <w:rPr>
            <w:noProof/>
            <w:webHidden/>
          </w:rPr>
          <w:fldChar w:fldCharType="separate"/>
        </w:r>
        <w:r w:rsidR="00F73E7A">
          <w:rPr>
            <w:noProof/>
            <w:webHidden/>
          </w:rPr>
          <w:t>27</w:t>
        </w:r>
        <w:r w:rsidR="00E615EC">
          <w:rPr>
            <w:noProof/>
            <w:webHidden/>
          </w:rPr>
          <w:fldChar w:fldCharType="end"/>
        </w:r>
      </w:hyperlink>
    </w:p>
    <w:p w14:paraId="79388908" w14:textId="288F162C" w:rsidR="00E615EC" w:rsidRDefault="005558DF">
      <w:pPr>
        <w:pStyle w:val="TOC2"/>
        <w:rPr>
          <w:rFonts w:eastAsiaTheme="minorEastAsia"/>
          <w:noProof/>
          <w:lang w:eastAsia="en-GB"/>
        </w:rPr>
      </w:pPr>
      <w:hyperlink w:anchor="_Toc199923760" w:history="1">
        <w:r w:rsidR="00E615EC" w:rsidRPr="002A5FD7">
          <w:rPr>
            <w:rStyle w:val="Hyperlink"/>
            <w:noProof/>
            <w:lang w:val="en"/>
          </w:rPr>
          <w:t>Appendix 2 – Equality Analysis</w:t>
        </w:r>
        <w:r w:rsidR="00E615EC">
          <w:rPr>
            <w:noProof/>
            <w:webHidden/>
          </w:rPr>
          <w:tab/>
        </w:r>
        <w:r w:rsidR="00E615EC">
          <w:rPr>
            <w:noProof/>
            <w:webHidden/>
          </w:rPr>
          <w:fldChar w:fldCharType="begin"/>
        </w:r>
        <w:r w:rsidR="00E615EC">
          <w:rPr>
            <w:noProof/>
            <w:webHidden/>
          </w:rPr>
          <w:instrText xml:space="preserve"> PAGEREF _Toc199923760 \h </w:instrText>
        </w:r>
        <w:r w:rsidR="00E615EC">
          <w:rPr>
            <w:noProof/>
            <w:webHidden/>
          </w:rPr>
        </w:r>
        <w:r w:rsidR="00E615EC">
          <w:rPr>
            <w:noProof/>
            <w:webHidden/>
          </w:rPr>
          <w:fldChar w:fldCharType="separate"/>
        </w:r>
        <w:r w:rsidR="00F73E7A">
          <w:rPr>
            <w:noProof/>
            <w:webHidden/>
          </w:rPr>
          <w:t>28</w:t>
        </w:r>
        <w:r w:rsidR="00E615EC">
          <w:rPr>
            <w:noProof/>
            <w:webHidden/>
          </w:rPr>
          <w:fldChar w:fldCharType="end"/>
        </w:r>
      </w:hyperlink>
    </w:p>
    <w:p w14:paraId="08EDFA36" w14:textId="5248A091" w:rsidR="00E615EC" w:rsidRDefault="005558DF">
      <w:pPr>
        <w:pStyle w:val="TOC2"/>
        <w:rPr>
          <w:rFonts w:eastAsiaTheme="minorEastAsia"/>
          <w:noProof/>
          <w:lang w:eastAsia="en-GB"/>
        </w:rPr>
      </w:pPr>
      <w:hyperlink w:anchor="_Toc199923761" w:history="1">
        <w:r w:rsidR="00E615EC" w:rsidRPr="002A5FD7">
          <w:rPr>
            <w:rStyle w:val="Hyperlink"/>
            <w:noProof/>
          </w:rPr>
          <w:t>Appendix 3 – Policy Implementation Plan</w:t>
        </w:r>
        <w:r w:rsidR="00E615EC">
          <w:rPr>
            <w:noProof/>
            <w:webHidden/>
          </w:rPr>
          <w:tab/>
        </w:r>
        <w:r w:rsidR="00E615EC">
          <w:rPr>
            <w:noProof/>
            <w:webHidden/>
          </w:rPr>
          <w:fldChar w:fldCharType="begin"/>
        </w:r>
        <w:r w:rsidR="00E615EC">
          <w:rPr>
            <w:noProof/>
            <w:webHidden/>
          </w:rPr>
          <w:instrText xml:space="preserve"> PAGEREF _Toc199923761 \h </w:instrText>
        </w:r>
        <w:r w:rsidR="00E615EC">
          <w:rPr>
            <w:noProof/>
            <w:webHidden/>
          </w:rPr>
        </w:r>
        <w:r w:rsidR="00E615EC">
          <w:rPr>
            <w:noProof/>
            <w:webHidden/>
          </w:rPr>
          <w:fldChar w:fldCharType="separate"/>
        </w:r>
        <w:r w:rsidR="00F73E7A">
          <w:rPr>
            <w:noProof/>
            <w:webHidden/>
          </w:rPr>
          <w:t>33</w:t>
        </w:r>
        <w:r w:rsidR="00E615EC">
          <w:rPr>
            <w:noProof/>
            <w:webHidden/>
          </w:rPr>
          <w:fldChar w:fldCharType="end"/>
        </w:r>
      </w:hyperlink>
    </w:p>
    <w:p w14:paraId="2A61BEE9" w14:textId="77777777" w:rsidR="004F139F" w:rsidRDefault="000A1E88" w:rsidP="00C004A5">
      <w:pPr>
        <w:rPr>
          <w:noProof/>
        </w:rPr>
      </w:pPr>
      <w:r>
        <w:rPr>
          <w:noProof/>
        </w:rPr>
        <w:fldChar w:fldCharType="end"/>
      </w:r>
    </w:p>
    <w:p w14:paraId="02E5A71F" w14:textId="77777777" w:rsidR="00C004A5" w:rsidRPr="00C004A5" w:rsidRDefault="00C004A5" w:rsidP="00C004A5">
      <w:pPr>
        <w:rPr>
          <w:noProof/>
          <w:color w:val="FF0000"/>
        </w:rPr>
      </w:pPr>
    </w:p>
    <w:p w14:paraId="3F4905C3" w14:textId="77777777" w:rsidR="00C004A5" w:rsidRPr="002D69EB" w:rsidRDefault="00C004A5" w:rsidP="00B932B0">
      <w:pPr>
        <w:spacing w:before="120" w:after="120"/>
        <w:rPr>
          <w:bCs/>
          <w:noProof/>
          <w:color w:val="FF0000"/>
        </w:rPr>
      </w:pPr>
    </w:p>
    <w:p w14:paraId="6F6ED7D7" w14:textId="77777777" w:rsidR="005B39AA" w:rsidRDefault="004F139F" w:rsidP="007E7332">
      <w:pPr>
        <w:pStyle w:val="Policyheader"/>
      </w:pPr>
      <w:r>
        <w:br w:type="page"/>
      </w:r>
      <w:bookmarkStart w:id="1" w:name="_Toc523986721"/>
      <w:bookmarkStart w:id="2" w:name="_Toc199923740"/>
      <w:r w:rsidR="00717CAE" w:rsidRPr="00E83D92">
        <w:lastRenderedPageBreak/>
        <w:t>Policy</w:t>
      </w:r>
      <w:r w:rsidR="00486418" w:rsidRPr="005B39AA">
        <w:t xml:space="preserve"> </w:t>
      </w:r>
      <w:bookmarkEnd w:id="1"/>
      <w:r w:rsidR="00095C83" w:rsidRPr="007E7332">
        <w:t>Description</w:t>
      </w:r>
      <w:bookmarkEnd w:id="2"/>
    </w:p>
    <w:p w14:paraId="0A5B4753" w14:textId="4D1107B9" w:rsidR="00E225CB" w:rsidRPr="00BB6B7A" w:rsidRDefault="00036316" w:rsidP="004232AF">
      <w:pPr>
        <w:pStyle w:val="Policybulletlevel2"/>
        <w:ind w:hanging="792"/>
        <w:rPr>
          <w:szCs w:val="24"/>
        </w:rPr>
      </w:pPr>
      <w:r w:rsidRPr="00036316">
        <w:t xml:space="preserve">The </w:t>
      </w:r>
      <w:r w:rsidRPr="00BB6B7A">
        <w:rPr>
          <w:szCs w:val="24"/>
        </w:rPr>
        <w:t xml:space="preserve">aim of this policy is </w:t>
      </w:r>
      <w:r w:rsidR="009D66BB">
        <w:rPr>
          <w:szCs w:val="24"/>
        </w:rPr>
        <w:t>to deliver the</w:t>
      </w:r>
      <w:r w:rsidRPr="00BB6B7A">
        <w:rPr>
          <w:szCs w:val="24"/>
        </w:rPr>
        <w:t xml:space="preserve"> requirements of the Patient Safety Incident Response Framework (PSIRF)</w:t>
      </w:r>
      <w:r w:rsidR="004463EE" w:rsidRPr="00BB6B7A">
        <w:rPr>
          <w:szCs w:val="24"/>
        </w:rPr>
        <w:t xml:space="preserve"> (2022</w:t>
      </w:r>
      <w:r w:rsidR="003077CB">
        <w:rPr>
          <w:szCs w:val="24"/>
        </w:rPr>
        <w:t>b</w:t>
      </w:r>
      <w:r w:rsidR="004463EE" w:rsidRPr="00BB6B7A">
        <w:rPr>
          <w:szCs w:val="24"/>
        </w:rPr>
        <w:t>)</w:t>
      </w:r>
      <w:r w:rsidRPr="00BB6B7A">
        <w:rPr>
          <w:szCs w:val="24"/>
        </w:rPr>
        <w:t>.</w:t>
      </w:r>
    </w:p>
    <w:p w14:paraId="485F791B" w14:textId="1E7214A2" w:rsidR="00036316" w:rsidRDefault="00036316" w:rsidP="004232AF">
      <w:pPr>
        <w:pStyle w:val="Policybulletlevel2"/>
        <w:ind w:hanging="792"/>
      </w:pPr>
      <w:r w:rsidRPr="00BB6B7A">
        <w:rPr>
          <w:szCs w:val="24"/>
        </w:rPr>
        <w:t xml:space="preserve">This policy sets out the approach of East Kent Hospitals University NHS </w:t>
      </w:r>
      <w:r w:rsidRPr="004232AF">
        <w:t>Foundation</w:t>
      </w:r>
      <w:r w:rsidRPr="00036316">
        <w:t xml:space="preserve"> Trust </w:t>
      </w:r>
      <w:r w:rsidR="00EC7C29">
        <w:t xml:space="preserve">(“the Trust”) </w:t>
      </w:r>
      <w:r w:rsidRPr="00036316">
        <w:t>to developing and maintaining effective systems and processes for responding to patient safety incidents. The purpose of which is to ensure learning and improvement in patient safety</w:t>
      </w:r>
      <w:r>
        <w:t>.</w:t>
      </w:r>
    </w:p>
    <w:p w14:paraId="6ACBE423" w14:textId="77777777" w:rsidR="00DB00E3" w:rsidRDefault="00DB00E3" w:rsidP="007E7332">
      <w:pPr>
        <w:pStyle w:val="Policyheader"/>
      </w:pPr>
      <w:bookmarkStart w:id="3" w:name="_Toc199923741"/>
      <w:r>
        <w:t>Introduction</w:t>
      </w:r>
      <w:bookmarkEnd w:id="3"/>
    </w:p>
    <w:p w14:paraId="2AFBFA44" w14:textId="02EB9A17" w:rsidR="009F1E67" w:rsidRPr="00BB6B7A" w:rsidRDefault="00036316" w:rsidP="004232AF">
      <w:pPr>
        <w:pStyle w:val="Policybulletlevel2"/>
        <w:ind w:hanging="792"/>
        <w:rPr>
          <w:szCs w:val="24"/>
        </w:rPr>
      </w:pPr>
      <w:r w:rsidRPr="00EB6E4F">
        <w:rPr>
          <w:szCs w:val="24"/>
        </w:rPr>
        <w:t xml:space="preserve">PSIRF advocates a co-ordinated and data-driven response to patient safety </w:t>
      </w:r>
      <w:r w:rsidRPr="004232AF">
        <w:t>incidents</w:t>
      </w:r>
      <w:r w:rsidRPr="00EB6E4F">
        <w:rPr>
          <w:szCs w:val="24"/>
        </w:rPr>
        <w:t xml:space="preserve">. It embeds </w:t>
      </w:r>
      <w:r w:rsidR="009D66BB">
        <w:rPr>
          <w:szCs w:val="24"/>
        </w:rPr>
        <w:t xml:space="preserve">the response to </w:t>
      </w:r>
      <w:r w:rsidRPr="00EB6E4F">
        <w:rPr>
          <w:szCs w:val="24"/>
        </w:rPr>
        <w:t>patient safety incident</w:t>
      </w:r>
      <w:r w:rsidR="009D66BB">
        <w:rPr>
          <w:szCs w:val="24"/>
        </w:rPr>
        <w:t>s</w:t>
      </w:r>
      <w:r w:rsidRPr="00EB6E4F">
        <w:rPr>
          <w:szCs w:val="24"/>
        </w:rPr>
        <w:t xml:space="preserve"> within a wider system of improvement and prompts a significant cultural shift towards systematic patient safety management</w:t>
      </w:r>
      <w:r>
        <w:rPr>
          <w:szCs w:val="24"/>
        </w:rPr>
        <w:t>.</w:t>
      </w:r>
    </w:p>
    <w:p w14:paraId="6629A864" w14:textId="7BCED8EB" w:rsidR="004463EE" w:rsidRPr="004463EE" w:rsidRDefault="004463EE" w:rsidP="004232AF">
      <w:pPr>
        <w:pStyle w:val="Policybulletlevel2"/>
        <w:ind w:hanging="792"/>
      </w:pPr>
      <w:r w:rsidRPr="00EB6E4F">
        <w:rPr>
          <w:szCs w:val="24"/>
        </w:rPr>
        <w:t>This policy supports the development and maintenance of an effective patient safety incident response system that integrates the four key aims of PSIRF</w:t>
      </w:r>
      <w:r>
        <w:rPr>
          <w:szCs w:val="24"/>
        </w:rPr>
        <w:t>:</w:t>
      </w:r>
    </w:p>
    <w:p w14:paraId="46354BDE" w14:textId="05603F60" w:rsidR="004463EE" w:rsidRDefault="009D66BB" w:rsidP="00BB6B7A">
      <w:pPr>
        <w:pStyle w:val="PolicybulletLevel3"/>
        <w:ind w:left="1701" w:hanging="850"/>
      </w:pPr>
      <w:r>
        <w:t>C</w:t>
      </w:r>
      <w:r w:rsidR="004463EE">
        <w:t>ompassionate engagement and involvement of those affected by patient safety incidents</w:t>
      </w:r>
      <w:r>
        <w:t>.</w:t>
      </w:r>
    </w:p>
    <w:p w14:paraId="05AC5FE4" w14:textId="20215EF0" w:rsidR="004463EE" w:rsidRDefault="009D66BB" w:rsidP="00BB6B7A">
      <w:pPr>
        <w:pStyle w:val="PolicybulletLevel3"/>
        <w:ind w:left="1701" w:hanging="850"/>
      </w:pPr>
      <w:r>
        <w:t>A</w:t>
      </w:r>
      <w:r w:rsidR="004463EE">
        <w:t>pplication of a range of system-based approaches to learning from patient safety incidents</w:t>
      </w:r>
      <w:r>
        <w:t>.</w:t>
      </w:r>
      <w:r w:rsidR="004463EE">
        <w:t xml:space="preserve"> </w:t>
      </w:r>
    </w:p>
    <w:p w14:paraId="40E751F2" w14:textId="61EBF943" w:rsidR="004463EE" w:rsidRDefault="009D66BB" w:rsidP="00BB6B7A">
      <w:pPr>
        <w:pStyle w:val="PolicybulletLevel3"/>
        <w:ind w:left="1701" w:hanging="850"/>
      </w:pPr>
      <w:r>
        <w:t>C</w:t>
      </w:r>
      <w:r w:rsidR="004463EE">
        <w:t>onsidered and proportionate responses to patient safety incidents and safety issues</w:t>
      </w:r>
      <w:r>
        <w:t>.</w:t>
      </w:r>
      <w:r w:rsidR="004463EE">
        <w:t xml:space="preserve"> </w:t>
      </w:r>
    </w:p>
    <w:p w14:paraId="615B36A7" w14:textId="389A2869" w:rsidR="004463EE" w:rsidRPr="00023206" w:rsidRDefault="009D66BB" w:rsidP="00BB6B7A">
      <w:pPr>
        <w:pStyle w:val="PolicybulletLevel3"/>
        <w:ind w:left="1701" w:hanging="850"/>
      </w:pPr>
      <w:r>
        <w:t>S</w:t>
      </w:r>
      <w:r w:rsidR="004463EE">
        <w:t>upportive oversight focused on strengthening response system functioning and improvement.</w:t>
      </w:r>
    </w:p>
    <w:p w14:paraId="1FBCDDBE" w14:textId="77777777" w:rsidR="00EB1617" w:rsidRDefault="00EB1617" w:rsidP="007E7332">
      <w:pPr>
        <w:pStyle w:val="Policyheader"/>
      </w:pPr>
      <w:bookmarkStart w:id="4" w:name="_Toc199923742"/>
      <w:r>
        <w:t>Definitions</w:t>
      </w:r>
      <w:bookmarkEnd w:id="4"/>
    </w:p>
    <w:p w14:paraId="69891F7D" w14:textId="027BBBFB" w:rsidR="003F5851" w:rsidRPr="003F5851" w:rsidRDefault="00B43A77" w:rsidP="004232AF">
      <w:pPr>
        <w:pStyle w:val="Policybulletlevel2"/>
        <w:ind w:hanging="792"/>
        <w:rPr>
          <w:szCs w:val="24"/>
        </w:rPr>
      </w:pPr>
      <w:r w:rsidRPr="00BB6B7A">
        <w:rPr>
          <w:szCs w:val="24"/>
        </w:rPr>
        <w:t>Being</w:t>
      </w:r>
      <w:r w:rsidR="00854EF3">
        <w:rPr>
          <w:szCs w:val="24"/>
        </w:rPr>
        <w:t xml:space="preserve"> fair </w:t>
      </w:r>
      <w:r w:rsidR="00C1401B">
        <w:rPr>
          <w:szCs w:val="24"/>
        </w:rPr>
        <w:t>(NHSE, 2025</w:t>
      </w:r>
      <w:r w:rsidR="002733B8">
        <w:rPr>
          <w:szCs w:val="24"/>
        </w:rPr>
        <w:t>a</w:t>
      </w:r>
      <w:r w:rsidR="00C1401B">
        <w:rPr>
          <w:szCs w:val="24"/>
        </w:rPr>
        <w:t xml:space="preserve">) </w:t>
      </w:r>
      <w:r w:rsidR="00EC25E5">
        <w:rPr>
          <w:szCs w:val="24"/>
        </w:rPr>
        <w:t xml:space="preserve">is </w:t>
      </w:r>
      <w:r w:rsidR="00854EF3">
        <w:rPr>
          <w:szCs w:val="24"/>
        </w:rPr>
        <w:t>a tool that supports decision making for patient safety incidents to ensure that staff are treated fairly.</w:t>
      </w:r>
    </w:p>
    <w:p w14:paraId="7D3B2B13" w14:textId="0DCB2808" w:rsidR="00F10D6E" w:rsidRDefault="00F10D6E" w:rsidP="004232AF">
      <w:pPr>
        <w:pStyle w:val="Policybulletlevel2"/>
        <w:ind w:hanging="792"/>
        <w:rPr>
          <w:szCs w:val="24"/>
        </w:rPr>
      </w:pPr>
      <w:r w:rsidRPr="00F10D6E">
        <w:rPr>
          <w:szCs w:val="24"/>
        </w:rPr>
        <w:t>Learn from Patient Safety Events (L</w:t>
      </w:r>
      <w:r w:rsidR="00C1401B">
        <w:rPr>
          <w:szCs w:val="24"/>
        </w:rPr>
        <w:t>F</w:t>
      </w:r>
      <w:r w:rsidRPr="00F10D6E">
        <w:rPr>
          <w:szCs w:val="24"/>
        </w:rPr>
        <w:t>PSE) service is a national NHS system for the recording and analysis of patient safety events that occur in healthcare. Patient Safety Events recorded on the Trust Local Risk Management System (LRMS) are automatically uploaded to the L</w:t>
      </w:r>
      <w:r w:rsidR="00C1401B">
        <w:rPr>
          <w:szCs w:val="24"/>
        </w:rPr>
        <w:t>F</w:t>
      </w:r>
      <w:r w:rsidRPr="00F10D6E">
        <w:rPr>
          <w:szCs w:val="24"/>
        </w:rPr>
        <w:t>PSE service.</w:t>
      </w:r>
    </w:p>
    <w:p w14:paraId="09A53B67" w14:textId="54EF1772" w:rsidR="00B43A77" w:rsidRPr="00BB6B7A" w:rsidRDefault="00B43A77" w:rsidP="004232AF">
      <w:pPr>
        <w:pStyle w:val="Policybulletlevel2"/>
        <w:ind w:hanging="792"/>
        <w:rPr>
          <w:szCs w:val="24"/>
        </w:rPr>
      </w:pPr>
      <w:r w:rsidRPr="00BB6B7A">
        <w:rPr>
          <w:szCs w:val="24"/>
        </w:rPr>
        <w:t>Learning response</w:t>
      </w:r>
      <w:r w:rsidR="00A3225C">
        <w:rPr>
          <w:szCs w:val="24"/>
        </w:rPr>
        <w:t xml:space="preserve">, </w:t>
      </w:r>
      <w:r>
        <w:rPr>
          <w:szCs w:val="24"/>
        </w:rPr>
        <w:t xml:space="preserve">a system-based approach for learning from patient safety incidents. This includes Patient Safety </w:t>
      </w:r>
      <w:r w:rsidR="00C1401B">
        <w:rPr>
          <w:szCs w:val="24"/>
        </w:rPr>
        <w:t xml:space="preserve">Incident </w:t>
      </w:r>
      <w:r>
        <w:rPr>
          <w:szCs w:val="24"/>
        </w:rPr>
        <w:t xml:space="preserve">Investigation, After Action Review, Swarm huddle, Multidisciplinary Team Review, Thematic Review, exploration of daily work and </w:t>
      </w:r>
      <w:r w:rsidR="00C1401B">
        <w:rPr>
          <w:szCs w:val="24"/>
        </w:rPr>
        <w:t xml:space="preserve">the application of </w:t>
      </w:r>
      <w:r>
        <w:rPr>
          <w:szCs w:val="24"/>
        </w:rPr>
        <w:t>improvement tools.</w:t>
      </w:r>
    </w:p>
    <w:p w14:paraId="5E625667" w14:textId="11C44F82" w:rsidR="00F10D6E" w:rsidRDefault="00F10D6E" w:rsidP="004232AF">
      <w:pPr>
        <w:pStyle w:val="Policybulletlevel2"/>
        <w:ind w:hanging="792"/>
        <w:rPr>
          <w:szCs w:val="24"/>
        </w:rPr>
      </w:pPr>
      <w:r>
        <w:rPr>
          <w:szCs w:val="24"/>
        </w:rPr>
        <w:t>Local Risk Management System</w:t>
      </w:r>
      <w:r w:rsidR="00C1401B">
        <w:rPr>
          <w:szCs w:val="24"/>
        </w:rPr>
        <w:t xml:space="preserve"> (LRMS)</w:t>
      </w:r>
      <w:r>
        <w:rPr>
          <w:szCs w:val="24"/>
        </w:rPr>
        <w:t xml:space="preserve"> – information management system used within the Trust to, amongst other functions, report</w:t>
      </w:r>
      <w:r w:rsidR="006C6AA5">
        <w:rPr>
          <w:szCs w:val="24"/>
        </w:rPr>
        <w:t xml:space="preserve">, </w:t>
      </w:r>
      <w:r w:rsidR="009D66BB">
        <w:rPr>
          <w:szCs w:val="24"/>
        </w:rPr>
        <w:t>record</w:t>
      </w:r>
      <w:r w:rsidR="006C6AA5">
        <w:rPr>
          <w:szCs w:val="24"/>
        </w:rPr>
        <w:t xml:space="preserve"> and monitor</w:t>
      </w:r>
      <w:r w:rsidR="009D66BB">
        <w:rPr>
          <w:szCs w:val="24"/>
        </w:rPr>
        <w:t xml:space="preserve"> the investigation of </w:t>
      </w:r>
      <w:r>
        <w:rPr>
          <w:szCs w:val="24"/>
        </w:rPr>
        <w:t>patient safety events</w:t>
      </w:r>
      <w:r w:rsidR="009D66BB">
        <w:rPr>
          <w:szCs w:val="24"/>
        </w:rPr>
        <w:t xml:space="preserve"> and resultant safety actions</w:t>
      </w:r>
      <w:r>
        <w:rPr>
          <w:szCs w:val="24"/>
        </w:rPr>
        <w:t>.</w:t>
      </w:r>
    </w:p>
    <w:p w14:paraId="39BEFCBE" w14:textId="39FDB040" w:rsidR="00854EF3" w:rsidRDefault="00B43A77" w:rsidP="004232AF">
      <w:pPr>
        <w:pStyle w:val="Policybulletlevel2"/>
        <w:ind w:hanging="792"/>
        <w:rPr>
          <w:szCs w:val="24"/>
        </w:rPr>
      </w:pPr>
      <w:r w:rsidRPr="00BB6B7A">
        <w:rPr>
          <w:szCs w:val="24"/>
        </w:rPr>
        <w:t>Oversight</w:t>
      </w:r>
      <w:r w:rsidR="00A3225C">
        <w:rPr>
          <w:szCs w:val="24"/>
        </w:rPr>
        <w:t xml:space="preserve">, </w:t>
      </w:r>
      <w:r w:rsidR="00854EF3">
        <w:rPr>
          <w:szCs w:val="24"/>
        </w:rPr>
        <w:t>refers to the requirement of the Trust to:</w:t>
      </w:r>
    </w:p>
    <w:p w14:paraId="40706174" w14:textId="39BA91EE" w:rsidR="00854EF3" w:rsidRPr="00854EF3" w:rsidRDefault="00854EF3" w:rsidP="00854EF3">
      <w:pPr>
        <w:pStyle w:val="PolicybulletLevel3"/>
        <w:ind w:left="1701" w:hanging="850"/>
      </w:pPr>
      <w:r w:rsidRPr="00854EF3">
        <w:lastRenderedPageBreak/>
        <w:t>Ensure the Trust meets national patient safety incident response standards.</w:t>
      </w:r>
    </w:p>
    <w:p w14:paraId="457D246A" w14:textId="324089CF" w:rsidR="00854EF3" w:rsidRPr="00854EF3" w:rsidRDefault="00854EF3" w:rsidP="00854EF3">
      <w:pPr>
        <w:pStyle w:val="PolicybulletLevel3"/>
        <w:ind w:left="1701" w:hanging="850"/>
      </w:pPr>
      <w:r w:rsidRPr="00854EF3">
        <w:t>Ensure PSIRF is central to overarching safety governance arrangements.</w:t>
      </w:r>
    </w:p>
    <w:p w14:paraId="70F39DF7" w14:textId="179D6A8A" w:rsidR="00854EF3" w:rsidRPr="00854EF3" w:rsidRDefault="00854EF3" w:rsidP="00854EF3">
      <w:pPr>
        <w:pStyle w:val="PolicybulletLevel3"/>
        <w:ind w:left="1701" w:hanging="850"/>
      </w:pPr>
      <w:r w:rsidRPr="00854EF3">
        <w:t>Quality assure learning response outputs.</w:t>
      </w:r>
    </w:p>
    <w:p w14:paraId="031F0C7E" w14:textId="3AF07744" w:rsidR="00EC7C29" w:rsidRPr="00F10D6E" w:rsidRDefault="00EC7C29" w:rsidP="004232AF">
      <w:pPr>
        <w:pStyle w:val="Policybulletlevel2"/>
        <w:ind w:hanging="792"/>
        <w:rPr>
          <w:szCs w:val="24"/>
        </w:rPr>
      </w:pPr>
      <w:r w:rsidRPr="00F10D6E">
        <w:rPr>
          <w:szCs w:val="24"/>
        </w:rPr>
        <w:t xml:space="preserve">Patient safety </w:t>
      </w:r>
      <w:r w:rsidR="00A3225C">
        <w:rPr>
          <w:szCs w:val="24"/>
        </w:rPr>
        <w:t>is</w:t>
      </w:r>
      <w:r w:rsidRPr="00F10D6E">
        <w:rPr>
          <w:szCs w:val="24"/>
        </w:rPr>
        <w:t xml:space="preserve"> the avoidance of unintended or unexpected harm to people during the provision of health care. </w:t>
      </w:r>
    </w:p>
    <w:p w14:paraId="5B31A54A" w14:textId="40A6F3D0" w:rsidR="00F10D6E" w:rsidRDefault="00F10D6E" w:rsidP="004232AF">
      <w:pPr>
        <w:pStyle w:val="Policybulletlevel2"/>
        <w:ind w:hanging="792"/>
        <w:rPr>
          <w:szCs w:val="24"/>
        </w:rPr>
      </w:pPr>
      <w:r w:rsidRPr="00BB6B7A">
        <w:rPr>
          <w:szCs w:val="24"/>
        </w:rPr>
        <w:t>Patient safety event</w:t>
      </w:r>
      <w:r>
        <w:rPr>
          <w:szCs w:val="24"/>
        </w:rPr>
        <w:t>s include</w:t>
      </w:r>
      <w:r w:rsidR="00845B39">
        <w:rPr>
          <w:szCs w:val="24"/>
        </w:rPr>
        <w:t>:</w:t>
      </w:r>
    </w:p>
    <w:p w14:paraId="2B93901A" w14:textId="6237B8B9" w:rsidR="00A71794" w:rsidRPr="00845B39" w:rsidRDefault="00845B39" w:rsidP="00845B39">
      <w:pPr>
        <w:pStyle w:val="PolicybulletLevel3"/>
        <w:ind w:left="1701" w:hanging="850"/>
      </w:pPr>
      <w:r w:rsidRPr="00845B39">
        <w:t>I</w:t>
      </w:r>
      <w:r w:rsidR="00052EB3" w:rsidRPr="00845B39">
        <w:t>ncident</w:t>
      </w:r>
      <w:r w:rsidR="00EC7C29" w:rsidRPr="00845B39">
        <w:t xml:space="preserve"> – Something unexpected or unintended has happened, or failed to happen, that could have or did lead to patient harm for one or more person(s) receiving healthcare (NHS England, 2023).</w:t>
      </w:r>
      <w:r w:rsidRPr="00845B39">
        <w:t xml:space="preserve">  This includes near misses.</w:t>
      </w:r>
    </w:p>
    <w:p w14:paraId="0EB68E7E" w14:textId="464CF777" w:rsidR="00845B39" w:rsidRPr="00845B39" w:rsidRDefault="00845B39" w:rsidP="00845B39">
      <w:pPr>
        <w:pStyle w:val="PolicybulletLevel3"/>
        <w:ind w:left="1701" w:hanging="850"/>
      </w:pPr>
      <w:r w:rsidRPr="00845B39">
        <w:t>Outcome – a poor outcome routinely reported locally where it is not yet known whether or not the outcome was caused by a patient safety incident.</w:t>
      </w:r>
    </w:p>
    <w:p w14:paraId="11BE65E0" w14:textId="3B6E2A7F" w:rsidR="00845B39" w:rsidRPr="00845B39" w:rsidRDefault="00845B39" w:rsidP="00845B39">
      <w:pPr>
        <w:pStyle w:val="PolicybulletLevel3"/>
        <w:ind w:left="1701" w:hanging="850"/>
      </w:pPr>
      <w:r w:rsidRPr="00845B39">
        <w:t>Risk – a risk to patient safety in the future, though no patients have yet been affected.</w:t>
      </w:r>
    </w:p>
    <w:p w14:paraId="0C6111B2" w14:textId="52C2FB07" w:rsidR="00845B39" w:rsidRDefault="00845B39" w:rsidP="00845B39">
      <w:pPr>
        <w:pStyle w:val="PolicybulletLevel3"/>
        <w:ind w:left="1701" w:hanging="850"/>
      </w:pPr>
      <w:r w:rsidRPr="00845B39">
        <w:t>Good care – an example of good care that can be learned from.</w:t>
      </w:r>
    </w:p>
    <w:p w14:paraId="1D251143" w14:textId="595DC105" w:rsidR="001631FC" w:rsidRDefault="001631FC" w:rsidP="004232AF">
      <w:pPr>
        <w:pStyle w:val="Policybulletlevel2"/>
        <w:ind w:hanging="792"/>
      </w:pPr>
      <w:r>
        <w:t xml:space="preserve">Patient </w:t>
      </w:r>
      <w:r w:rsidRPr="004232AF">
        <w:rPr>
          <w:szCs w:val="24"/>
        </w:rPr>
        <w:t>safety</w:t>
      </w:r>
      <w:r>
        <w:t xml:space="preserve"> incidents of concern or interest is a term used by the Trust when </w:t>
      </w:r>
      <w:r w:rsidRPr="001631FC">
        <w:rPr>
          <w:szCs w:val="24"/>
        </w:rPr>
        <w:t>undertaking</w:t>
      </w:r>
      <w:r>
        <w:t xml:space="preserve"> incident reviews and includes:</w:t>
      </w:r>
    </w:p>
    <w:p w14:paraId="38910104" w14:textId="617549E8" w:rsidR="004232AF" w:rsidRDefault="004232AF" w:rsidP="001631FC">
      <w:pPr>
        <w:pStyle w:val="PolicybulletLevel3"/>
        <w:ind w:left="1701" w:hanging="850"/>
      </w:pPr>
      <w:r>
        <w:t>National requirements as outlined within the PSIR Plan.</w:t>
      </w:r>
    </w:p>
    <w:p w14:paraId="7CC2D48C" w14:textId="2867FE3C" w:rsidR="001631FC" w:rsidRDefault="001631FC" w:rsidP="001631FC">
      <w:pPr>
        <w:pStyle w:val="PolicybulletLevel3"/>
        <w:ind w:left="1701" w:hanging="850"/>
      </w:pPr>
      <w:r>
        <w:t>Cases where there is significant potential for system based learning and improvement to support safe care.</w:t>
      </w:r>
    </w:p>
    <w:p w14:paraId="75C0B634" w14:textId="083B1087" w:rsidR="001631FC" w:rsidRDefault="001631FC" w:rsidP="004E036C">
      <w:pPr>
        <w:pStyle w:val="PolicybulletLevel3"/>
        <w:ind w:left="1701" w:hanging="850"/>
      </w:pPr>
      <w:r>
        <w:t>Cases where there is a significant risk or concern that has not yet materialised.</w:t>
      </w:r>
    </w:p>
    <w:p w14:paraId="59D70250" w14:textId="349A6B94" w:rsidR="001631FC" w:rsidRDefault="001631FC" w:rsidP="001631FC">
      <w:pPr>
        <w:pStyle w:val="PolicybulletLevel3"/>
        <w:ind w:left="1701" w:hanging="850"/>
      </w:pPr>
      <w:r>
        <w:t>Near misses and salvaged incidents where a patient safety incident and/or harm was avoided through luck or intervention.</w:t>
      </w:r>
    </w:p>
    <w:p w14:paraId="72E2B6BE" w14:textId="35CD9164" w:rsidR="001631FC" w:rsidRDefault="001631FC" w:rsidP="001631FC">
      <w:pPr>
        <w:pStyle w:val="PolicybulletLevel3"/>
        <w:ind w:left="1701" w:hanging="850"/>
      </w:pPr>
      <w:r>
        <w:t>Cases of good practice identified for review as learning from excellence.</w:t>
      </w:r>
    </w:p>
    <w:p w14:paraId="21375B2E" w14:textId="7A44E1B1" w:rsidR="001631FC" w:rsidRPr="00845B39" w:rsidRDefault="001631FC" w:rsidP="003268CF">
      <w:pPr>
        <w:pStyle w:val="PolicybulletLevel3"/>
        <w:ind w:left="1701" w:hanging="850"/>
      </w:pPr>
      <w:r>
        <w:t>Cases where significant physical or psychological harm has been reported.</w:t>
      </w:r>
      <w:r w:rsidR="003268CF" w:rsidRPr="00845B39">
        <w:t xml:space="preserve"> </w:t>
      </w:r>
    </w:p>
    <w:p w14:paraId="6BA9D05E" w14:textId="77A04E06" w:rsidR="00052EB3" w:rsidRPr="00BB6B7A" w:rsidRDefault="00052EB3" w:rsidP="004232AF">
      <w:pPr>
        <w:pStyle w:val="Policybulletlevel2"/>
        <w:ind w:hanging="792"/>
        <w:rPr>
          <w:szCs w:val="24"/>
        </w:rPr>
      </w:pPr>
      <w:r w:rsidRPr="00BB6B7A">
        <w:rPr>
          <w:szCs w:val="24"/>
        </w:rPr>
        <w:t xml:space="preserve">Patient Safety </w:t>
      </w:r>
      <w:r w:rsidRPr="004232AF">
        <w:t>Incident</w:t>
      </w:r>
      <w:r w:rsidRPr="00BB6B7A">
        <w:rPr>
          <w:szCs w:val="24"/>
        </w:rPr>
        <w:t xml:space="preserve"> Investigation</w:t>
      </w:r>
      <w:r w:rsidR="009D66BB">
        <w:rPr>
          <w:szCs w:val="24"/>
        </w:rPr>
        <w:t xml:space="preserve"> (PSII)</w:t>
      </w:r>
      <w:r w:rsidR="00845B39">
        <w:rPr>
          <w:szCs w:val="24"/>
        </w:rPr>
        <w:t xml:space="preserve"> – undertaken when an incident or near-miss indicates significant patient safety risk and potential for new learning.</w:t>
      </w:r>
    </w:p>
    <w:p w14:paraId="7993318E" w14:textId="1E4A8CD7" w:rsidR="00052EB3" w:rsidRDefault="00052EB3" w:rsidP="004232AF">
      <w:pPr>
        <w:pStyle w:val="Policybulletlevel2"/>
        <w:ind w:hanging="792"/>
        <w:rPr>
          <w:szCs w:val="24"/>
        </w:rPr>
      </w:pPr>
      <w:r w:rsidRPr="00BB6B7A">
        <w:rPr>
          <w:szCs w:val="24"/>
        </w:rPr>
        <w:t>Patient Safety Syllabus</w:t>
      </w:r>
      <w:r w:rsidR="00845B39">
        <w:rPr>
          <w:szCs w:val="24"/>
        </w:rPr>
        <w:t xml:space="preserve"> – training requirements for every member of NHS staff.  </w:t>
      </w:r>
      <w:r w:rsidR="00B43A77">
        <w:rPr>
          <w:szCs w:val="24"/>
        </w:rPr>
        <w:t>The five domains are:</w:t>
      </w:r>
    </w:p>
    <w:p w14:paraId="2D09C6FC" w14:textId="5BDE34BD" w:rsidR="00B43A77" w:rsidRPr="00B43A77" w:rsidRDefault="00B43A77" w:rsidP="00B43A77">
      <w:pPr>
        <w:pStyle w:val="PolicybulletLevel3"/>
        <w:ind w:left="1701" w:hanging="850"/>
      </w:pPr>
      <w:r w:rsidRPr="00B43A77">
        <w:t>Systems approach to patient safety</w:t>
      </w:r>
      <w:r w:rsidR="009D66BB">
        <w:t>.</w:t>
      </w:r>
    </w:p>
    <w:p w14:paraId="086147C7" w14:textId="769A1A89" w:rsidR="00B43A77" w:rsidRPr="00B43A77" w:rsidRDefault="00B43A77" w:rsidP="00B43A77">
      <w:pPr>
        <w:pStyle w:val="PolicybulletLevel3"/>
        <w:ind w:left="1701" w:hanging="850"/>
      </w:pPr>
      <w:r w:rsidRPr="00B43A77">
        <w:t>Learning from incidents</w:t>
      </w:r>
      <w:r w:rsidR="009D66BB">
        <w:t>.</w:t>
      </w:r>
    </w:p>
    <w:p w14:paraId="14D8575C" w14:textId="10F8FED8" w:rsidR="00B43A77" w:rsidRPr="00B43A77" w:rsidRDefault="00B43A77" w:rsidP="00B43A77">
      <w:pPr>
        <w:pStyle w:val="PolicybulletLevel3"/>
        <w:ind w:left="1701" w:hanging="850"/>
      </w:pPr>
      <w:r w:rsidRPr="00B43A77">
        <w:t>Human factors, human performance and safety management</w:t>
      </w:r>
      <w:r w:rsidR="009D66BB">
        <w:t>.</w:t>
      </w:r>
    </w:p>
    <w:p w14:paraId="4A8505CB" w14:textId="3B556EB9" w:rsidR="00B43A77" w:rsidRPr="00B43A77" w:rsidRDefault="00B43A77" w:rsidP="00B43A77">
      <w:pPr>
        <w:pStyle w:val="PolicybulletLevel3"/>
        <w:ind w:left="1701" w:hanging="850"/>
      </w:pPr>
      <w:r w:rsidRPr="00B43A77">
        <w:t>Creating safe systems</w:t>
      </w:r>
      <w:r w:rsidR="009D66BB">
        <w:t>.</w:t>
      </w:r>
    </w:p>
    <w:p w14:paraId="41D9F8C9" w14:textId="17D2375B" w:rsidR="00B43A77" w:rsidRPr="00B43A77" w:rsidRDefault="00B43A77" w:rsidP="00B43A77">
      <w:pPr>
        <w:pStyle w:val="PolicybulletLevel3"/>
        <w:ind w:left="1701" w:hanging="850"/>
      </w:pPr>
      <w:r w:rsidRPr="00B43A77">
        <w:t>Being sure about safety.</w:t>
      </w:r>
    </w:p>
    <w:p w14:paraId="570BF343" w14:textId="77777777" w:rsidR="00EB1617" w:rsidRDefault="00EB1617" w:rsidP="007E7332">
      <w:pPr>
        <w:pStyle w:val="Policyheader"/>
      </w:pPr>
      <w:bookmarkStart w:id="5" w:name="_Toc199923743"/>
      <w:r>
        <w:lastRenderedPageBreak/>
        <w:t>Purpose and Scope</w:t>
      </w:r>
      <w:bookmarkEnd w:id="5"/>
    </w:p>
    <w:p w14:paraId="00802590" w14:textId="5CDACCCA" w:rsidR="0054122C" w:rsidRPr="004232AF" w:rsidRDefault="004463EE" w:rsidP="004232AF">
      <w:pPr>
        <w:pStyle w:val="Policybulletlevel2"/>
        <w:ind w:hanging="792"/>
        <w:rPr>
          <w:szCs w:val="24"/>
        </w:rPr>
      </w:pPr>
      <w:r w:rsidRPr="00EB6E4F">
        <w:rPr>
          <w:szCs w:val="24"/>
        </w:rPr>
        <w:t xml:space="preserve">This policy is specific to patient safety incident responses conducted solely for the purpose of learning and improvement across all areas of </w:t>
      </w:r>
      <w:r w:rsidR="006A3DE0">
        <w:rPr>
          <w:szCs w:val="24"/>
        </w:rPr>
        <w:t>the Trust</w:t>
      </w:r>
      <w:r w:rsidRPr="004232AF">
        <w:rPr>
          <w:szCs w:val="24"/>
        </w:rPr>
        <w:t>.</w:t>
      </w:r>
    </w:p>
    <w:p w14:paraId="6F3E8CB1" w14:textId="6BB72A9F" w:rsidR="004463EE" w:rsidRPr="00EB6E4F" w:rsidRDefault="004463EE" w:rsidP="004232AF">
      <w:pPr>
        <w:pStyle w:val="Policybulletlevel2"/>
        <w:ind w:hanging="792"/>
        <w:rPr>
          <w:szCs w:val="24"/>
        </w:rPr>
      </w:pPr>
      <w:r w:rsidRPr="00EB6E4F">
        <w:rPr>
          <w:szCs w:val="24"/>
        </w:rPr>
        <w:t>Responses under this policy follow a systems-based approach. This recognises that patient safety is an emergent property of the healthcare system: that is, safety is provided by interactions between components and not from a single component. Learning responses do not take a ‘person-focused’ approach where the actions or inactions of people are the focus of an investigation</w:t>
      </w:r>
      <w:r w:rsidR="009D66BB">
        <w:rPr>
          <w:szCs w:val="24"/>
        </w:rPr>
        <w:t>.</w:t>
      </w:r>
    </w:p>
    <w:p w14:paraId="0D20119D" w14:textId="22507E85" w:rsidR="004463EE" w:rsidRDefault="004463EE" w:rsidP="004232AF">
      <w:pPr>
        <w:pStyle w:val="Policybulletlevel2"/>
        <w:ind w:hanging="792"/>
      </w:pPr>
      <w:r w:rsidRPr="00C1401B">
        <w:rPr>
          <w:szCs w:val="24"/>
        </w:rPr>
        <w:t xml:space="preserve">There is no remit to apportion blame or determine liability, preventability, or cause of death in a response conducted for the purpose of learning and improvement. Other processes, such as claims handling, human resources investigations into employment concerns, professional standards investigations, </w:t>
      </w:r>
      <w:r w:rsidR="00A3225C">
        <w:rPr>
          <w:szCs w:val="24"/>
        </w:rPr>
        <w:t xml:space="preserve">safeguarding reviews, </w:t>
      </w:r>
      <w:r w:rsidRPr="00C1401B">
        <w:rPr>
          <w:szCs w:val="24"/>
        </w:rPr>
        <w:t>coronial inquests, and criminal investigations, exist for that purpose. The principle aims of each of these responses differ from those of a patient safety response and are outside the scope of this policy.</w:t>
      </w:r>
      <w:r w:rsidR="00C1401B" w:rsidRPr="00C1401B">
        <w:rPr>
          <w:szCs w:val="24"/>
        </w:rPr>
        <w:t xml:space="preserve">  </w:t>
      </w:r>
      <w:r w:rsidRPr="00C1401B">
        <w:rPr>
          <w:szCs w:val="24"/>
        </w:rPr>
        <w:t>Information from a patient safety response process can be shared with those leading other types of responses,</w:t>
      </w:r>
      <w:r w:rsidR="00C1401B">
        <w:rPr>
          <w:szCs w:val="24"/>
        </w:rPr>
        <w:t xml:space="preserve"> and vice versa,</w:t>
      </w:r>
      <w:r w:rsidRPr="00C1401B">
        <w:rPr>
          <w:szCs w:val="24"/>
        </w:rPr>
        <w:t xml:space="preserve"> but other processes should not influence the remit of a patient safety incident response.</w:t>
      </w:r>
    </w:p>
    <w:p w14:paraId="29086432" w14:textId="55F13E2E" w:rsidR="00EB1617" w:rsidRDefault="00EB1617" w:rsidP="007E7332">
      <w:pPr>
        <w:pStyle w:val="Policyheader"/>
      </w:pPr>
      <w:bookmarkStart w:id="6" w:name="_Toc199923744"/>
      <w:r>
        <w:t>Duties</w:t>
      </w:r>
      <w:bookmarkEnd w:id="6"/>
    </w:p>
    <w:p w14:paraId="22EB46CD" w14:textId="1BEDB3E5" w:rsidR="008B74CB" w:rsidRDefault="008B74CB" w:rsidP="004232AF">
      <w:pPr>
        <w:pStyle w:val="Policybulletlevel2"/>
        <w:ind w:hanging="792"/>
      </w:pPr>
      <w:r w:rsidRPr="00052EB3">
        <w:rPr>
          <w:b/>
        </w:rPr>
        <w:t>Chief Executive Officer</w:t>
      </w:r>
      <w:r>
        <w:t xml:space="preserve"> has overall responsibility for</w:t>
      </w:r>
      <w:r w:rsidR="00052EB3">
        <w:t xml:space="preserve"> the provision of policies and procedures in relation to patient</w:t>
      </w:r>
      <w:r>
        <w:t xml:space="preserve"> </w:t>
      </w:r>
      <w:r w:rsidR="00052EB3">
        <w:t>safety</w:t>
      </w:r>
      <w:r w:rsidR="00D82C90">
        <w:t xml:space="preserve"> and the implementation of the National Patient Safety Strategy</w:t>
      </w:r>
      <w:r>
        <w:t>.</w:t>
      </w:r>
    </w:p>
    <w:p w14:paraId="5E6BAF51" w14:textId="2B46CA52" w:rsidR="00110441" w:rsidRDefault="008B74CB" w:rsidP="004232AF">
      <w:pPr>
        <w:pStyle w:val="Policybulletlevel2"/>
        <w:ind w:hanging="792"/>
      </w:pPr>
      <w:r w:rsidRPr="00110441">
        <w:rPr>
          <w:b/>
        </w:rPr>
        <w:t>Quality and Safety Committee</w:t>
      </w:r>
      <w:r w:rsidR="00110441">
        <w:t xml:space="preserve"> is responsible </w:t>
      </w:r>
      <w:r w:rsidR="00CD6770">
        <w:t xml:space="preserve">through the quality governance structure </w:t>
      </w:r>
      <w:r w:rsidR="00110441">
        <w:t>for:</w:t>
      </w:r>
    </w:p>
    <w:p w14:paraId="4792B1AC" w14:textId="0F193DD7" w:rsidR="008B74CB" w:rsidRDefault="00110441" w:rsidP="007811E9">
      <w:pPr>
        <w:pStyle w:val="PolicybulletLevel3"/>
        <w:ind w:left="1701" w:hanging="850"/>
      </w:pPr>
      <w:r>
        <w:t xml:space="preserve">Seeking assurance that </w:t>
      </w:r>
      <w:r w:rsidR="009D66BB">
        <w:t>this policy</w:t>
      </w:r>
      <w:r>
        <w:t xml:space="preserve"> and </w:t>
      </w:r>
      <w:r w:rsidR="009D66BB">
        <w:t xml:space="preserve">the Trust Patient Safety Incident Response (PSIR) </w:t>
      </w:r>
      <w:r>
        <w:t xml:space="preserve">Plan is being implemented, learning has been identified and improvements are </w:t>
      </w:r>
      <w:r w:rsidR="009D66BB">
        <w:t xml:space="preserve">being </w:t>
      </w:r>
      <w:r>
        <w:t>embedded.</w:t>
      </w:r>
    </w:p>
    <w:p w14:paraId="320D08FD" w14:textId="48116A95" w:rsidR="00110441" w:rsidRDefault="00110441" w:rsidP="007811E9">
      <w:pPr>
        <w:pStyle w:val="PolicybulletLevel3"/>
        <w:ind w:left="1701" w:hanging="850"/>
      </w:pPr>
      <w:r>
        <w:t>Ensuring the Trust develops a just and learning culture through meaningful patient, family and staff engagement</w:t>
      </w:r>
      <w:r w:rsidR="00C1401B">
        <w:t xml:space="preserve"> and application of</w:t>
      </w:r>
      <w:r w:rsidR="002733B8">
        <w:t xml:space="preserve"> the</w:t>
      </w:r>
      <w:r w:rsidR="00C1401B">
        <w:t xml:space="preserve"> Being fair </w:t>
      </w:r>
      <w:r w:rsidR="002733B8">
        <w:t xml:space="preserve">tool </w:t>
      </w:r>
      <w:r w:rsidR="00C1401B">
        <w:t>(</w:t>
      </w:r>
      <w:r w:rsidR="00EC25E5">
        <w:t xml:space="preserve">NHSE, </w:t>
      </w:r>
      <w:r w:rsidR="00C1401B">
        <w:t>2025</w:t>
      </w:r>
      <w:r w:rsidR="002733B8">
        <w:t>a</w:t>
      </w:r>
      <w:r w:rsidR="00C1401B">
        <w:t>) in practice.</w:t>
      </w:r>
    </w:p>
    <w:p w14:paraId="142B7E3F" w14:textId="0E88F7AF" w:rsidR="008B74CB" w:rsidRPr="00110441" w:rsidRDefault="008B74CB" w:rsidP="004232AF">
      <w:pPr>
        <w:pStyle w:val="Policybulletlevel2"/>
        <w:ind w:hanging="792"/>
      </w:pPr>
      <w:r w:rsidRPr="00110441">
        <w:rPr>
          <w:b/>
        </w:rPr>
        <w:t>Chief Nursing and Midwifery Officer (CNMO)</w:t>
      </w:r>
      <w:r w:rsidR="00110441">
        <w:rPr>
          <w:b/>
        </w:rPr>
        <w:t xml:space="preserve"> </w:t>
      </w:r>
      <w:r w:rsidR="00110441" w:rsidRPr="00110441">
        <w:t xml:space="preserve">is </w:t>
      </w:r>
      <w:r w:rsidR="00D82C90">
        <w:t xml:space="preserve">the Trust PSIRF executive lead and is supported in this role by the wider Trust Board.  The CNMO is </w:t>
      </w:r>
      <w:r w:rsidR="00110441" w:rsidRPr="00110441">
        <w:t>responsible for:</w:t>
      </w:r>
    </w:p>
    <w:p w14:paraId="1AC894E9" w14:textId="7C1AFE6C" w:rsidR="00D82C90" w:rsidRDefault="007811E9" w:rsidP="007811E9">
      <w:pPr>
        <w:pStyle w:val="PolicybulletLevel3"/>
        <w:ind w:left="1701" w:hanging="850"/>
      </w:pPr>
      <w:r>
        <w:t xml:space="preserve">The </w:t>
      </w:r>
      <w:r w:rsidR="00D82C90">
        <w:t>oversight of the development, review of the Trust’s PSIRF policy and plan, ensuring these meet the expectations of the patient safety incident response standards (NHSE, 2024)</w:t>
      </w:r>
      <w:r w:rsidR="00CE2F40">
        <w:t xml:space="preserve"> and oversight requirements (NHSE, 2022a).</w:t>
      </w:r>
    </w:p>
    <w:p w14:paraId="5EE1D051" w14:textId="232F5F21" w:rsidR="00110441" w:rsidRDefault="00110441" w:rsidP="007811E9">
      <w:pPr>
        <w:pStyle w:val="PolicybulletLevel3"/>
        <w:ind w:left="1701" w:hanging="850"/>
      </w:pPr>
      <w:r>
        <w:t xml:space="preserve">Approval of the PSIIs and </w:t>
      </w:r>
      <w:r w:rsidR="00CE2F40">
        <w:t xml:space="preserve">ensuring mechanisms are in place to monitor the </w:t>
      </w:r>
      <w:r>
        <w:t>implementation of the resultant patient safety actions.</w:t>
      </w:r>
    </w:p>
    <w:p w14:paraId="43736F39" w14:textId="1360B494" w:rsidR="008B74CB" w:rsidRDefault="008B74CB" w:rsidP="004232AF">
      <w:pPr>
        <w:pStyle w:val="Policybulletlevel2"/>
        <w:ind w:hanging="792"/>
      </w:pPr>
      <w:r w:rsidRPr="00110441">
        <w:rPr>
          <w:b/>
        </w:rPr>
        <w:t>Chief Medical Officer (CMO)</w:t>
      </w:r>
      <w:r w:rsidR="00110441">
        <w:t xml:space="preserve"> provides medical oversight of PSIIs and has delegated responsibility for the approval of PSIIs in the absence of the CNMO. </w:t>
      </w:r>
    </w:p>
    <w:p w14:paraId="7FFC40E4" w14:textId="422F152D" w:rsidR="00BD40AB" w:rsidRPr="00BD40AB" w:rsidRDefault="00BD40AB" w:rsidP="004232AF">
      <w:pPr>
        <w:pStyle w:val="Policybulletlevel2"/>
        <w:ind w:hanging="792"/>
      </w:pPr>
      <w:r>
        <w:rPr>
          <w:b/>
        </w:rPr>
        <w:lastRenderedPageBreak/>
        <w:t xml:space="preserve">Care Group Medical Directors, Directors of Nursing, Managing Directors and Associate Directors </w:t>
      </w:r>
      <w:r w:rsidRPr="00BD40AB">
        <w:t>are responsible for the application of this policy within their care group</w:t>
      </w:r>
      <w:r>
        <w:t>.  This includes</w:t>
      </w:r>
      <w:r w:rsidRPr="00BD40AB">
        <w:t xml:space="preserve"> the </w:t>
      </w:r>
      <w:r>
        <w:t xml:space="preserve">review of learning responses overseen by the CNMO and Learning Response Approval Panel, </w:t>
      </w:r>
      <w:r w:rsidRPr="00BD40AB">
        <w:t xml:space="preserve">approval of learning responses not overseen by the CNMO </w:t>
      </w:r>
      <w:r>
        <w:t>or</w:t>
      </w:r>
      <w:r w:rsidRPr="00BD40AB">
        <w:t xml:space="preserve"> Learning Response Approval Panel and the implementation of patient safety actions identified for the care group from any learning response.</w:t>
      </w:r>
    </w:p>
    <w:p w14:paraId="6B65C7FC" w14:textId="4CF11BF6" w:rsidR="008B74CB" w:rsidRDefault="008B74CB" w:rsidP="004232AF">
      <w:pPr>
        <w:pStyle w:val="Policybulletlevel2"/>
        <w:ind w:hanging="792"/>
      </w:pPr>
      <w:r w:rsidRPr="00110441">
        <w:rPr>
          <w:b/>
        </w:rPr>
        <w:t>Director of Quality Governance</w:t>
      </w:r>
      <w:r w:rsidR="00110441">
        <w:t xml:space="preserve"> </w:t>
      </w:r>
      <w:r w:rsidR="004C5045">
        <w:t xml:space="preserve">(Patient Safety Specialist) </w:t>
      </w:r>
      <w:r w:rsidR="00110441">
        <w:t>provides strategic support and oversight of the implementation of PSIRF within the Trust.</w:t>
      </w:r>
    </w:p>
    <w:p w14:paraId="59262612" w14:textId="4977D07A" w:rsidR="004C5045" w:rsidRDefault="008B74CB" w:rsidP="004232AF">
      <w:pPr>
        <w:pStyle w:val="Policybulletlevel2"/>
        <w:ind w:hanging="792"/>
      </w:pPr>
      <w:r w:rsidRPr="004C5045">
        <w:rPr>
          <w:b/>
        </w:rPr>
        <w:t>Head of Patient Safety and Improvement</w:t>
      </w:r>
      <w:r w:rsidR="004C5045">
        <w:t xml:space="preserve"> (Patient Safety Specialist)</w:t>
      </w:r>
      <w:r w:rsidR="00110441">
        <w:t xml:space="preserve"> </w:t>
      </w:r>
      <w:r w:rsidR="004C5045">
        <w:t>leads the:</w:t>
      </w:r>
    </w:p>
    <w:p w14:paraId="301D4C7F" w14:textId="6BA14FA4" w:rsidR="004C5045" w:rsidRDefault="004C5045" w:rsidP="007811E9">
      <w:pPr>
        <w:pStyle w:val="PolicybulletLevel3"/>
        <w:ind w:left="1701" w:hanging="850"/>
      </w:pPr>
      <w:r>
        <w:t>Implementation of PSIRF within the Trust through the design and updating of the required systems and processes to support this policy and the PSIR Plan.</w:t>
      </w:r>
    </w:p>
    <w:p w14:paraId="35834C3D" w14:textId="7F657D20" w:rsidR="004C5045" w:rsidRDefault="004C5045" w:rsidP="007811E9">
      <w:pPr>
        <w:pStyle w:val="PolicybulletLevel3"/>
        <w:ind w:left="1701" w:hanging="850"/>
      </w:pPr>
      <w:r>
        <w:t>Commissioning or development and delivery of education and training to support PSIRF requirements.</w:t>
      </w:r>
    </w:p>
    <w:p w14:paraId="4AFCE35A" w14:textId="730105AE" w:rsidR="004C5045" w:rsidRDefault="004C5045" w:rsidP="007811E9">
      <w:pPr>
        <w:pStyle w:val="PolicybulletLevel3"/>
        <w:ind w:left="1701" w:hanging="850"/>
      </w:pPr>
      <w:r>
        <w:t xml:space="preserve">Development of a patient safety shared learning framework and </w:t>
      </w:r>
      <w:r w:rsidR="009D66BB">
        <w:t xml:space="preserve">to </w:t>
      </w:r>
      <w:r>
        <w:t>support implementation within the Trust.</w:t>
      </w:r>
    </w:p>
    <w:p w14:paraId="755E8136" w14:textId="08C7747D" w:rsidR="007811E9" w:rsidRDefault="00EC7C29" w:rsidP="007811E9">
      <w:pPr>
        <w:pStyle w:val="PolicybulletLevel3"/>
        <w:ind w:left="1701" w:hanging="850"/>
      </w:pPr>
      <w:r>
        <w:t>Provision of advice on the implementation of pro</w:t>
      </w:r>
      <w:r w:rsidR="007811E9">
        <w:t>portionate response</w:t>
      </w:r>
      <w:r>
        <w:t>s</w:t>
      </w:r>
      <w:r w:rsidR="007811E9">
        <w:t xml:space="preserve"> to patient safety incidents</w:t>
      </w:r>
      <w:r>
        <w:t>, effective improvement plans</w:t>
      </w:r>
      <w:r w:rsidR="007811E9">
        <w:t xml:space="preserve"> and</w:t>
      </w:r>
      <w:r>
        <w:t xml:space="preserve"> the</w:t>
      </w:r>
      <w:r w:rsidR="007811E9">
        <w:t xml:space="preserve"> deliver</w:t>
      </w:r>
      <w:r>
        <w:t>y of</w:t>
      </w:r>
      <w:r w:rsidR="007811E9">
        <w:t xml:space="preserve"> the required </w:t>
      </w:r>
      <w:r w:rsidR="009D66BB">
        <w:t>o</w:t>
      </w:r>
      <w:r w:rsidR="007811E9">
        <w:t>versight responsibilities.</w:t>
      </w:r>
    </w:p>
    <w:p w14:paraId="2447DEDA" w14:textId="6E1EF795" w:rsidR="00F352C5" w:rsidRDefault="004C5045" w:rsidP="004232AF">
      <w:pPr>
        <w:pStyle w:val="Policybulletlevel2"/>
        <w:ind w:hanging="792"/>
      </w:pPr>
      <w:r w:rsidRPr="004C5045">
        <w:rPr>
          <w:b/>
        </w:rPr>
        <w:t>Deputy Heads of Patient Safety</w:t>
      </w:r>
      <w:r>
        <w:t xml:space="preserve"> are responsible for</w:t>
      </w:r>
      <w:r w:rsidR="00F352C5">
        <w:t>:</w:t>
      </w:r>
    </w:p>
    <w:p w14:paraId="4DEF5DF7" w14:textId="6DA35FD0" w:rsidR="00EC25E5" w:rsidRDefault="00EC7C29" w:rsidP="00EC25E5">
      <w:pPr>
        <w:pStyle w:val="PolicybulletLevel3"/>
        <w:ind w:left="1701" w:hanging="850"/>
      </w:pPr>
      <w:r>
        <w:t>T</w:t>
      </w:r>
      <w:r w:rsidR="004C5045">
        <w:t xml:space="preserve">he </w:t>
      </w:r>
      <w:r w:rsidR="000F4822">
        <w:t xml:space="preserve">delivery of the functions </w:t>
      </w:r>
      <w:r w:rsidR="004C5045">
        <w:t xml:space="preserve">required to support this policy and the PSIR </w:t>
      </w:r>
      <w:r w:rsidR="006E50FD">
        <w:t>P</w:t>
      </w:r>
      <w:r w:rsidR="004C5045">
        <w:t>lan</w:t>
      </w:r>
      <w:r>
        <w:t xml:space="preserve"> e.g. maintenance of the Local Risk Management System, patient safety education and training delivery and patient safety communication including shared learning.</w:t>
      </w:r>
    </w:p>
    <w:p w14:paraId="0A77DDCE" w14:textId="2F9F9298" w:rsidR="00EC7C29" w:rsidRDefault="00EC7C29" w:rsidP="007811E9">
      <w:pPr>
        <w:pStyle w:val="PolicybulletLevel3"/>
        <w:ind w:left="1701" w:hanging="850"/>
      </w:pPr>
      <w:r>
        <w:t>Advising on proportionate learning responses and the effectiveness of resultant safety actions.</w:t>
      </w:r>
    </w:p>
    <w:p w14:paraId="17C79794" w14:textId="78E3011A" w:rsidR="00EC25E5" w:rsidRDefault="00EC25E5" w:rsidP="007811E9">
      <w:pPr>
        <w:pStyle w:val="PolicybulletLevel3"/>
        <w:ind w:left="1701" w:hanging="850"/>
      </w:pPr>
      <w:r>
        <w:t>Line management of Patient Safety Leads and Patient Safety Partners.</w:t>
      </w:r>
    </w:p>
    <w:p w14:paraId="178F3B5E" w14:textId="04195DEA" w:rsidR="008D669C" w:rsidRPr="008D669C" w:rsidRDefault="008D669C" w:rsidP="004232AF">
      <w:pPr>
        <w:pStyle w:val="Policybulletlevel2"/>
        <w:ind w:hanging="792"/>
        <w:rPr>
          <w:b/>
        </w:rPr>
      </w:pPr>
      <w:r w:rsidRPr="008D669C">
        <w:rPr>
          <w:b/>
        </w:rPr>
        <w:t>Patient Safety Specialist</w:t>
      </w:r>
    </w:p>
    <w:p w14:paraId="3354ACAC" w14:textId="3149A8EC" w:rsidR="00A3225C" w:rsidRDefault="003A0C6F" w:rsidP="008D669C">
      <w:pPr>
        <w:pStyle w:val="PolicybulletLevel3"/>
        <w:ind w:left="1701" w:hanging="850"/>
      </w:pPr>
      <w:r>
        <w:t>The Trust has identified</w:t>
      </w:r>
      <w:r w:rsidR="00F74C01">
        <w:t xml:space="preserve"> named</w:t>
      </w:r>
      <w:r>
        <w:t xml:space="preserve"> roles which are responsible for prioritising the local implementation of the NHS Patient Safety Strategy.  </w:t>
      </w:r>
      <w:r w:rsidR="00A3225C">
        <w:t xml:space="preserve">This includes the ongoing implementation of PSIRF.  </w:t>
      </w:r>
    </w:p>
    <w:p w14:paraId="291284DA" w14:textId="712930B5" w:rsidR="00F74C01" w:rsidRDefault="00A3225C" w:rsidP="00F74C01">
      <w:pPr>
        <w:pStyle w:val="PolicybulletLevel3"/>
        <w:ind w:left="1701" w:hanging="850"/>
      </w:pPr>
      <w:r>
        <w:t>These roles include members of the Trust and Maternity specific patient safety teams.</w:t>
      </w:r>
    </w:p>
    <w:p w14:paraId="5C348E9B" w14:textId="29E929B2" w:rsidR="008D669C" w:rsidRDefault="003A0C6F" w:rsidP="008D669C">
      <w:pPr>
        <w:pStyle w:val="PolicybulletLevel3"/>
        <w:ind w:left="1701" w:hanging="850"/>
      </w:pPr>
      <w:r>
        <w:t xml:space="preserve">These individuals are expected to be educated and competent up to Level 4 of the NHS Patient Safety Syllabus - </w:t>
      </w:r>
      <w:r w:rsidRPr="003A0C6F">
        <w:t>Extended expertise in professional practice in patient safety (Senior Patient Safety Practitioner)</w:t>
      </w:r>
      <w:r>
        <w:t>.</w:t>
      </w:r>
      <w:r w:rsidR="00F74C01">
        <w:t xml:space="preserve">  Note: The named Medicines Safety Officer and Medical Devices Safety Officer roles should also be educated and competent up to Level 4.</w:t>
      </w:r>
    </w:p>
    <w:p w14:paraId="6261A75F" w14:textId="09C15275" w:rsidR="008B74CB" w:rsidRDefault="008B74CB" w:rsidP="004232AF">
      <w:pPr>
        <w:pStyle w:val="Policybulletlevel2"/>
        <w:ind w:hanging="792"/>
      </w:pPr>
      <w:r w:rsidRPr="00F352C5">
        <w:rPr>
          <w:b/>
        </w:rPr>
        <w:t>Quality Governance Business Partners or equivalent roles</w:t>
      </w:r>
      <w:r w:rsidR="004C5045">
        <w:t xml:space="preserve"> </w:t>
      </w:r>
      <w:r w:rsidR="00AF0B7C">
        <w:t xml:space="preserve">are </w:t>
      </w:r>
      <w:r w:rsidR="00AF0B7C" w:rsidRPr="004232AF">
        <w:t xml:space="preserve">responsible </w:t>
      </w:r>
      <w:r w:rsidR="00AF0B7C">
        <w:t>for:</w:t>
      </w:r>
    </w:p>
    <w:p w14:paraId="3C823855" w14:textId="10B54C95" w:rsidR="00AF0B7C" w:rsidRDefault="00AF0B7C" w:rsidP="007811E9">
      <w:pPr>
        <w:pStyle w:val="PolicybulletLevel3"/>
        <w:ind w:left="1701" w:hanging="850"/>
      </w:pPr>
      <w:r>
        <w:lastRenderedPageBreak/>
        <w:t>Ensuring the care group Quality Governance Meeting receives timely and accurate data in relation to patient safety incidents</w:t>
      </w:r>
      <w:r w:rsidR="00EC25E5">
        <w:t xml:space="preserve"> and actions</w:t>
      </w:r>
      <w:r>
        <w:t>.</w:t>
      </w:r>
    </w:p>
    <w:p w14:paraId="18A455D4" w14:textId="20598AFD" w:rsidR="00AF0B7C" w:rsidRDefault="00AF0B7C" w:rsidP="007811E9">
      <w:pPr>
        <w:pStyle w:val="PolicybulletLevel3"/>
        <w:ind w:left="1701" w:hanging="850"/>
      </w:pPr>
      <w:r>
        <w:t>Leading PSIIs.</w:t>
      </w:r>
    </w:p>
    <w:p w14:paraId="2635DC3C" w14:textId="211D7A38" w:rsidR="00F352C5" w:rsidRDefault="00F352C5" w:rsidP="007811E9">
      <w:pPr>
        <w:pStyle w:val="PolicybulletLevel3"/>
        <w:ind w:left="1701" w:hanging="850"/>
      </w:pPr>
      <w:r>
        <w:t xml:space="preserve">Advising on proportionate learning responses </w:t>
      </w:r>
      <w:r w:rsidR="00EC7C29">
        <w:t xml:space="preserve">that, through safety action development, </w:t>
      </w:r>
      <w:r>
        <w:t>maximise and embed learning.</w:t>
      </w:r>
    </w:p>
    <w:p w14:paraId="7771FD29" w14:textId="58BE93C2" w:rsidR="00AF0B7C" w:rsidRPr="006E50FD" w:rsidRDefault="00AF0B7C" w:rsidP="007811E9">
      <w:pPr>
        <w:pStyle w:val="PolicybulletLevel3"/>
        <w:ind w:left="1701" w:hanging="850"/>
      </w:pPr>
      <w:r>
        <w:t>The management of Quality Governance staff</w:t>
      </w:r>
      <w:r w:rsidR="00EC25E5">
        <w:t>,</w:t>
      </w:r>
      <w:r>
        <w:t xml:space="preserve"> </w:t>
      </w:r>
      <w:r w:rsidR="00EC25E5">
        <w:t>aligned</w:t>
      </w:r>
      <w:r>
        <w:t xml:space="preserve"> to the care group</w:t>
      </w:r>
      <w:r w:rsidR="00EC25E5">
        <w:t>s,</w:t>
      </w:r>
      <w:r>
        <w:t xml:space="preserve"> who review and facilitate the management of incidents including PSIRF </w:t>
      </w:r>
      <w:r w:rsidRPr="006E50FD">
        <w:t>learning responses.</w:t>
      </w:r>
    </w:p>
    <w:p w14:paraId="2AF215CC" w14:textId="1502FE75" w:rsidR="00D914E3" w:rsidRPr="006E50FD" w:rsidRDefault="00D914E3" w:rsidP="004232AF">
      <w:pPr>
        <w:pStyle w:val="Policybulletlevel2"/>
        <w:ind w:hanging="792"/>
      </w:pPr>
      <w:r w:rsidRPr="006E50FD">
        <w:rPr>
          <w:b/>
        </w:rPr>
        <w:t>Learning response leads</w:t>
      </w:r>
      <w:r w:rsidR="006E50FD" w:rsidRPr="006E50FD">
        <w:rPr>
          <w:b/>
        </w:rPr>
        <w:t xml:space="preserve"> </w:t>
      </w:r>
      <w:r w:rsidR="006E50FD" w:rsidRPr="006E50FD">
        <w:t>are responsible for completing allocated learning responses and developing safety actions using a system-based methodology.</w:t>
      </w:r>
    </w:p>
    <w:p w14:paraId="63F92737" w14:textId="1D657847" w:rsidR="006E50FD" w:rsidRDefault="00D914E3" w:rsidP="004232AF">
      <w:pPr>
        <w:pStyle w:val="Policybulletlevel2"/>
        <w:ind w:hanging="792"/>
        <w:rPr>
          <w:b/>
        </w:rPr>
      </w:pPr>
      <w:r w:rsidRPr="006E50FD">
        <w:rPr>
          <w:b/>
        </w:rPr>
        <w:t>Engagement leads</w:t>
      </w:r>
      <w:r w:rsidR="006E50FD" w:rsidRPr="006E50FD">
        <w:rPr>
          <w:b/>
        </w:rPr>
        <w:t xml:space="preserve"> </w:t>
      </w:r>
      <w:r w:rsidR="006E50FD" w:rsidRPr="006E50FD">
        <w:t>are responsible for ensuring patients, families and staff are meaningfully engaged in learning responses.</w:t>
      </w:r>
      <w:r w:rsidR="006E50FD" w:rsidRPr="006E50FD">
        <w:rPr>
          <w:b/>
        </w:rPr>
        <w:t xml:space="preserve">  </w:t>
      </w:r>
    </w:p>
    <w:p w14:paraId="58C3FE07" w14:textId="007BAE09" w:rsidR="006E50FD" w:rsidRPr="006E50FD" w:rsidRDefault="006E50FD" w:rsidP="006E50FD">
      <w:pPr>
        <w:pStyle w:val="Policybulletlevel2"/>
        <w:numPr>
          <w:ilvl w:val="0"/>
          <w:numId w:val="0"/>
        </w:numPr>
        <w:ind w:left="851"/>
      </w:pPr>
      <w:r w:rsidRPr="006E50FD">
        <w:t>Note</w:t>
      </w:r>
      <w:r>
        <w:t>:</w:t>
      </w:r>
      <w:r w:rsidRPr="006E50FD">
        <w:t xml:space="preserve"> in many instances the learning response and engagement lead will be the same individual.</w:t>
      </w:r>
    </w:p>
    <w:p w14:paraId="65F896DF" w14:textId="11909E1F" w:rsidR="008B74CB" w:rsidRDefault="00AF0B7C" w:rsidP="004232AF">
      <w:pPr>
        <w:pStyle w:val="Policybulletlevel2"/>
        <w:ind w:hanging="792"/>
      </w:pPr>
      <w:r w:rsidRPr="00AF0B7C">
        <w:rPr>
          <w:b/>
        </w:rPr>
        <w:t>All</w:t>
      </w:r>
      <w:r w:rsidR="008B74CB" w:rsidRPr="00AF0B7C">
        <w:rPr>
          <w:b/>
        </w:rPr>
        <w:t xml:space="preserve"> staff</w:t>
      </w:r>
      <w:r>
        <w:t xml:space="preserve"> are responsible for supporting a just and learning culture, timely reporting and review of incidents and implementation of improvement actions and sharing learning with colleagues.</w:t>
      </w:r>
    </w:p>
    <w:p w14:paraId="740ECA6C" w14:textId="3B4E1870" w:rsidR="00F73E7A" w:rsidRPr="006E50FD" w:rsidRDefault="00F73E7A" w:rsidP="004232AF">
      <w:pPr>
        <w:pStyle w:val="Policybulletlevel2"/>
        <w:ind w:hanging="792"/>
      </w:pPr>
      <w:r>
        <w:rPr>
          <w:b/>
        </w:rPr>
        <w:t xml:space="preserve">Interface with Spencer Private Hospitals, 2gether Support Solutions and East Kent Urgent Treatment Centre Alliance.  </w:t>
      </w:r>
      <w:r>
        <w:t>Patient safety incidents affecting patients under the care of the Trust (e.g. NHS funded healthcare), will be managed in accordance with the principles of this policy and in liaison with stakeholders employed by other organisations.</w:t>
      </w:r>
    </w:p>
    <w:p w14:paraId="41F88FC1" w14:textId="135494B7" w:rsidR="00EB1617" w:rsidRDefault="008B74CB" w:rsidP="007E7332">
      <w:pPr>
        <w:pStyle w:val="Policyheader"/>
      </w:pPr>
      <w:bookmarkStart w:id="7" w:name="_Toc199923745"/>
      <w:r>
        <w:t xml:space="preserve">Patient </w:t>
      </w:r>
      <w:r w:rsidR="00E07821">
        <w:t>s</w:t>
      </w:r>
      <w:r>
        <w:t xml:space="preserve">afety </w:t>
      </w:r>
      <w:r w:rsidR="00E07821">
        <w:t>c</w:t>
      </w:r>
      <w:r>
        <w:t>ulture</w:t>
      </w:r>
      <w:bookmarkEnd w:id="7"/>
    </w:p>
    <w:p w14:paraId="53DBE417" w14:textId="05125FCD" w:rsidR="00854EF3" w:rsidRPr="004232AF" w:rsidRDefault="00854EF3" w:rsidP="004232AF">
      <w:pPr>
        <w:pStyle w:val="Policybulletlevel2"/>
        <w:ind w:hanging="792"/>
      </w:pPr>
      <w:r w:rsidRPr="00EB6E4F">
        <w:rPr>
          <w:szCs w:val="24"/>
        </w:rPr>
        <w:t xml:space="preserve">The Trust has implemented a Trust wide </w:t>
      </w:r>
      <w:r w:rsidRPr="004232AF">
        <w:t>workstream focused on improving the culture, including safety culture</w:t>
      </w:r>
      <w:r w:rsidR="00E615EC">
        <w:t>.</w:t>
      </w:r>
      <w:r w:rsidRPr="004232AF">
        <w:t xml:space="preserve"> </w:t>
      </w:r>
    </w:p>
    <w:p w14:paraId="35CA32A1" w14:textId="3FB8D4F7" w:rsidR="00854EF3" w:rsidRPr="004232AF" w:rsidRDefault="00E615EC" w:rsidP="004232AF">
      <w:pPr>
        <w:pStyle w:val="Policybulletlevel2"/>
        <w:ind w:hanging="792"/>
      </w:pPr>
      <w:r>
        <w:t xml:space="preserve">The principles of the Just Culture Guide </w:t>
      </w:r>
      <w:r w:rsidR="00854EF3" w:rsidRPr="004232AF">
        <w:t>have been applied to both clinical and non-clinical cases that are considere</w:t>
      </w:r>
      <w:r>
        <w:t>d by the People and Culture team</w:t>
      </w:r>
      <w:r w:rsidR="00854EF3" w:rsidRPr="004232AF">
        <w:t xml:space="preserve">. The aim of this work has been to drive down the number of disciplinary investigations for clinical staff </w:t>
      </w:r>
      <w:r>
        <w:t>involved in patient safety incidents,</w:t>
      </w:r>
      <w:r w:rsidR="00854EF3" w:rsidRPr="004232AF">
        <w:t xml:space="preserve"> as well as reducing fear for staff and the sense of blame when a mistake is made.</w:t>
      </w:r>
    </w:p>
    <w:p w14:paraId="29051006" w14:textId="1E8631A3" w:rsidR="00854EF3" w:rsidRPr="00EB6E4F" w:rsidRDefault="00E615EC" w:rsidP="004232AF">
      <w:pPr>
        <w:pStyle w:val="Policybulletlevel2"/>
        <w:ind w:hanging="792"/>
        <w:rPr>
          <w:szCs w:val="24"/>
        </w:rPr>
      </w:pPr>
      <w:r>
        <w:t>The Being Fair Tool</w:t>
      </w:r>
      <w:r w:rsidR="00772C90">
        <w:t xml:space="preserve"> is being discussed within the Trust with a view to r</w:t>
      </w:r>
      <w:r w:rsidR="00854EF3" w:rsidRPr="004232AF">
        <w:t xml:space="preserve">eview the current approach and build upon the work already completed to fully embed the use </w:t>
      </w:r>
      <w:r w:rsidR="00772C90">
        <w:t>of Being Fair within the Trust</w:t>
      </w:r>
      <w:r w:rsidR="00854EF3" w:rsidRPr="00EB6E4F">
        <w:rPr>
          <w:szCs w:val="24"/>
        </w:rPr>
        <w:t>. This will be achieved by raising awareness of the tool to staff, ensuring that it is accessibl</w:t>
      </w:r>
      <w:r w:rsidR="00772C90">
        <w:rPr>
          <w:szCs w:val="24"/>
        </w:rPr>
        <w:t>e through organisational collaboration involving the People and Culture team to support staff,</w:t>
      </w:r>
      <w:r w:rsidR="00854EF3" w:rsidRPr="00EB6E4F">
        <w:rPr>
          <w:szCs w:val="24"/>
        </w:rPr>
        <w:t xml:space="preserve"> and providing training on how and when to apply it. The training will be monitored centrally as well as data from both the Culture Workstream and the Staff Survey results to demonstrate progress.</w:t>
      </w:r>
    </w:p>
    <w:p w14:paraId="197812A3" w14:textId="7A19B8AF" w:rsidR="00D06093" w:rsidRDefault="00C32393" w:rsidP="004232AF">
      <w:pPr>
        <w:pStyle w:val="Policybulletlevel2"/>
        <w:ind w:hanging="792"/>
        <w:rPr>
          <w:rFonts w:cs="Arial"/>
        </w:rPr>
      </w:pPr>
      <w:r>
        <w:rPr>
          <w:szCs w:val="24"/>
        </w:rPr>
        <w:t xml:space="preserve">The Terms of Reference of groups supporting PSIRF implementation include the </w:t>
      </w:r>
      <w:r w:rsidR="00660A77">
        <w:rPr>
          <w:szCs w:val="24"/>
        </w:rPr>
        <w:t xml:space="preserve">requirement to </w:t>
      </w:r>
      <w:bookmarkStart w:id="8" w:name="_Hlk172706505"/>
      <w:r w:rsidR="00D06093">
        <w:rPr>
          <w:rFonts w:cs="Arial"/>
        </w:rPr>
        <w:t xml:space="preserve">support a </w:t>
      </w:r>
      <w:r w:rsidR="00D06093" w:rsidRPr="004232AF">
        <w:t>just</w:t>
      </w:r>
      <w:r w:rsidR="00D06093">
        <w:rPr>
          <w:rFonts w:cs="Arial"/>
        </w:rPr>
        <w:t xml:space="preserve"> and learning culture, through breaking down hierarchies (</w:t>
      </w:r>
      <w:r w:rsidR="00D06093" w:rsidRPr="00D06093">
        <w:rPr>
          <w:szCs w:val="24"/>
        </w:rPr>
        <w:t>use</w:t>
      </w:r>
      <w:r w:rsidR="00D06093">
        <w:rPr>
          <w:rFonts w:cs="Arial"/>
        </w:rPr>
        <w:t xml:space="preserve"> of first names </w:t>
      </w:r>
      <w:r w:rsidR="00D06093">
        <w:rPr>
          <w:rFonts w:cs="Arial"/>
        </w:rPr>
        <w:lastRenderedPageBreak/>
        <w:t>regardless of role) and demonstrating civility and compassion within the incident review process.</w:t>
      </w:r>
    </w:p>
    <w:p w14:paraId="07955F22" w14:textId="52E7C53C" w:rsidR="008B74CB" w:rsidRDefault="00E07821" w:rsidP="007E7332">
      <w:pPr>
        <w:pStyle w:val="Policyheader"/>
      </w:pPr>
      <w:bookmarkStart w:id="9" w:name="_Toc199923746"/>
      <w:bookmarkEnd w:id="8"/>
      <w:r>
        <w:t>Patient Safety Partners</w:t>
      </w:r>
      <w:bookmarkEnd w:id="9"/>
    </w:p>
    <w:p w14:paraId="3211987D" w14:textId="752DD37B" w:rsidR="001B0C83" w:rsidRPr="004232AF" w:rsidRDefault="006A3DE0" w:rsidP="004232AF">
      <w:pPr>
        <w:pStyle w:val="Policybulletlevel2"/>
        <w:ind w:hanging="792"/>
        <w:rPr>
          <w:rFonts w:cs="Arial"/>
        </w:rPr>
      </w:pPr>
      <w:r>
        <w:rPr>
          <w:szCs w:val="24"/>
        </w:rPr>
        <w:t>P</w:t>
      </w:r>
      <w:r w:rsidR="001B0C83" w:rsidRPr="001B0C83">
        <w:rPr>
          <w:szCs w:val="24"/>
        </w:rPr>
        <w:t>atients</w:t>
      </w:r>
      <w:r w:rsidR="001B0C83">
        <w:rPr>
          <w:szCs w:val="24"/>
        </w:rPr>
        <w:t>, family members</w:t>
      </w:r>
      <w:r w:rsidR="001B0C83" w:rsidRPr="001B0C83">
        <w:rPr>
          <w:szCs w:val="24"/>
        </w:rPr>
        <w:t xml:space="preserve"> and carers can provide valuable insights based on their experience</w:t>
      </w:r>
      <w:r w:rsidR="001B0C83">
        <w:rPr>
          <w:szCs w:val="24"/>
        </w:rPr>
        <w:t xml:space="preserve"> and </w:t>
      </w:r>
      <w:r w:rsidR="005A29A6">
        <w:rPr>
          <w:szCs w:val="24"/>
        </w:rPr>
        <w:t xml:space="preserve">can work </w:t>
      </w:r>
      <w:r w:rsidR="001B0C83">
        <w:rPr>
          <w:szCs w:val="24"/>
        </w:rPr>
        <w:t xml:space="preserve">in </w:t>
      </w:r>
      <w:r w:rsidR="001B0C83" w:rsidRPr="004232AF">
        <w:rPr>
          <w:rFonts w:cs="Arial"/>
        </w:rPr>
        <w:t xml:space="preserve">partnership with Trust staff to develop and improve safety processes and responses. </w:t>
      </w:r>
    </w:p>
    <w:p w14:paraId="0821CD28" w14:textId="3BF9783C" w:rsidR="001B0C83" w:rsidRPr="004232AF" w:rsidRDefault="001B0C83" w:rsidP="004232AF">
      <w:pPr>
        <w:pStyle w:val="Policybulletlevel2"/>
        <w:ind w:hanging="792"/>
        <w:rPr>
          <w:rFonts w:cs="Arial"/>
        </w:rPr>
      </w:pPr>
      <w:r w:rsidRPr="004232AF">
        <w:rPr>
          <w:rFonts w:cs="Arial"/>
        </w:rPr>
        <w:t>Within the Trust the Patient Safety Partner</w:t>
      </w:r>
      <w:r w:rsidR="00CD6770" w:rsidRPr="004232AF">
        <w:rPr>
          <w:rFonts w:cs="Arial"/>
        </w:rPr>
        <w:t xml:space="preserve"> (PSP)</w:t>
      </w:r>
      <w:r w:rsidRPr="004232AF">
        <w:rPr>
          <w:rFonts w:cs="Arial"/>
        </w:rPr>
        <w:t xml:space="preserve"> </w:t>
      </w:r>
      <w:r w:rsidR="00013AE1" w:rsidRPr="004232AF">
        <w:rPr>
          <w:rFonts w:cs="Arial"/>
        </w:rPr>
        <w:t xml:space="preserve">roles are volunteer positions managed by a Deputy Head of Patient Safety </w:t>
      </w:r>
      <w:r w:rsidR="007A04C1" w:rsidRPr="004232AF">
        <w:rPr>
          <w:rFonts w:cs="Arial"/>
        </w:rPr>
        <w:t xml:space="preserve">in accordance with </w:t>
      </w:r>
      <w:r w:rsidR="00013AE1" w:rsidRPr="004232AF">
        <w:rPr>
          <w:rFonts w:cs="Arial"/>
        </w:rPr>
        <w:t>the Trust Volunteer Services policy and processes.</w:t>
      </w:r>
    </w:p>
    <w:p w14:paraId="6813B592" w14:textId="1EE9DECF" w:rsidR="00CD6770" w:rsidRPr="004232AF" w:rsidRDefault="00CD6770" w:rsidP="004232AF">
      <w:pPr>
        <w:pStyle w:val="Policybulletlevel2"/>
        <w:ind w:hanging="792"/>
        <w:rPr>
          <w:rFonts w:cs="Arial"/>
        </w:rPr>
      </w:pPr>
      <w:r w:rsidRPr="004232AF">
        <w:rPr>
          <w:rFonts w:cs="Arial"/>
        </w:rPr>
        <w:t>The Trust is required, under the NHS Standard Contract 2025/26</w:t>
      </w:r>
      <w:r w:rsidR="007E68E2">
        <w:rPr>
          <w:rFonts w:cs="Arial"/>
        </w:rPr>
        <w:t>,</w:t>
      </w:r>
      <w:r w:rsidRPr="004232AF">
        <w:rPr>
          <w:rFonts w:cs="Arial"/>
        </w:rPr>
        <w:t xml:space="preserve"> to have at least two PSPs.</w:t>
      </w:r>
    </w:p>
    <w:p w14:paraId="20867560" w14:textId="2C001E77" w:rsidR="001B0C83" w:rsidRDefault="00CD6770" w:rsidP="004232AF">
      <w:pPr>
        <w:pStyle w:val="Policybulletlevel2"/>
        <w:ind w:hanging="792"/>
        <w:rPr>
          <w:szCs w:val="24"/>
        </w:rPr>
      </w:pPr>
      <w:r>
        <w:rPr>
          <w:szCs w:val="24"/>
        </w:rPr>
        <w:t xml:space="preserve">The PSP role, dependent on </w:t>
      </w:r>
      <w:r w:rsidRPr="004232AF">
        <w:rPr>
          <w:rFonts w:cs="Arial"/>
        </w:rPr>
        <w:t>capacity</w:t>
      </w:r>
      <w:r>
        <w:rPr>
          <w:szCs w:val="24"/>
        </w:rPr>
        <w:t>, include</w:t>
      </w:r>
      <w:r w:rsidR="00F74C01">
        <w:rPr>
          <w:szCs w:val="24"/>
        </w:rPr>
        <w:t>s</w:t>
      </w:r>
      <w:r w:rsidR="00FE4403">
        <w:rPr>
          <w:szCs w:val="24"/>
        </w:rPr>
        <w:t xml:space="preserve"> in priority order</w:t>
      </w:r>
      <w:r>
        <w:rPr>
          <w:szCs w:val="24"/>
        </w:rPr>
        <w:t>:</w:t>
      </w:r>
    </w:p>
    <w:p w14:paraId="37B27458" w14:textId="76B66481" w:rsidR="00FE4403" w:rsidRPr="00FE4403" w:rsidRDefault="00FE4403" w:rsidP="00FE4403">
      <w:pPr>
        <w:pStyle w:val="PolicybulletLevel3"/>
        <w:ind w:left="1701" w:hanging="850"/>
      </w:pPr>
      <w:r w:rsidRPr="00FE4403">
        <w:t>Participation in investigation oversight i.e. the Trust Learning Response Approval Panel.</w:t>
      </w:r>
    </w:p>
    <w:p w14:paraId="2B1C1722" w14:textId="2F343751" w:rsidR="00CD6770" w:rsidRPr="00FE4403" w:rsidRDefault="00CD6770" w:rsidP="00FE4403">
      <w:pPr>
        <w:pStyle w:val="PolicybulletLevel3"/>
        <w:ind w:left="1701" w:hanging="850"/>
      </w:pPr>
      <w:r w:rsidRPr="00FE4403">
        <w:t xml:space="preserve">Membership of named </w:t>
      </w:r>
      <w:r w:rsidR="00FE4403" w:rsidRPr="00FE4403">
        <w:t xml:space="preserve">safety committees / groups </w:t>
      </w:r>
      <w:r w:rsidR="007A04C1">
        <w:t>with</w:t>
      </w:r>
      <w:r w:rsidR="00FE4403" w:rsidRPr="00FE4403">
        <w:t xml:space="preserve"> responsibility </w:t>
      </w:r>
      <w:r w:rsidR="007A04C1">
        <w:t>for</w:t>
      </w:r>
      <w:r w:rsidR="00FE4403" w:rsidRPr="00FE4403">
        <w:t xml:space="preserve"> the review and analysis of safety data.</w:t>
      </w:r>
    </w:p>
    <w:p w14:paraId="3B91DEDD" w14:textId="4E3AA039" w:rsidR="00FE4403" w:rsidRPr="00FE4403" w:rsidRDefault="00FE4403" w:rsidP="00FE4403">
      <w:pPr>
        <w:pStyle w:val="PolicybulletLevel3"/>
        <w:ind w:left="1701" w:hanging="850"/>
      </w:pPr>
      <w:r w:rsidRPr="00FE4403">
        <w:t>Involvement in patient safety improvement projects.</w:t>
      </w:r>
    </w:p>
    <w:p w14:paraId="3A21922F" w14:textId="242A8095" w:rsidR="00FE4403" w:rsidRPr="00FE4403" w:rsidRDefault="00FE4403" w:rsidP="00FE4403">
      <w:pPr>
        <w:pStyle w:val="PolicybulletLevel3"/>
        <w:ind w:left="1701" w:hanging="850"/>
      </w:pPr>
      <w:r w:rsidRPr="00FE4403">
        <w:t>Involvement in staff patient safety training.</w:t>
      </w:r>
    </w:p>
    <w:p w14:paraId="0D939180" w14:textId="223F9DA7" w:rsidR="00FE4403" w:rsidRPr="00FE4403" w:rsidRDefault="00FE4403" w:rsidP="00FE4403">
      <w:pPr>
        <w:pStyle w:val="PolicybulletLevel3"/>
        <w:ind w:left="1701" w:hanging="850"/>
      </w:pPr>
      <w:r w:rsidRPr="00FE4403">
        <w:t>Working with and in support of the Trust Board to consider how to improve patient safety.</w:t>
      </w:r>
    </w:p>
    <w:p w14:paraId="638B1BA3" w14:textId="14603E50" w:rsidR="00E07821" w:rsidRDefault="00E07821" w:rsidP="007E7332">
      <w:pPr>
        <w:pStyle w:val="Policyheader"/>
      </w:pPr>
      <w:bookmarkStart w:id="10" w:name="_Toc199923747"/>
      <w:r>
        <w:t>Addressing Health Inequalities</w:t>
      </w:r>
      <w:bookmarkEnd w:id="10"/>
    </w:p>
    <w:p w14:paraId="41C21592" w14:textId="409FFBE8" w:rsidR="00C51B5A" w:rsidRPr="006F5BA6" w:rsidRDefault="00C51B5A" w:rsidP="002D3665">
      <w:pPr>
        <w:pStyle w:val="Policybulletlevel2"/>
        <w:ind w:hanging="792"/>
        <w:rPr>
          <w:szCs w:val="24"/>
        </w:rPr>
      </w:pPr>
      <w:r w:rsidRPr="006F5BA6">
        <w:rPr>
          <w:szCs w:val="24"/>
        </w:rPr>
        <w:t xml:space="preserve">Inequalities and Health Inequalities will be considered </w:t>
      </w:r>
      <w:r>
        <w:rPr>
          <w:szCs w:val="24"/>
        </w:rPr>
        <w:t>within each element of the PSIR plan,</w:t>
      </w:r>
      <w:r w:rsidRPr="006F5BA6">
        <w:rPr>
          <w:szCs w:val="24"/>
        </w:rPr>
        <w:t xml:space="preserve"> with contributory factors related to protected characteristics under the Equality Act 2010 and health inclusion being assessed. </w:t>
      </w:r>
    </w:p>
    <w:p w14:paraId="29092D20" w14:textId="3605DF2F" w:rsidR="00AE5F18" w:rsidRDefault="00AE5F18" w:rsidP="004232AF">
      <w:pPr>
        <w:pStyle w:val="Policybulletlevel2"/>
        <w:ind w:hanging="792"/>
        <w:rPr>
          <w:szCs w:val="24"/>
        </w:rPr>
      </w:pPr>
      <w:r>
        <w:rPr>
          <w:szCs w:val="24"/>
        </w:rPr>
        <w:t xml:space="preserve">The Trust recognises the </w:t>
      </w:r>
      <w:r w:rsidRPr="004232AF">
        <w:rPr>
          <w:rFonts w:cs="Arial"/>
        </w:rPr>
        <w:t>opportunities</w:t>
      </w:r>
      <w:r>
        <w:rPr>
          <w:szCs w:val="24"/>
        </w:rPr>
        <w:t xml:space="preserve"> for local implementation of the Patient safety healthcare inequalities reduction framework (NHSE, 2025</w:t>
      </w:r>
      <w:r w:rsidR="002733B8">
        <w:rPr>
          <w:szCs w:val="24"/>
        </w:rPr>
        <w:t>b</w:t>
      </w:r>
      <w:r>
        <w:rPr>
          <w:szCs w:val="24"/>
        </w:rPr>
        <w:t>).  The five principles are:</w:t>
      </w:r>
    </w:p>
    <w:p w14:paraId="1C681B76" w14:textId="35AD53FE" w:rsidR="00AE5F18" w:rsidRPr="00AE5F18" w:rsidRDefault="00AE5F18" w:rsidP="004E036C">
      <w:pPr>
        <w:pStyle w:val="PolicybulletLevel3"/>
        <w:numPr>
          <w:ilvl w:val="0"/>
          <w:numId w:val="0"/>
        </w:numPr>
        <w:ind w:left="851"/>
      </w:pPr>
      <w:r w:rsidRPr="004E036C">
        <w:rPr>
          <w:b/>
        </w:rPr>
        <w:t>Principle 1:</w:t>
      </w:r>
      <w:r w:rsidRPr="00AE5F18">
        <w:t xml:space="preserve"> All staff, patients, service users, families and carers have access to information, translation and interpretation services when needed.</w:t>
      </w:r>
    </w:p>
    <w:p w14:paraId="7BDE1E62" w14:textId="793EA8EC" w:rsidR="00AE5F18" w:rsidRPr="00AE5F18" w:rsidRDefault="00AE5F18" w:rsidP="004E036C">
      <w:pPr>
        <w:pStyle w:val="PolicybulletLevel3"/>
        <w:numPr>
          <w:ilvl w:val="0"/>
          <w:numId w:val="0"/>
        </w:numPr>
        <w:ind w:left="851"/>
      </w:pPr>
      <w:r w:rsidRPr="004E036C">
        <w:rPr>
          <w:b/>
        </w:rPr>
        <w:t>Principle 2:</w:t>
      </w:r>
      <w:r w:rsidRPr="00AE5F18">
        <w:t xml:space="preserve"> All healthcare staff receive undergraduate patient safety training, ongoing training, and accessible resources that improve their awareness and understanding of healthcare inequalities related to patient safety risks.</w:t>
      </w:r>
    </w:p>
    <w:p w14:paraId="4E242A9C" w14:textId="29FB2C0A" w:rsidR="00AE5F18" w:rsidRPr="00AE5F18" w:rsidRDefault="00AE5F18" w:rsidP="004E036C">
      <w:pPr>
        <w:pStyle w:val="PolicybulletLevel3"/>
        <w:numPr>
          <w:ilvl w:val="0"/>
          <w:numId w:val="0"/>
        </w:numPr>
        <w:ind w:left="851"/>
      </w:pPr>
      <w:r w:rsidRPr="004E036C">
        <w:rPr>
          <w:b/>
        </w:rPr>
        <w:t>Principle 3:</w:t>
      </w:r>
      <w:r w:rsidRPr="00AE5F18">
        <w:t xml:space="preserve"> Accurate and complete diversity data are collected  for protected characteristics and inclusion health groups on digital platforms. This work includes making disaggregated data available so evaluation can drive improvements in patient safety and healthcare inequalities.</w:t>
      </w:r>
    </w:p>
    <w:p w14:paraId="5E1B5D2F" w14:textId="54200D89" w:rsidR="00AE5F18" w:rsidRPr="00AE5F18" w:rsidRDefault="00AE5F18" w:rsidP="004E036C">
      <w:pPr>
        <w:pStyle w:val="PolicybulletLevel3"/>
        <w:numPr>
          <w:ilvl w:val="0"/>
          <w:numId w:val="0"/>
        </w:numPr>
        <w:ind w:left="851"/>
      </w:pPr>
      <w:r w:rsidRPr="004E036C">
        <w:rPr>
          <w:b/>
        </w:rPr>
        <w:lastRenderedPageBreak/>
        <w:t>Principle 4:</w:t>
      </w:r>
      <w:r w:rsidRPr="00AE5F18">
        <w:t xml:space="preserve"> Representatives of diverse communities are involved in the design and delivery of improvements aimed at reducing patient safety healthcare inequalities. This co-production involves drawing on the knowledge and experience of patients, service users, carers, families, communities and staff.</w:t>
      </w:r>
    </w:p>
    <w:p w14:paraId="69F31D21" w14:textId="24D0665D" w:rsidR="00AE5F18" w:rsidRPr="00AE5F18" w:rsidRDefault="00AE5F18" w:rsidP="004E036C">
      <w:pPr>
        <w:pStyle w:val="PolicybulletLevel3"/>
        <w:numPr>
          <w:ilvl w:val="0"/>
          <w:numId w:val="0"/>
        </w:numPr>
        <w:ind w:left="851"/>
      </w:pPr>
      <w:r w:rsidRPr="004E036C">
        <w:rPr>
          <w:b/>
        </w:rPr>
        <w:t>Principle 5:</w:t>
      </w:r>
      <w:r w:rsidRPr="00AE5F18">
        <w:t xml:space="preserve"> Improve the understanding of patient safety healthcare inequalities and drive improvement through identifying priority areas for research.</w:t>
      </w:r>
    </w:p>
    <w:p w14:paraId="5DD29CAF" w14:textId="439908A1" w:rsidR="00AE5F18" w:rsidRPr="00AE5F18" w:rsidRDefault="00857629" w:rsidP="004232AF">
      <w:pPr>
        <w:pStyle w:val="Policybulletlevel2"/>
        <w:ind w:hanging="792"/>
        <w:rPr>
          <w:szCs w:val="24"/>
        </w:rPr>
      </w:pPr>
      <w:r w:rsidRPr="00AE5F18">
        <w:rPr>
          <w:szCs w:val="24"/>
        </w:rPr>
        <w:t>The Trust is working toward improving the analysis of health inequalities</w:t>
      </w:r>
      <w:r w:rsidR="000D10FE" w:rsidRPr="00AE5F18">
        <w:rPr>
          <w:szCs w:val="24"/>
        </w:rPr>
        <w:t xml:space="preserve"> </w:t>
      </w:r>
      <w:r w:rsidR="00EC25E5">
        <w:rPr>
          <w:szCs w:val="24"/>
        </w:rPr>
        <w:t xml:space="preserve">in relation to </w:t>
      </w:r>
      <w:r w:rsidR="000D10FE" w:rsidRPr="00AE5F18">
        <w:rPr>
          <w:szCs w:val="24"/>
        </w:rPr>
        <w:t>patient safety event data</w:t>
      </w:r>
      <w:r w:rsidR="00AD7001">
        <w:rPr>
          <w:szCs w:val="24"/>
        </w:rPr>
        <w:t xml:space="preserve"> and contributory factors</w:t>
      </w:r>
      <w:r w:rsidR="000D10FE" w:rsidRPr="00AE5F18">
        <w:rPr>
          <w:szCs w:val="24"/>
        </w:rPr>
        <w:t xml:space="preserve">.  </w:t>
      </w:r>
      <w:r w:rsidR="00AD7001">
        <w:rPr>
          <w:szCs w:val="24"/>
        </w:rPr>
        <w:t xml:space="preserve">This could include </w:t>
      </w:r>
      <w:r w:rsidR="00AD7001">
        <w:t xml:space="preserve">incidents related to, and not limited to, </w:t>
      </w:r>
      <w:r w:rsidR="00AD7001">
        <w:rPr>
          <w:rFonts w:cs="Arial"/>
          <w:szCs w:val="24"/>
        </w:rPr>
        <w:t>non-availability of interpreters, differences in early identification of cancer at stage 1 and 2, based on patients’ ethnicity</w:t>
      </w:r>
      <w:r w:rsidR="003268CF">
        <w:rPr>
          <w:rFonts w:cs="Arial"/>
          <w:szCs w:val="24"/>
        </w:rPr>
        <w:t>, etc</w:t>
      </w:r>
      <w:r w:rsidR="00AD7001">
        <w:rPr>
          <w:rFonts w:cs="Arial"/>
          <w:szCs w:val="24"/>
        </w:rPr>
        <w:t xml:space="preserve">. </w:t>
      </w:r>
      <w:r w:rsidR="000D10FE" w:rsidRPr="00AE5F18">
        <w:rPr>
          <w:szCs w:val="24"/>
        </w:rPr>
        <w:t>The aim is to ensure the patient safety incident response processes support health equality and reduce inequality.</w:t>
      </w:r>
    </w:p>
    <w:p w14:paraId="003F0547" w14:textId="07C39509" w:rsidR="00DF4BD7" w:rsidRDefault="00234F81" w:rsidP="004232AF">
      <w:pPr>
        <w:pStyle w:val="Policybulletlevel2"/>
        <w:ind w:hanging="792"/>
        <w:rPr>
          <w:szCs w:val="24"/>
        </w:rPr>
      </w:pPr>
      <w:r>
        <w:rPr>
          <w:szCs w:val="24"/>
        </w:rPr>
        <w:t xml:space="preserve">The review of patient safety events and the learning responses </w:t>
      </w:r>
      <w:r w:rsidR="004559FE">
        <w:rPr>
          <w:szCs w:val="24"/>
        </w:rPr>
        <w:t>requires use of</w:t>
      </w:r>
      <w:r>
        <w:rPr>
          <w:szCs w:val="24"/>
        </w:rPr>
        <w:t xml:space="preserve"> the data available to identify any disproportionate risk to patients with </w:t>
      </w:r>
      <w:r w:rsidR="003268CF">
        <w:rPr>
          <w:szCs w:val="24"/>
        </w:rPr>
        <w:t xml:space="preserve">protected </w:t>
      </w:r>
      <w:r>
        <w:rPr>
          <w:szCs w:val="24"/>
        </w:rPr>
        <w:t xml:space="preserve">characteristics.  This information </w:t>
      </w:r>
      <w:r w:rsidR="007A04C1">
        <w:rPr>
          <w:szCs w:val="24"/>
        </w:rPr>
        <w:t>must be</w:t>
      </w:r>
      <w:r>
        <w:rPr>
          <w:szCs w:val="24"/>
        </w:rPr>
        <w:t xml:space="preserve"> </w:t>
      </w:r>
      <w:r w:rsidR="00EC25E5">
        <w:rPr>
          <w:szCs w:val="24"/>
        </w:rPr>
        <w:t xml:space="preserve">considered when developing the </w:t>
      </w:r>
      <w:r>
        <w:rPr>
          <w:szCs w:val="24"/>
        </w:rPr>
        <w:t xml:space="preserve">terms of reference of learning responses.  </w:t>
      </w:r>
    </w:p>
    <w:p w14:paraId="7C88C813" w14:textId="15ECCB61" w:rsidR="00234F81" w:rsidRPr="00FE472A" w:rsidRDefault="00DF4BD7" w:rsidP="004232AF">
      <w:pPr>
        <w:pStyle w:val="Policybulletlevel2"/>
        <w:ind w:hanging="792"/>
        <w:rPr>
          <w:szCs w:val="24"/>
        </w:rPr>
      </w:pPr>
      <w:r w:rsidRPr="00F36A76">
        <w:rPr>
          <w:szCs w:val="24"/>
        </w:rPr>
        <w:t>Appropriate consideration must</w:t>
      </w:r>
      <w:r w:rsidRPr="004232AF">
        <w:rPr>
          <w:szCs w:val="24"/>
        </w:rPr>
        <w:t xml:space="preserve"> be given to the needs of each patient, their carers and members of staff when planning to communicate with them during the review of incidents and completion of learning responses. This includes meeting any communication needs</w:t>
      </w:r>
      <w:r w:rsidR="00F74C01">
        <w:rPr>
          <w:szCs w:val="24"/>
        </w:rPr>
        <w:t xml:space="preserve">, </w:t>
      </w:r>
      <w:r w:rsidRPr="004232AF">
        <w:rPr>
          <w:szCs w:val="24"/>
        </w:rPr>
        <w:t>such as an interpreter and</w:t>
      </w:r>
      <w:r w:rsidR="00935ECE" w:rsidRPr="004232AF">
        <w:rPr>
          <w:szCs w:val="24"/>
        </w:rPr>
        <w:t xml:space="preserve"> the provision of</w:t>
      </w:r>
      <w:r w:rsidRPr="004232AF">
        <w:rPr>
          <w:szCs w:val="24"/>
        </w:rPr>
        <w:t xml:space="preserve"> information in an accessible format, or access to the Health Advocacy Service.</w:t>
      </w:r>
      <w:r w:rsidR="007E4CF5">
        <w:rPr>
          <w:szCs w:val="24"/>
        </w:rPr>
        <w:t xml:space="preserve">  Refer to the Interpreting and Translation policy.</w:t>
      </w:r>
    </w:p>
    <w:p w14:paraId="31DE86D3" w14:textId="7E93AD13" w:rsidR="00935ECE" w:rsidRDefault="00E55EBC" w:rsidP="004232AF">
      <w:pPr>
        <w:pStyle w:val="Policybulletlevel2"/>
        <w:ind w:hanging="792"/>
        <w:rPr>
          <w:szCs w:val="24"/>
        </w:rPr>
      </w:pPr>
      <w:r w:rsidRPr="00E55EBC">
        <w:rPr>
          <w:szCs w:val="24"/>
        </w:rPr>
        <w:t>Inequality is considered within learning responses through the application of a system-based approach which includes the holistic consideration of the ‘person’</w:t>
      </w:r>
      <w:r>
        <w:rPr>
          <w:szCs w:val="24"/>
        </w:rPr>
        <w:t xml:space="preserve"> within the SEIPS framework</w:t>
      </w:r>
      <w:r w:rsidR="00DF4BD7">
        <w:rPr>
          <w:szCs w:val="24"/>
        </w:rPr>
        <w:t xml:space="preserve"> (NHSE, 2022</w:t>
      </w:r>
      <w:r w:rsidR="003077CB">
        <w:rPr>
          <w:szCs w:val="24"/>
        </w:rPr>
        <w:t>d</w:t>
      </w:r>
      <w:r w:rsidR="00DF4BD7">
        <w:rPr>
          <w:szCs w:val="24"/>
        </w:rPr>
        <w:t>)</w:t>
      </w:r>
      <w:r>
        <w:rPr>
          <w:szCs w:val="24"/>
        </w:rPr>
        <w:t>.</w:t>
      </w:r>
      <w:r w:rsidRPr="00E55EBC">
        <w:rPr>
          <w:szCs w:val="24"/>
        </w:rPr>
        <w:t xml:space="preserve">  </w:t>
      </w:r>
    </w:p>
    <w:p w14:paraId="302A3404" w14:textId="0263AF69" w:rsidR="00857629" w:rsidRDefault="000D10FE" w:rsidP="004232AF">
      <w:pPr>
        <w:pStyle w:val="Policybulletlevel2"/>
        <w:ind w:hanging="792"/>
        <w:rPr>
          <w:szCs w:val="24"/>
        </w:rPr>
      </w:pPr>
      <w:r w:rsidRPr="00E55EBC">
        <w:rPr>
          <w:szCs w:val="24"/>
        </w:rPr>
        <w:t>The</w:t>
      </w:r>
      <w:r w:rsidR="00E55EBC" w:rsidRPr="00E55EBC">
        <w:rPr>
          <w:szCs w:val="24"/>
        </w:rPr>
        <w:t xml:space="preserve"> development of safety actions utilises the iFACES criteria</w:t>
      </w:r>
      <w:r w:rsidR="00DF4BD7">
        <w:rPr>
          <w:szCs w:val="24"/>
        </w:rPr>
        <w:t xml:space="preserve"> (NHSE, 2022</w:t>
      </w:r>
      <w:r w:rsidR="003077CB">
        <w:rPr>
          <w:szCs w:val="24"/>
        </w:rPr>
        <w:t>c</w:t>
      </w:r>
      <w:r w:rsidR="00DF4BD7">
        <w:rPr>
          <w:szCs w:val="24"/>
        </w:rPr>
        <w:t>)</w:t>
      </w:r>
      <w:r w:rsidR="00935ECE">
        <w:rPr>
          <w:szCs w:val="24"/>
        </w:rPr>
        <w:t>,</w:t>
      </w:r>
      <w:r w:rsidR="00E55EBC" w:rsidRPr="00E55EBC">
        <w:rPr>
          <w:szCs w:val="24"/>
        </w:rPr>
        <w:t xml:space="preserve"> to quantify the potential value of safety actions, the first element of which is inequality.</w:t>
      </w:r>
      <w:r w:rsidRPr="00E55EBC">
        <w:rPr>
          <w:szCs w:val="24"/>
        </w:rPr>
        <w:t xml:space="preserve"> </w:t>
      </w:r>
      <w:r w:rsidR="00FE472A">
        <w:rPr>
          <w:szCs w:val="24"/>
        </w:rPr>
        <w:t xml:space="preserve">The aim is to </w:t>
      </w:r>
      <w:r w:rsidR="00857629">
        <w:rPr>
          <w:szCs w:val="24"/>
        </w:rPr>
        <w:t xml:space="preserve">strengthen safety actions </w:t>
      </w:r>
      <w:r w:rsidR="00BF3140">
        <w:rPr>
          <w:szCs w:val="24"/>
        </w:rPr>
        <w:t>to address</w:t>
      </w:r>
      <w:r w:rsidR="00857629">
        <w:rPr>
          <w:szCs w:val="24"/>
        </w:rPr>
        <w:t xml:space="preserve"> </w:t>
      </w:r>
      <w:r w:rsidR="00204CE8">
        <w:rPr>
          <w:szCs w:val="24"/>
        </w:rPr>
        <w:t>unfair and avoidable differences in health outcomes and healthcare delivery within the Trust.</w:t>
      </w:r>
    </w:p>
    <w:p w14:paraId="738AF10D" w14:textId="4467857F" w:rsidR="00935ECE" w:rsidRDefault="00935ECE" w:rsidP="004232AF">
      <w:pPr>
        <w:pStyle w:val="Policybulletlevel2"/>
        <w:ind w:hanging="792"/>
        <w:rPr>
          <w:szCs w:val="24"/>
        </w:rPr>
      </w:pPr>
      <w:r>
        <w:rPr>
          <w:szCs w:val="24"/>
        </w:rPr>
        <w:t>Staff undertaking incident reviews and completing learning responses have access to internal and external training to adopt a system-based approach.  Coaching and peer review opportunities are also available from the Patient Safety and Quality Governance teams.</w:t>
      </w:r>
    </w:p>
    <w:p w14:paraId="52792304" w14:textId="3722686E" w:rsidR="00935ECE" w:rsidRDefault="00935ECE" w:rsidP="004232AF">
      <w:pPr>
        <w:pStyle w:val="Policybulletlevel2"/>
        <w:ind w:hanging="792"/>
        <w:rPr>
          <w:szCs w:val="24"/>
        </w:rPr>
      </w:pPr>
      <w:r>
        <w:rPr>
          <w:szCs w:val="24"/>
        </w:rPr>
        <w:t>The Trust has adopted the being fair tool (NHSE, 2025</w:t>
      </w:r>
      <w:r w:rsidR="002733B8">
        <w:rPr>
          <w:szCs w:val="24"/>
        </w:rPr>
        <w:t>a</w:t>
      </w:r>
      <w:r>
        <w:rPr>
          <w:szCs w:val="24"/>
        </w:rPr>
        <w:t xml:space="preserve">).  This tool replaces the ‘just culture guide’.  </w:t>
      </w:r>
      <w:r w:rsidR="006A3DE0">
        <w:rPr>
          <w:szCs w:val="24"/>
        </w:rPr>
        <w:t>The being fair tool requires consideration of differences in training practices internationally, cultural differences and health issues.  Note: the a</w:t>
      </w:r>
      <w:r>
        <w:rPr>
          <w:szCs w:val="24"/>
        </w:rPr>
        <w:t xml:space="preserve">pplication of this tool should only be considered when concerns about an individual’s conduct or fitness to practise are raised during a patient safety learning response.  It is not for routine use.  </w:t>
      </w:r>
    </w:p>
    <w:p w14:paraId="2B228FE6" w14:textId="7E9110F9" w:rsidR="00FE472A" w:rsidRPr="004559FE" w:rsidRDefault="00DF4BD7" w:rsidP="004232AF">
      <w:pPr>
        <w:pStyle w:val="Policybulletlevel2"/>
        <w:ind w:hanging="792"/>
        <w:rPr>
          <w:szCs w:val="24"/>
        </w:rPr>
      </w:pPr>
      <w:r w:rsidRPr="004232AF">
        <w:rPr>
          <w:szCs w:val="24"/>
        </w:rPr>
        <w:t>A Trust working group, formed annually for the review of health inequalities in relation to patient safety events, informs the PSIR</w:t>
      </w:r>
      <w:r w:rsidR="007A04C1" w:rsidRPr="004232AF">
        <w:rPr>
          <w:szCs w:val="24"/>
        </w:rPr>
        <w:t xml:space="preserve"> P</w:t>
      </w:r>
      <w:r w:rsidRPr="004232AF">
        <w:rPr>
          <w:szCs w:val="24"/>
        </w:rPr>
        <w:t xml:space="preserve">lan development. This includes the development and review of the </w:t>
      </w:r>
      <w:r w:rsidR="007A04C1" w:rsidRPr="004232AF">
        <w:rPr>
          <w:szCs w:val="24"/>
        </w:rPr>
        <w:t>PSIR Plan</w:t>
      </w:r>
      <w:r w:rsidRPr="004232AF">
        <w:rPr>
          <w:szCs w:val="24"/>
        </w:rPr>
        <w:t xml:space="preserve"> </w:t>
      </w:r>
      <w:r w:rsidR="00FE472A" w:rsidRPr="00F36A76">
        <w:rPr>
          <w:szCs w:val="24"/>
        </w:rPr>
        <w:t>Equality and Health Inequalities Impact Assessment (EHIA).</w:t>
      </w:r>
      <w:r w:rsidR="00FE472A">
        <w:t xml:space="preserve"> </w:t>
      </w:r>
    </w:p>
    <w:p w14:paraId="25B27381" w14:textId="34A72D33" w:rsidR="00E07821" w:rsidRPr="00E256AC" w:rsidRDefault="00E07821" w:rsidP="007E7332">
      <w:pPr>
        <w:pStyle w:val="Policyheader"/>
      </w:pPr>
      <w:bookmarkStart w:id="11" w:name="_Toc199923748"/>
      <w:r>
        <w:lastRenderedPageBreak/>
        <w:t xml:space="preserve">Engaging and involving patients, families and staff </w:t>
      </w:r>
      <w:r w:rsidRPr="00E256AC">
        <w:t>following a patient safety incident</w:t>
      </w:r>
      <w:bookmarkEnd w:id="11"/>
    </w:p>
    <w:p w14:paraId="6F3DDC45" w14:textId="6A846608" w:rsidR="001E2185" w:rsidRPr="001E2185" w:rsidRDefault="00761E95" w:rsidP="004232AF">
      <w:pPr>
        <w:pStyle w:val="Policybulletlevel2"/>
        <w:ind w:hanging="792"/>
        <w:rPr>
          <w:color w:val="000000" w:themeColor="text1"/>
          <w:szCs w:val="24"/>
        </w:rPr>
      </w:pPr>
      <w:r w:rsidRPr="00761E95">
        <w:t xml:space="preserve">PSIRF recognises that learning and improvement following a patient safety incident can only be achieved if supportive systems and processes are in place. It supports the </w:t>
      </w:r>
      <w:r w:rsidRPr="004232AF">
        <w:rPr>
          <w:szCs w:val="24"/>
        </w:rPr>
        <w:t>development</w:t>
      </w:r>
      <w:r w:rsidRPr="00761E95">
        <w:t xml:space="preserve"> of an effective patient safety incident response system that prioritises compassionate engagement and involvement of those affected by patient safety incidents this includes patients, families, and staff.  This involves working with those affected by patient safety incidents to understand and answer any questions they have in relation to the incident and signpost them to support as required</w:t>
      </w:r>
      <w:r>
        <w:t>.</w:t>
      </w:r>
    </w:p>
    <w:p w14:paraId="5E876ED0" w14:textId="5250A957" w:rsidR="00812876" w:rsidRPr="00812876" w:rsidRDefault="004E6287" w:rsidP="004232AF">
      <w:pPr>
        <w:pStyle w:val="Policybulletlevel2"/>
        <w:ind w:hanging="792"/>
      </w:pPr>
      <w:r>
        <w:rPr>
          <w:color w:val="000000" w:themeColor="text1"/>
          <w:szCs w:val="24"/>
        </w:rPr>
        <w:t>The Trust aims to create the foundations for meaningful engagement by</w:t>
      </w:r>
      <w:r w:rsidR="00812876">
        <w:rPr>
          <w:color w:val="000000" w:themeColor="text1"/>
          <w:szCs w:val="24"/>
        </w:rPr>
        <w:t xml:space="preserve"> ensuring there are </w:t>
      </w:r>
      <w:r w:rsidR="00812876" w:rsidRPr="004232AF">
        <w:t>processes</w:t>
      </w:r>
      <w:r w:rsidR="00812876">
        <w:rPr>
          <w:color w:val="000000" w:themeColor="text1"/>
          <w:szCs w:val="24"/>
        </w:rPr>
        <w:t xml:space="preserve"> in place to:</w:t>
      </w:r>
    </w:p>
    <w:p w14:paraId="12E40A8C" w14:textId="0EB8E174" w:rsidR="004E6287" w:rsidRPr="00812876" w:rsidRDefault="00812876" w:rsidP="00812876">
      <w:pPr>
        <w:pStyle w:val="PolicybulletLevel3"/>
        <w:ind w:left="1701" w:hanging="850"/>
      </w:pPr>
      <w:r w:rsidRPr="00812876">
        <w:t>P</w:t>
      </w:r>
      <w:r w:rsidR="004E6287" w:rsidRPr="00812876">
        <w:t>romot</w:t>
      </w:r>
      <w:r>
        <w:t>e</w:t>
      </w:r>
      <w:r w:rsidR="004E6287" w:rsidRPr="00812876">
        <w:t xml:space="preserve"> compassionate engagement and involvement </w:t>
      </w:r>
      <w:r w:rsidRPr="00812876">
        <w:t xml:space="preserve">and the development </w:t>
      </w:r>
      <w:r w:rsidR="004E6287" w:rsidRPr="00812876">
        <w:t>of psychological safet</w:t>
      </w:r>
      <w:r w:rsidRPr="00812876">
        <w:t>y within the groups responsible for reviewing incidents and learning responses.</w:t>
      </w:r>
    </w:p>
    <w:p w14:paraId="0554BABB" w14:textId="256299F9" w:rsidR="00812876" w:rsidRDefault="00812876" w:rsidP="00B34C04">
      <w:pPr>
        <w:pStyle w:val="PolicybulletLevel3"/>
        <w:ind w:left="1701" w:hanging="850"/>
      </w:pPr>
      <w:r>
        <w:t>Ensure staff who are responsible for engagement and involvement have access to the external training in involving those affected by patient safety incidents in the learning process (NHSE, 2022a)</w:t>
      </w:r>
      <w:r w:rsidR="007A04C1">
        <w:t xml:space="preserve"> and internal Duty of Candour training</w:t>
      </w:r>
      <w:r>
        <w:t>.</w:t>
      </w:r>
      <w:r w:rsidR="00B34C04">
        <w:t xml:space="preserve">  </w:t>
      </w:r>
    </w:p>
    <w:p w14:paraId="14DED765" w14:textId="33B3F7DA" w:rsidR="00812876" w:rsidRDefault="00812876" w:rsidP="00812876">
      <w:pPr>
        <w:pStyle w:val="PolicybulletLevel3"/>
        <w:ind w:left="1701" w:hanging="850"/>
      </w:pPr>
      <w:r>
        <w:t>Provide and signpost support available to patients, families and staff.</w:t>
      </w:r>
    </w:p>
    <w:p w14:paraId="373A2B48" w14:textId="789EE63A" w:rsidR="00812876" w:rsidRDefault="00812876" w:rsidP="00812876">
      <w:pPr>
        <w:pStyle w:val="PolicybulletLevel3"/>
        <w:ind w:left="1701" w:hanging="850"/>
      </w:pPr>
      <w:r>
        <w:t>Take account of individual needs to ensure inclusivity.</w:t>
      </w:r>
    </w:p>
    <w:p w14:paraId="34D3EB41" w14:textId="39460B4B" w:rsidR="00812876" w:rsidRDefault="00812876" w:rsidP="00812876">
      <w:pPr>
        <w:pStyle w:val="PolicybulletLevel3"/>
        <w:ind w:left="1701" w:hanging="850"/>
      </w:pPr>
      <w:r>
        <w:t>Provide clear information about the purpose of the learning response and what to expect from the process.</w:t>
      </w:r>
      <w:r w:rsidR="007A04C1" w:rsidRPr="007A04C1">
        <w:t xml:space="preserve"> </w:t>
      </w:r>
      <w:r w:rsidR="007A04C1">
        <w:t>The ideal is for the patient, family, staff and learning response and engagement leads to work together to achieve learning that will ensure improvements are made.</w:t>
      </w:r>
    </w:p>
    <w:p w14:paraId="220D5CEE" w14:textId="125773AD" w:rsidR="00812876" w:rsidRDefault="00812876" w:rsidP="00812876">
      <w:pPr>
        <w:pStyle w:val="PolicybulletLevel3"/>
        <w:ind w:left="1701" w:hanging="850"/>
      </w:pPr>
      <w:r>
        <w:t>Seek and act on feedback regarding the learning response.</w:t>
      </w:r>
    </w:p>
    <w:p w14:paraId="45EBCCC5" w14:textId="7A48EC1A" w:rsidR="00812876" w:rsidRPr="004E6287" w:rsidRDefault="00812876" w:rsidP="00812876">
      <w:pPr>
        <w:pStyle w:val="PolicybulletLevel3"/>
        <w:ind w:left="1701" w:hanging="850"/>
      </w:pPr>
      <w:r>
        <w:t>Manage dissatisfaction when the expectations of those affected are not met.</w:t>
      </w:r>
    </w:p>
    <w:p w14:paraId="22789BC2" w14:textId="14FAE588" w:rsidR="00A413AF" w:rsidRDefault="00A7474B" w:rsidP="004232AF">
      <w:pPr>
        <w:pStyle w:val="Policybulletlevel2"/>
        <w:ind w:hanging="792"/>
      </w:pPr>
      <w:r>
        <w:t xml:space="preserve">The learning response lead must endeavour to ensure openness and transparency in sharing information throughout the investigation with staff, patients and families.  This includes sharing information from the learning response at an early stage. This may be both written and verbal.  However, it is recognised that the </w:t>
      </w:r>
      <w:r w:rsidR="00A413AF">
        <w:t>engagement and involvement process must</w:t>
      </w:r>
      <w:r w:rsidR="00CE602C">
        <w:t xml:space="preserve"> consider whether sharing information may place the family or patient at risk and</w:t>
      </w:r>
      <w:r w:rsidR="00A413AF">
        <w:t xml:space="preserve"> be in keeping with the wishes of those affected as far as possible</w:t>
      </w:r>
      <w:r w:rsidR="00531021">
        <w:t>.</w:t>
      </w:r>
    </w:p>
    <w:p w14:paraId="22FAE39E" w14:textId="3508DBF2" w:rsidR="00A7474B" w:rsidRDefault="00A7474B" w:rsidP="004232AF">
      <w:pPr>
        <w:pStyle w:val="Policybulletlevel2"/>
        <w:ind w:hanging="792"/>
      </w:pPr>
      <w:r>
        <w:t xml:space="preserve">The learning response and/or engagement lead must ensure that the four key steps outlined by NHSE, HSIB and Learn Together (2022) are followed.  These </w:t>
      </w:r>
      <w:r w:rsidR="007A04C1">
        <w:t xml:space="preserve">steps outline the requirements for </w:t>
      </w:r>
      <w:r>
        <w:t>b</w:t>
      </w:r>
      <w:r w:rsidR="00A413AF">
        <w:t xml:space="preserve">efore contact, </w:t>
      </w:r>
      <w:r>
        <w:t>i</w:t>
      </w:r>
      <w:r w:rsidR="00A413AF">
        <w:t xml:space="preserve">nitial contact, </w:t>
      </w:r>
      <w:r>
        <w:t>c</w:t>
      </w:r>
      <w:r w:rsidR="00A413AF">
        <w:t xml:space="preserve">ontinued contact and </w:t>
      </w:r>
      <w:r>
        <w:t>c</w:t>
      </w:r>
      <w:r w:rsidR="00A413AF">
        <w:t>losing contact</w:t>
      </w:r>
      <w:r>
        <w:t>.</w:t>
      </w:r>
      <w:r w:rsidRPr="00A7474B">
        <w:t xml:space="preserve"> </w:t>
      </w:r>
      <w:r w:rsidR="00BB0BE0">
        <w:t xml:space="preserve">The </w:t>
      </w:r>
      <w:hyperlink r:id="rId10" w:history="1">
        <w:r w:rsidR="00BB0BE0" w:rsidRPr="00BB0BE0">
          <w:rPr>
            <w:rStyle w:val="Hyperlink"/>
          </w:rPr>
          <w:t>resources</w:t>
        </w:r>
      </w:hyperlink>
      <w:r w:rsidR="00BB0BE0">
        <w:t xml:space="preserve"> available to support engagement may be utilised by engagement leads.</w:t>
      </w:r>
    </w:p>
    <w:p w14:paraId="5C4C30AD" w14:textId="3CCC7BD4" w:rsidR="00A7474B" w:rsidRDefault="00A7474B" w:rsidP="004232AF">
      <w:pPr>
        <w:pStyle w:val="Policybulletlevel2"/>
        <w:ind w:hanging="792"/>
      </w:pPr>
      <w:r>
        <w:lastRenderedPageBreak/>
        <w:t xml:space="preserve">The engagement and involvement process is aligned with the professional and statutory Duty of Candour.  The latter being applicable to notifiable safety incidents (Care Quality Commission, 2022). </w:t>
      </w:r>
    </w:p>
    <w:p w14:paraId="3A1AD3F1" w14:textId="4D9893DC" w:rsidR="00E07821" w:rsidRDefault="00E07821" w:rsidP="007E7332">
      <w:pPr>
        <w:pStyle w:val="Policyheader"/>
      </w:pPr>
      <w:bookmarkStart w:id="12" w:name="_Toc199923749"/>
      <w:r>
        <w:t>Patient Safety Incident Response Planning</w:t>
      </w:r>
      <w:bookmarkEnd w:id="12"/>
    </w:p>
    <w:p w14:paraId="166B0078" w14:textId="13E024AF" w:rsidR="009A1155" w:rsidRDefault="00761E95" w:rsidP="004232AF">
      <w:pPr>
        <w:pStyle w:val="Policybulletlevel2"/>
        <w:ind w:hanging="792"/>
      </w:pPr>
      <w:r w:rsidRPr="00761E95">
        <w:t>PSIRF supports organisations to respond to incidents and safety issues in a way that maximises learning and improvement, rather than basing responses on arbitrary and subjective definitions of harm. Beyond nationally set requirements, organisations can explore patient safety incidents relevant to their context and the populations they serve rather than only those that meet a certain defined threshold</w:t>
      </w:r>
      <w:r>
        <w:t>.</w:t>
      </w:r>
    </w:p>
    <w:p w14:paraId="78AB9875" w14:textId="5C82E1CC" w:rsidR="00352E84" w:rsidRDefault="001F0DA7" w:rsidP="004232AF">
      <w:pPr>
        <w:pStyle w:val="Policybulletlevel2"/>
        <w:ind w:hanging="792"/>
      </w:pPr>
      <w:r>
        <w:t xml:space="preserve">The Trust </w:t>
      </w:r>
      <w:r w:rsidR="00F74C01">
        <w:t xml:space="preserve">patient safety </w:t>
      </w:r>
      <w:r w:rsidR="00352E84">
        <w:t>incident management processes aim to ensure that</w:t>
      </w:r>
      <w:r>
        <w:t xml:space="preserve"> a proportionate approach to </w:t>
      </w:r>
      <w:r w:rsidR="00352E84">
        <w:t xml:space="preserve">responding to </w:t>
      </w:r>
      <w:r>
        <w:t>patient safety incidents</w:t>
      </w:r>
      <w:r w:rsidR="00352E84">
        <w:t xml:space="preserve"> is adopted.  The aim being</w:t>
      </w:r>
      <w:r>
        <w:t xml:space="preserve"> to ensure that learning and improvement is </w:t>
      </w:r>
      <w:r w:rsidR="00352E84">
        <w:t xml:space="preserve">maximised, and resources are focused on supporting those affected and </w:t>
      </w:r>
      <w:r w:rsidR="00A834F6">
        <w:t xml:space="preserve">to strengthen </w:t>
      </w:r>
      <w:r w:rsidR="00352E84">
        <w:t>improvement work.</w:t>
      </w:r>
    </w:p>
    <w:p w14:paraId="3494777E" w14:textId="40194A72" w:rsidR="009D7FB8" w:rsidRDefault="00D86D3A" w:rsidP="004232AF">
      <w:pPr>
        <w:pStyle w:val="Policybulletlevel2"/>
        <w:ind w:hanging="792"/>
      </w:pPr>
      <w:r>
        <w:t xml:space="preserve">There are </w:t>
      </w:r>
      <w:r w:rsidR="00F74C01">
        <w:t xml:space="preserve">additional </w:t>
      </w:r>
      <w:r>
        <w:t>PSIR plans for Maternity and Neonatal services and for Infection Prevention and Control, due to the specific requirements identified during the PSIR plan planning phase.  These plans are available as appendices to the main Trust PSIR plan.</w:t>
      </w:r>
    </w:p>
    <w:p w14:paraId="3F16F65E" w14:textId="61D30D21" w:rsidR="001F0DA7" w:rsidRDefault="00761E95" w:rsidP="004232AF">
      <w:pPr>
        <w:pStyle w:val="Policybulletlevel2"/>
        <w:ind w:hanging="792"/>
      </w:pPr>
      <w:r w:rsidRPr="00EB6E4F">
        <w:rPr>
          <w:b/>
          <w:szCs w:val="24"/>
        </w:rPr>
        <w:t xml:space="preserve">Resources and Training to Support </w:t>
      </w:r>
      <w:r>
        <w:rPr>
          <w:b/>
          <w:szCs w:val="24"/>
        </w:rPr>
        <w:t>P</w:t>
      </w:r>
      <w:r w:rsidRPr="00EB6E4F">
        <w:rPr>
          <w:b/>
          <w:szCs w:val="24"/>
        </w:rPr>
        <w:t>atient Safety Incident Response</w:t>
      </w:r>
    </w:p>
    <w:p w14:paraId="4F28C6AE" w14:textId="7DB25FED" w:rsidR="00761E95" w:rsidRDefault="001F0DA7" w:rsidP="00761E95">
      <w:pPr>
        <w:pStyle w:val="PolicybulletLevel3"/>
        <w:ind w:left="1701" w:hanging="850"/>
      </w:pPr>
      <w:r>
        <w:t>Learning response leads, those leading engagement and involvement and those in PSIRF oversight roles require specific knowledge and experience (NHSE, 2024).</w:t>
      </w:r>
    </w:p>
    <w:p w14:paraId="58A92B62" w14:textId="43DEB332" w:rsidR="001F0DA7" w:rsidRDefault="00493BEF" w:rsidP="00761E95">
      <w:pPr>
        <w:pStyle w:val="PolicybulletLevel3"/>
        <w:ind w:left="1701" w:hanging="850"/>
      </w:pPr>
      <w:r>
        <w:t>Patient Safety Incidents are reviewed and the most appropriate type of learning response identified</w:t>
      </w:r>
      <w:r w:rsidR="00516773">
        <w:t xml:space="preserve"> and</w:t>
      </w:r>
      <w:r w:rsidR="009E585E">
        <w:t xml:space="preserve"> the resource required.  </w:t>
      </w:r>
    </w:p>
    <w:p w14:paraId="518D5E8E" w14:textId="64109B85" w:rsidR="009E585E" w:rsidRDefault="009E585E" w:rsidP="00761E95">
      <w:pPr>
        <w:pStyle w:val="PolicybulletLevel3"/>
        <w:ind w:left="1701" w:hanging="850"/>
      </w:pPr>
      <w:r>
        <w:t>The patient safety team monitor the number of learning responses open weekly and work with quality governance and care group staff to manage the resource allocation and timeframes.</w:t>
      </w:r>
    </w:p>
    <w:p w14:paraId="640B38FB" w14:textId="6EA3B29D" w:rsidR="00493BEF" w:rsidRDefault="00493BEF" w:rsidP="00761E95">
      <w:pPr>
        <w:pStyle w:val="PolicybulletLevel3"/>
        <w:ind w:left="1701" w:hanging="850"/>
      </w:pPr>
      <w:r>
        <w:t>Patient Safety Incident Investigations (PSIIs)</w:t>
      </w:r>
      <w:r w:rsidR="00516773">
        <w:t>, Thematic Reviews and Multidisciplinary Team Reviews</w:t>
      </w:r>
      <w:r>
        <w:t xml:space="preserve"> are led by staff trained to at least Patient Safety Syllabus Level 3 (Developing professional skills in patient safety – Patient Safety Practitioner).  The roles fulfilling this function are the Quality Governance Business Partners (or equivalent roles), other governance based roles with a specific remit to undertaken patient safety investigations and the Corporate Patient Safety team members.</w:t>
      </w:r>
      <w:r w:rsidR="009E585E">
        <w:t xml:space="preserve">  Peer review is routine for all PSIIs and coaching support available from the Patient Safety Specialists.</w:t>
      </w:r>
    </w:p>
    <w:p w14:paraId="65B17E71" w14:textId="6EC61729" w:rsidR="00493BEF" w:rsidRDefault="00493BEF" w:rsidP="00761E95">
      <w:pPr>
        <w:pStyle w:val="PolicybulletLevel3"/>
        <w:ind w:left="1701" w:hanging="850"/>
      </w:pPr>
      <w:r>
        <w:t>After Action Reviews (AARs)</w:t>
      </w:r>
      <w:r w:rsidR="009E585E">
        <w:t>, on the whole,</w:t>
      </w:r>
      <w:r>
        <w:t xml:space="preserve"> </w:t>
      </w:r>
      <w:r w:rsidR="009E585E">
        <w:t>are</w:t>
      </w:r>
      <w:r>
        <w:t xml:space="preserve"> led by </w:t>
      </w:r>
      <w:r w:rsidR="009E585E">
        <w:t>nominated incident handlers</w:t>
      </w:r>
      <w:r>
        <w:t xml:space="preserve"> within the Care Groups.  The Trust quality governance staff facilitate and </w:t>
      </w:r>
      <w:r w:rsidR="00A834F6">
        <w:t xml:space="preserve">advise on </w:t>
      </w:r>
      <w:r>
        <w:t>the AAR process</w:t>
      </w:r>
      <w:r w:rsidR="00A834F6">
        <w:t xml:space="preserve"> including system based analysis</w:t>
      </w:r>
      <w:r>
        <w:t>.</w:t>
      </w:r>
    </w:p>
    <w:p w14:paraId="2B26D0D6" w14:textId="1B715766" w:rsidR="00516773" w:rsidRDefault="00516773" w:rsidP="00761E95">
      <w:pPr>
        <w:pStyle w:val="PolicybulletLevel3"/>
        <w:ind w:left="1701" w:hanging="850"/>
      </w:pPr>
      <w:r>
        <w:lastRenderedPageBreak/>
        <w:t xml:space="preserve">Swarm huddles and quality improvements are led by </w:t>
      </w:r>
      <w:r w:rsidR="009E585E">
        <w:t>nominated incident handlers</w:t>
      </w:r>
      <w:r>
        <w:t xml:space="preserve"> within the Care Groups.  Advice and guidance can be obtained from the patient safety, quality governance and quality improvement teams.</w:t>
      </w:r>
    </w:p>
    <w:p w14:paraId="34BB4BC8" w14:textId="2894F87F" w:rsidR="00516773" w:rsidRDefault="009E585E" w:rsidP="00761E95">
      <w:pPr>
        <w:pStyle w:val="PolicybulletLevel3"/>
        <w:ind w:left="1701" w:hanging="850"/>
      </w:pPr>
      <w:r>
        <w:t xml:space="preserve">A Patient Safety Training Needs Analysis covering all staff within the Trust informs the education and training requirements required for PSIRF implementation.  </w:t>
      </w:r>
      <w:r w:rsidR="00E775E0">
        <w:t>Table 1</w:t>
      </w:r>
      <w:r>
        <w:t xml:space="preserve"> outlines the main requirements.</w:t>
      </w:r>
    </w:p>
    <w:tbl>
      <w:tblPr>
        <w:tblStyle w:val="TableGrid1"/>
        <w:tblW w:w="7655" w:type="dxa"/>
        <w:tblInd w:w="1696" w:type="dxa"/>
        <w:tblCellMar>
          <w:top w:w="57" w:type="dxa"/>
          <w:bottom w:w="57" w:type="dxa"/>
        </w:tblCellMar>
        <w:tblLook w:val="04A0" w:firstRow="1" w:lastRow="0" w:firstColumn="1" w:lastColumn="0" w:noHBand="0" w:noVBand="1"/>
      </w:tblPr>
      <w:tblGrid>
        <w:gridCol w:w="2835"/>
        <w:gridCol w:w="4820"/>
      </w:tblGrid>
      <w:tr w:rsidR="00E775E0" w:rsidRPr="00C51B5A" w14:paraId="215376B0" w14:textId="77777777" w:rsidTr="002D3665">
        <w:trPr>
          <w:cantSplit/>
          <w:tblHeader/>
        </w:trPr>
        <w:tc>
          <w:tcPr>
            <w:tcW w:w="2835" w:type="dxa"/>
          </w:tcPr>
          <w:p w14:paraId="0544B5DB" w14:textId="77777777" w:rsidR="00E775E0" w:rsidRPr="00C51B5A" w:rsidRDefault="00E775E0" w:rsidP="002D3665">
            <w:pPr>
              <w:spacing w:after="60"/>
              <w:rPr>
                <w:rFonts w:eastAsia="Calibri" w:cstheme="minorHAnsi"/>
                <w:bCs/>
                <w:sz w:val="20"/>
                <w:szCs w:val="20"/>
              </w:rPr>
            </w:pPr>
            <w:r w:rsidRPr="00C51B5A">
              <w:rPr>
                <w:rFonts w:eastAsia="Calibri" w:cstheme="minorHAnsi"/>
                <w:bCs/>
                <w:sz w:val="20"/>
                <w:szCs w:val="20"/>
              </w:rPr>
              <w:t xml:space="preserve">Role </w:t>
            </w:r>
          </w:p>
        </w:tc>
        <w:tc>
          <w:tcPr>
            <w:tcW w:w="4820" w:type="dxa"/>
          </w:tcPr>
          <w:p w14:paraId="380134CD" w14:textId="77777777" w:rsidR="00E775E0" w:rsidRPr="00C51B5A" w:rsidRDefault="00E775E0" w:rsidP="002D3665">
            <w:pPr>
              <w:spacing w:after="60"/>
              <w:rPr>
                <w:rFonts w:eastAsia="Calibri" w:cstheme="minorHAnsi"/>
                <w:bCs/>
                <w:sz w:val="20"/>
                <w:szCs w:val="20"/>
              </w:rPr>
            </w:pPr>
            <w:r w:rsidRPr="00C51B5A">
              <w:rPr>
                <w:rFonts w:eastAsia="Calibri" w:cstheme="minorHAnsi"/>
                <w:bCs/>
                <w:sz w:val="20"/>
                <w:szCs w:val="20"/>
              </w:rPr>
              <w:t xml:space="preserve">Training Required </w:t>
            </w:r>
          </w:p>
        </w:tc>
      </w:tr>
      <w:tr w:rsidR="00E775E0" w:rsidRPr="00C51B5A" w14:paraId="7B4E560C" w14:textId="77777777" w:rsidTr="002D3665">
        <w:trPr>
          <w:cantSplit/>
        </w:trPr>
        <w:tc>
          <w:tcPr>
            <w:tcW w:w="2835" w:type="dxa"/>
          </w:tcPr>
          <w:p w14:paraId="19FD0C17"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 xml:space="preserve">Chief Nursing and Midwifery Officer (Executive Director Responsible for PSIRF) </w:t>
            </w:r>
          </w:p>
          <w:p w14:paraId="1BC59324"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and</w:t>
            </w:r>
          </w:p>
          <w:p w14:paraId="22DB2B21"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Chief Medical Officer</w:t>
            </w:r>
          </w:p>
          <w:p w14:paraId="5182F345" w14:textId="77777777" w:rsidR="00E775E0" w:rsidRPr="00C51B5A" w:rsidRDefault="00E775E0" w:rsidP="002D3665">
            <w:pPr>
              <w:spacing w:after="60"/>
              <w:rPr>
                <w:rFonts w:eastAsia="Calibri" w:cstheme="minorHAnsi"/>
                <w:sz w:val="20"/>
                <w:szCs w:val="20"/>
              </w:rPr>
            </w:pPr>
          </w:p>
          <w:p w14:paraId="3F756243"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Care Group Medical Directors</w:t>
            </w:r>
          </w:p>
          <w:p w14:paraId="05AA9C2E" w14:textId="3F1FE4AE" w:rsidR="00E775E0" w:rsidRPr="00C51B5A" w:rsidRDefault="00E775E0" w:rsidP="002D3665">
            <w:pPr>
              <w:spacing w:after="60"/>
              <w:rPr>
                <w:rFonts w:eastAsia="Calibri" w:cstheme="minorHAnsi"/>
                <w:sz w:val="20"/>
                <w:szCs w:val="20"/>
              </w:rPr>
            </w:pPr>
            <w:r w:rsidRPr="00C51B5A">
              <w:rPr>
                <w:rFonts w:eastAsia="Calibri" w:cstheme="minorHAnsi"/>
                <w:sz w:val="20"/>
                <w:szCs w:val="20"/>
              </w:rPr>
              <w:t>Care Group Directors of Nursing</w:t>
            </w:r>
          </w:p>
        </w:tc>
        <w:tc>
          <w:tcPr>
            <w:tcW w:w="4820" w:type="dxa"/>
          </w:tcPr>
          <w:p w14:paraId="7D364ADA" w14:textId="425BEE72" w:rsidR="00E775E0" w:rsidRPr="00C51B5A" w:rsidRDefault="00E775E0" w:rsidP="002D3665">
            <w:pPr>
              <w:spacing w:after="60"/>
              <w:rPr>
                <w:rFonts w:eastAsia="Calibri" w:cstheme="minorHAnsi"/>
                <w:sz w:val="20"/>
                <w:szCs w:val="20"/>
              </w:rPr>
            </w:pPr>
            <w:r w:rsidRPr="00C51B5A">
              <w:rPr>
                <w:rFonts w:eastAsia="Calibri" w:cstheme="minorHAnsi"/>
                <w:sz w:val="20"/>
                <w:szCs w:val="20"/>
              </w:rPr>
              <w:t>Level 1 Essentials of Patient Safety for all staff and for Senior Leadership and Trust Boards</w:t>
            </w:r>
          </w:p>
          <w:p w14:paraId="26E28B9A"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 xml:space="preserve">Level 2 Access to Practice </w:t>
            </w:r>
          </w:p>
          <w:p w14:paraId="5C1256E7"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A systems approach to investigating and learning from Patient Safety Incidents</w:t>
            </w:r>
          </w:p>
          <w:p w14:paraId="469CD274"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Involving those affected by patient safety incidents in the learning process</w:t>
            </w:r>
          </w:p>
          <w:p w14:paraId="0942939F"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 xml:space="preserve">Patient Safety Incident Response Framework Oversight </w:t>
            </w:r>
          </w:p>
          <w:p w14:paraId="5A25E851"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Continuing Professional Development (CPD) in incident response skills and knowledge</w:t>
            </w:r>
          </w:p>
        </w:tc>
      </w:tr>
      <w:tr w:rsidR="00E775E0" w:rsidRPr="00C51B5A" w14:paraId="57A2D573" w14:textId="77777777" w:rsidTr="002D3665">
        <w:tblPrEx>
          <w:tblCellMar>
            <w:top w:w="0" w:type="dxa"/>
            <w:bottom w:w="0" w:type="dxa"/>
          </w:tblCellMar>
        </w:tblPrEx>
        <w:trPr>
          <w:cantSplit/>
        </w:trPr>
        <w:tc>
          <w:tcPr>
            <w:tcW w:w="2835" w:type="dxa"/>
          </w:tcPr>
          <w:p w14:paraId="7383DC04"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 xml:space="preserve">Trust Board </w:t>
            </w:r>
          </w:p>
        </w:tc>
        <w:tc>
          <w:tcPr>
            <w:tcW w:w="4820" w:type="dxa"/>
          </w:tcPr>
          <w:p w14:paraId="249C6A62"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Level 1 Essentials of Patient Safety for all staff and for Boards and senior leadership teams</w:t>
            </w:r>
          </w:p>
          <w:p w14:paraId="1FA9FEDB"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Level 2 Access to Practice</w:t>
            </w:r>
          </w:p>
        </w:tc>
      </w:tr>
      <w:tr w:rsidR="00E775E0" w:rsidRPr="00C51B5A" w14:paraId="69D84CFA" w14:textId="77777777" w:rsidTr="002D3665">
        <w:trPr>
          <w:cantSplit/>
        </w:trPr>
        <w:tc>
          <w:tcPr>
            <w:tcW w:w="2835" w:type="dxa"/>
          </w:tcPr>
          <w:p w14:paraId="0747F669" w14:textId="5BD7585D" w:rsidR="00E775E0" w:rsidRPr="00C51B5A" w:rsidRDefault="00E775E0" w:rsidP="002D3665">
            <w:pPr>
              <w:spacing w:after="60"/>
              <w:rPr>
                <w:rFonts w:eastAsia="Calibri" w:cstheme="minorHAnsi"/>
                <w:sz w:val="20"/>
                <w:szCs w:val="20"/>
              </w:rPr>
            </w:pPr>
            <w:r w:rsidRPr="00C51B5A">
              <w:rPr>
                <w:rFonts w:eastAsia="Calibri" w:cstheme="minorHAnsi"/>
                <w:sz w:val="20"/>
                <w:szCs w:val="20"/>
              </w:rPr>
              <w:t xml:space="preserve">Patient Safety Specialists </w:t>
            </w:r>
          </w:p>
          <w:p w14:paraId="0EA9A318" w14:textId="01BFF07D" w:rsidR="00E775E0" w:rsidRPr="00C51B5A" w:rsidRDefault="00E775E0" w:rsidP="002D3665">
            <w:pPr>
              <w:spacing w:after="60"/>
              <w:rPr>
                <w:rFonts w:eastAsia="Calibri" w:cstheme="minorHAnsi"/>
                <w:sz w:val="20"/>
                <w:szCs w:val="20"/>
              </w:rPr>
            </w:pPr>
            <w:r w:rsidRPr="00C51B5A">
              <w:rPr>
                <w:rFonts w:eastAsia="Calibri" w:cstheme="minorHAnsi"/>
                <w:sz w:val="20"/>
                <w:szCs w:val="20"/>
              </w:rPr>
              <w:t>(Senior Patient Safety Practitioner)</w:t>
            </w:r>
          </w:p>
        </w:tc>
        <w:tc>
          <w:tcPr>
            <w:tcW w:w="4820" w:type="dxa"/>
          </w:tcPr>
          <w:p w14:paraId="1CE27DCD" w14:textId="07068688" w:rsidR="00E775E0" w:rsidRPr="00C51B5A" w:rsidRDefault="00E775E0" w:rsidP="002D3665">
            <w:pPr>
              <w:spacing w:after="60"/>
              <w:rPr>
                <w:rFonts w:eastAsia="Calibri" w:cstheme="minorHAnsi"/>
                <w:sz w:val="20"/>
                <w:szCs w:val="20"/>
              </w:rPr>
            </w:pPr>
            <w:r w:rsidRPr="00C51B5A">
              <w:rPr>
                <w:rFonts w:eastAsia="Calibri" w:cstheme="minorHAnsi"/>
                <w:sz w:val="20"/>
                <w:szCs w:val="20"/>
              </w:rPr>
              <w:t>Patient Safety Syllabus Level 1, 2 and 3 and 4 (external)</w:t>
            </w:r>
          </w:p>
          <w:p w14:paraId="3800F026"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Other relevant approved training</w:t>
            </w:r>
          </w:p>
          <w:p w14:paraId="1709B102"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CPD in incident response skills and knowledge</w:t>
            </w:r>
          </w:p>
        </w:tc>
      </w:tr>
      <w:tr w:rsidR="002D3665" w:rsidRPr="00C51B5A" w14:paraId="44A06AB0" w14:textId="77777777" w:rsidTr="002D3665">
        <w:tblPrEx>
          <w:tblCellMar>
            <w:top w:w="0" w:type="dxa"/>
            <w:bottom w:w="0" w:type="dxa"/>
          </w:tblCellMar>
        </w:tblPrEx>
        <w:tc>
          <w:tcPr>
            <w:tcW w:w="2835" w:type="dxa"/>
          </w:tcPr>
          <w:p w14:paraId="2112C29E" w14:textId="77777777" w:rsidR="002D3665" w:rsidRPr="00C51B5A" w:rsidRDefault="002D3665" w:rsidP="002D3665">
            <w:pPr>
              <w:spacing w:after="60"/>
              <w:rPr>
                <w:rFonts w:eastAsia="Calibri" w:cstheme="minorHAnsi"/>
                <w:sz w:val="20"/>
                <w:szCs w:val="20"/>
              </w:rPr>
            </w:pPr>
            <w:r>
              <w:rPr>
                <w:rFonts w:eastAsia="Calibri" w:cstheme="minorHAnsi"/>
                <w:sz w:val="20"/>
                <w:szCs w:val="20"/>
              </w:rPr>
              <w:t>PSII leads</w:t>
            </w:r>
          </w:p>
        </w:tc>
        <w:tc>
          <w:tcPr>
            <w:tcW w:w="4820" w:type="dxa"/>
          </w:tcPr>
          <w:p w14:paraId="67C0F7F2" w14:textId="77777777" w:rsidR="002D3665" w:rsidRDefault="002D3665" w:rsidP="002D3665">
            <w:pPr>
              <w:spacing w:after="60"/>
              <w:rPr>
                <w:rFonts w:eastAsia="Calibri" w:cstheme="minorHAnsi"/>
                <w:sz w:val="20"/>
                <w:szCs w:val="20"/>
              </w:rPr>
            </w:pPr>
            <w:r>
              <w:rPr>
                <w:rFonts w:eastAsia="Calibri" w:cstheme="minorHAnsi"/>
                <w:sz w:val="20"/>
                <w:szCs w:val="20"/>
              </w:rPr>
              <w:t>Patient Safety Syllabus Level 1, 2 and 3</w:t>
            </w:r>
          </w:p>
          <w:p w14:paraId="70F4E2DE" w14:textId="77777777" w:rsidR="002D3665" w:rsidRPr="00C51B5A" w:rsidRDefault="002D3665" w:rsidP="002D3665">
            <w:pPr>
              <w:spacing w:after="60"/>
              <w:rPr>
                <w:rFonts w:eastAsia="Calibri" w:cstheme="minorHAnsi"/>
                <w:sz w:val="20"/>
                <w:szCs w:val="20"/>
              </w:rPr>
            </w:pPr>
            <w:r w:rsidRPr="00C51B5A">
              <w:rPr>
                <w:rFonts w:eastAsia="Calibri" w:cstheme="minorHAnsi"/>
                <w:sz w:val="20"/>
                <w:szCs w:val="20"/>
              </w:rPr>
              <w:t>A systems approach to investigating and learning from patient safety incidents</w:t>
            </w:r>
          </w:p>
          <w:p w14:paraId="7DB04453" w14:textId="77777777" w:rsidR="002D3665" w:rsidRPr="00C51B5A" w:rsidRDefault="002D3665" w:rsidP="002D3665">
            <w:pPr>
              <w:spacing w:after="60"/>
              <w:rPr>
                <w:rFonts w:eastAsia="Calibri" w:cstheme="minorHAnsi"/>
                <w:sz w:val="20"/>
                <w:szCs w:val="20"/>
              </w:rPr>
            </w:pPr>
            <w:r w:rsidRPr="00C51B5A">
              <w:rPr>
                <w:rFonts w:eastAsia="Calibri" w:cstheme="minorHAnsi"/>
                <w:sz w:val="20"/>
                <w:szCs w:val="20"/>
              </w:rPr>
              <w:t>Involving those affected by patient safety incidents in the learning process</w:t>
            </w:r>
          </w:p>
          <w:p w14:paraId="6E3A10B9" w14:textId="77777777" w:rsidR="002D3665" w:rsidRPr="00C51B5A" w:rsidRDefault="002D3665" w:rsidP="002D3665">
            <w:pPr>
              <w:spacing w:after="60"/>
              <w:rPr>
                <w:rFonts w:eastAsia="Calibri" w:cstheme="minorHAnsi"/>
                <w:sz w:val="20"/>
                <w:szCs w:val="20"/>
              </w:rPr>
            </w:pPr>
            <w:r w:rsidRPr="00C51B5A">
              <w:rPr>
                <w:rFonts w:eastAsia="Calibri" w:cstheme="minorHAnsi"/>
                <w:sz w:val="20"/>
                <w:szCs w:val="20"/>
              </w:rPr>
              <w:t xml:space="preserve">Be provided with in-house coaching and </w:t>
            </w:r>
            <w:r>
              <w:rPr>
                <w:rFonts w:eastAsia="Calibri" w:cstheme="minorHAnsi"/>
                <w:sz w:val="20"/>
                <w:szCs w:val="20"/>
              </w:rPr>
              <w:t xml:space="preserve">peer </w:t>
            </w:r>
            <w:r w:rsidRPr="00C51B5A">
              <w:rPr>
                <w:rFonts w:eastAsia="Calibri" w:cstheme="minorHAnsi"/>
                <w:sz w:val="20"/>
                <w:szCs w:val="20"/>
              </w:rPr>
              <w:t>support when completing learning responses</w:t>
            </w:r>
          </w:p>
        </w:tc>
      </w:tr>
      <w:tr w:rsidR="00E775E0" w:rsidRPr="00C51B5A" w14:paraId="6A5950FD" w14:textId="77777777" w:rsidTr="002D3665">
        <w:trPr>
          <w:cantSplit/>
        </w:trPr>
        <w:tc>
          <w:tcPr>
            <w:tcW w:w="2835" w:type="dxa"/>
          </w:tcPr>
          <w:p w14:paraId="49BBDB9F" w14:textId="2536213F" w:rsidR="00E775E0" w:rsidRPr="00C51B5A" w:rsidRDefault="002D3665" w:rsidP="002D3665">
            <w:pPr>
              <w:spacing w:after="60"/>
              <w:rPr>
                <w:rFonts w:eastAsia="Calibri" w:cstheme="minorHAnsi"/>
                <w:sz w:val="20"/>
                <w:szCs w:val="20"/>
              </w:rPr>
            </w:pPr>
            <w:r>
              <w:rPr>
                <w:rFonts w:eastAsia="Calibri" w:cstheme="minorHAnsi"/>
                <w:sz w:val="20"/>
                <w:szCs w:val="20"/>
              </w:rPr>
              <w:t xml:space="preserve">Other PSIRF </w:t>
            </w:r>
            <w:r w:rsidR="00E775E0" w:rsidRPr="00C51B5A">
              <w:rPr>
                <w:rFonts w:eastAsia="Calibri" w:cstheme="minorHAnsi"/>
                <w:sz w:val="20"/>
                <w:szCs w:val="20"/>
              </w:rPr>
              <w:t xml:space="preserve">Learning Response Leads </w:t>
            </w:r>
          </w:p>
        </w:tc>
        <w:tc>
          <w:tcPr>
            <w:tcW w:w="4820" w:type="dxa"/>
          </w:tcPr>
          <w:p w14:paraId="46E541FF"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Patient Safety Syllabus Level 1 and 2</w:t>
            </w:r>
          </w:p>
          <w:p w14:paraId="6421A84E"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A systems approach to investigating and learning from patient safety incidents</w:t>
            </w:r>
          </w:p>
          <w:p w14:paraId="7A429BEA" w14:textId="3B798FAD" w:rsidR="00E775E0" w:rsidRPr="00C51B5A" w:rsidRDefault="00E775E0" w:rsidP="002D3665">
            <w:pPr>
              <w:spacing w:after="60"/>
              <w:rPr>
                <w:rFonts w:eastAsia="Calibri" w:cstheme="minorHAnsi"/>
                <w:sz w:val="20"/>
                <w:szCs w:val="20"/>
              </w:rPr>
            </w:pPr>
            <w:r w:rsidRPr="00C51B5A">
              <w:rPr>
                <w:rFonts w:eastAsia="Calibri" w:cstheme="minorHAnsi"/>
                <w:sz w:val="20"/>
                <w:szCs w:val="20"/>
              </w:rPr>
              <w:t>Involving those affected by patient safety incidents in the learning process</w:t>
            </w:r>
          </w:p>
          <w:p w14:paraId="4189B664" w14:textId="06F533CB" w:rsidR="00E775E0" w:rsidRPr="00C51B5A" w:rsidRDefault="00E775E0" w:rsidP="002D3665">
            <w:pPr>
              <w:spacing w:after="60"/>
              <w:rPr>
                <w:rFonts w:eastAsia="Calibri" w:cstheme="minorHAnsi"/>
                <w:sz w:val="20"/>
                <w:szCs w:val="20"/>
              </w:rPr>
            </w:pPr>
            <w:r w:rsidRPr="00C51B5A">
              <w:rPr>
                <w:rFonts w:eastAsia="Calibri" w:cstheme="minorHAnsi"/>
                <w:sz w:val="20"/>
                <w:szCs w:val="20"/>
              </w:rPr>
              <w:t>After Action Review training (external or in house)</w:t>
            </w:r>
          </w:p>
          <w:p w14:paraId="21D5DC80" w14:textId="49FC65D8" w:rsidR="00E775E0" w:rsidRDefault="00E775E0" w:rsidP="002D3665">
            <w:pPr>
              <w:spacing w:after="60"/>
              <w:rPr>
                <w:rFonts w:eastAsia="Calibri" w:cstheme="minorHAnsi"/>
                <w:sz w:val="20"/>
                <w:szCs w:val="20"/>
              </w:rPr>
            </w:pPr>
            <w:r w:rsidRPr="00C51B5A">
              <w:rPr>
                <w:rFonts w:eastAsia="Calibri" w:cstheme="minorHAnsi"/>
                <w:sz w:val="20"/>
                <w:szCs w:val="20"/>
              </w:rPr>
              <w:t>Swarm Huddle training (in house)</w:t>
            </w:r>
          </w:p>
          <w:p w14:paraId="72DBEF13" w14:textId="22FE3B97" w:rsidR="002D3665" w:rsidRDefault="002D3665" w:rsidP="002D3665">
            <w:pPr>
              <w:spacing w:after="60"/>
              <w:rPr>
                <w:rFonts w:eastAsia="Calibri" w:cstheme="minorHAnsi"/>
                <w:sz w:val="20"/>
                <w:szCs w:val="20"/>
              </w:rPr>
            </w:pPr>
            <w:r>
              <w:rPr>
                <w:rFonts w:eastAsia="Calibri" w:cstheme="minorHAnsi"/>
                <w:sz w:val="20"/>
                <w:szCs w:val="20"/>
              </w:rPr>
              <w:t>Thematic Review training (external)</w:t>
            </w:r>
          </w:p>
          <w:p w14:paraId="0E40E7E6" w14:textId="4771B0CE" w:rsidR="002D3665" w:rsidRPr="00C51B5A" w:rsidRDefault="002D3665" w:rsidP="002D3665">
            <w:pPr>
              <w:spacing w:after="60"/>
              <w:rPr>
                <w:rFonts w:eastAsia="Calibri" w:cstheme="minorHAnsi"/>
                <w:sz w:val="20"/>
                <w:szCs w:val="20"/>
              </w:rPr>
            </w:pPr>
            <w:r>
              <w:rPr>
                <w:rFonts w:eastAsia="Calibri" w:cstheme="minorHAnsi"/>
                <w:sz w:val="20"/>
                <w:szCs w:val="20"/>
              </w:rPr>
              <w:t>MDT review training (in house)</w:t>
            </w:r>
          </w:p>
          <w:p w14:paraId="68644934"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Be provided with in-house coaching and support when completing learning responses</w:t>
            </w:r>
          </w:p>
        </w:tc>
      </w:tr>
      <w:tr w:rsidR="002D3665" w:rsidRPr="00C51B5A" w14:paraId="7F9D91E8" w14:textId="77777777" w:rsidTr="002D3665">
        <w:trPr>
          <w:cantSplit/>
        </w:trPr>
        <w:tc>
          <w:tcPr>
            <w:tcW w:w="2835" w:type="dxa"/>
          </w:tcPr>
          <w:p w14:paraId="2B9FA583" w14:textId="1C095DCD" w:rsidR="002D3665" w:rsidRDefault="002D3665" w:rsidP="002D3665">
            <w:pPr>
              <w:spacing w:after="60"/>
              <w:rPr>
                <w:rFonts w:eastAsia="Calibri" w:cstheme="minorHAnsi"/>
                <w:sz w:val="20"/>
                <w:szCs w:val="20"/>
              </w:rPr>
            </w:pPr>
            <w:r>
              <w:rPr>
                <w:rFonts w:eastAsia="Calibri" w:cstheme="minorHAnsi"/>
                <w:sz w:val="20"/>
                <w:szCs w:val="20"/>
              </w:rPr>
              <w:t>LRMS reviews / investigations</w:t>
            </w:r>
          </w:p>
        </w:tc>
        <w:tc>
          <w:tcPr>
            <w:tcW w:w="4820" w:type="dxa"/>
          </w:tcPr>
          <w:p w14:paraId="269D67A3" w14:textId="289C4A0E" w:rsidR="002D3665" w:rsidRPr="00C51B5A" w:rsidRDefault="002D3665" w:rsidP="002D3665">
            <w:pPr>
              <w:spacing w:after="60"/>
              <w:rPr>
                <w:rFonts w:eastAsia="Calibri" w:cstheme="minorHAnsi"/>
                <w:sz w:val="20"/>
                <w:szCs w:val="20"/>
              </w:rPr>
            </w:pPr>
            <w:r>
              <w:rPr>
                <w:rFonts w:eastAsia="Calibri" w:cstheme="minorHAnsi"/>
                <w:sz w:val="20"/>
                <w:szCs w:val="20"/>
              </w:rPr>
              <w:t>LRMS training (in house)</w:t>
            </w:r>
          </w:p>
        </w:tc>
      </w:tr>
      <w:tr w:rsidR="00E775E0" w:rsidRPr="00C51B5A" w14:paraId="01055298" w14:textId="77777777" w:rsidTr="002D3665">
        <w:trPr>
          <w:cantSplit/>
        </w:trPr>
        <w:tc>
          <w:tcPr>
            <w:tcW w:w="2835" w:type="dxa"/>
          </w:tcPr>
          <w:p w14:paraId="7F84F8D6"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lastRenderedPageBreak/>
              <w:t xml:space="preserve">All Staff </w:t>
            </w:r>
          </w:p>
        </w:tc>
        <w:tc>
          <w:tcPr>
            <w:tcW w:w="4820" w:type="dxa"/>
          </w:tcPr>
          <w:p w14:paraId="2B4B1E68"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Level 1 Essentials of Patient Safety for all staff (Mandatory Training).</w:t>
            </w:r>
          </w:p>
          <w:p w14:paraId="7BDA4E93" w14:textId="77777777" w:rsidR="00E775E0" w:rsidRPr="00C51B5A" w:rsidRDefault="00E775E0" w:rsidP="002D3665">
            <w:pPr>
              <w:spacing w:after="60"/>
              <w:rPr>
                <w:rFonts w:eastAsia="Calibri" w:cstheme="minorHAnsi"/>
                <w:sz w:val="20"/>
                <w:szCs w:val="20"/>
              </w:rPr>
            </w:pPr>
            <w:r w:rsidRPr="00C51B5A">
              <w:rPr>
                <w:rFonts w:eastAsia="Calibri" w:cstheme="minorHAnsi"/>
                <w:sz w:val="20"/>
                <w:szCs w:val="20"/>
              </w:rPr>
              <w:t>Level 2 Access to Practice 1 and 2 (Essential to role)</w:t>
            </w:r>
          </w:p>
        </w:tc>
      </w:tr>
    </w:tbl>
    <w:p w14:paraId="51D5A364" w14:textId="03E4C773" w:rsidR="00E775E0" w:rsidRPr="00C51B5A" w:rsidRDefault="00E775E0" w:rsidP="00A834F6">
      <w:pPr>
        <w:pStyle w:val="Policybulletlevel2"/>
        <w:numPr>
          <w:ilvl w:val="0"/>
          <w:numId w:val="0"/>
        </w:numPr>
        <w:ind w:left="1701"/>
        <w:rPr>
          <w:sz w:val="20"/>
          <w:szCs w:val="20"/>
        </w:rPr>
      </w:pPr>
      <w:r w:rsidRPr="00C51B5A">
        <w:rPr>
          <w:sz w:val="20"/>
          <w:szCs w:val="20"/>
        </w:rPr>
        <w:t>Table 1: summary of PSIRF requirements included within the Trust Patient Safety Training Needs Analysis</w:t>
      </w:r>
    </w:p>
    <w:p w14:paraId="0FE7FFCD" w14:textId="57DE8B65" w:rsidR="009E585E" w:rsidRDefault="00E775E0" w:rsidP="004232AF">
      <w:pPr>
        <w:pStyle w:val="Policybulletlevel2"/>
        <w:ind w:hanging="792"/>
        <w:rPr>
          <w:b/>
          <w:szCs w:val="24"/>
        </w:rPr>
      </w:pPr>
      <w:r w:rsidRPr="00EB6E4F">
        <w:rPr>
          <w:b/>
          <w:szCs w:val="24"/>
        </w:rPr>
        <w:t>Our Patient Safety Incident Response Plan</w:t>
      </w:r>
    </w:p>
    <w:p w14:paraId="5476329D" w14:textId="6DFCFBA5" w:rsidR="004A4FAF" w:rsidRPr="004A4FAF" w:rsidRDefault="004A4FAF" w:rsidP="004232AF">
      <w:pPr>
        <w:pStyle w:val="PolicybulletLevel3"/>
        <w:ind w:left="1701" w:hanging="850"/>
      </w:pPr>
      <w:r>
        <w:rPr>
          <w:szCs w:val="24"/>
        </w:rPr>
        <w:t>The Trust PSIR</w:t>
      </w:r>
      <w:r w:rsidRPr="00EB6E4F">
        <w:rPr>
          <w:szCs w:val="24"/>
        </w:rPr>
        <w:t xml:space="preserve"> plan </w:t>
      </w:r>
      <w:r w:rsidRPr="004232AF">
        <w:t xml:space="preserve">sets out how the Trust intends to respond to patient safety incidents.  The plan is not a permanent set of rules that cannot be changed. It is flexible and considers </w:t>
      </w:r>
      <w:r w:rsidRPr="00607365">
        <w:t>the</w:t>
      </w:r>
      <w:r w:rsidRPr="004232AF">
        <w:t xml:space="preserve"> specific circumstances in which each patient safety incident occurred and the needs of those affected, as well as the plan. </w:t>
      </w:r>
    </w:p>
    <w:p w14:paraId="21D706E8" w14:textId="53716055" w:rsidR="004A4FAF" w:rsidRPr="004232AF" w:rsidRDefault="004A4FAF" w:rsidP="00607365">
      <w:pPr>
        <w:pStyle w:val="PolicybulletLevel3"/>
        <w:ind w:left="1701" w:hanging="850"/>
      </w:pPr>
      <w:r w:rsidRPr="004232AF">
        <w:t xml:space="preserve">The plan is a ‘living document’ that will be appropriately amended and updated as it is used to respond to patient safety incidents. </w:t>
      </w:r>
    </w:p>
    <w:p w14:paraId="2657E20D" w14:textId="1D2AEDC5" w:rsidR="001A749C" w:rsidRDefault="00A8068D" w:rsidP="00607365">
      <w:pPr>
        <w:pStyle w:val="PolicybulletLevel3"/>
        <w:ind w:left="1701" w:hanging="850"/>
        <w:rPr>
          <w:szCs w:val="24"/>
        </w:rPr>
      </w:pPr>
      <w:r w:rsidRPr="004232AF">
        <w:t>The plan will be reviewed as a minimum every six months to ensure our improvement work is focused on current patient safety issues.  This recognises that the patient safety incident</w:t>
      </w:r>
      <w:r>
        <w:rPr>
          <w:szCs w:val="24"/>
        </w:rPr>
        <w:t xml:space="preserve"> profile and understanding of contributory factors is likely to change over time. </w:t>
      </w:r>
      <w:r w:rsidRPr="00EB6E4F">
        <w:rPr>
          <w:szCs w:val="24"/>
        </w:rPr>
        <w:t xml:space="preserve">This will also provide an opportunity to re-engage with stakeholders to discuss and agree any changes made in the </w:t>
      </w:r>
      <w:r>
        <w:rPr>
          <w:szCs w:val="24"/>
        </w:rPr>
        <w:t>preceding months</w:t>
      </w:r>
      <w:r w:rsidR="001A749C">
        <w:rPr>
          <w:szCs w:val="24"/>
        </w:rPr>
        <w:t>.</w:t>
      </w:r>
    </w:p>
    <w:p w14:paraId="12F050D9" w14:textId="5C8F52FC" w:rsidR="00772C90" w:rsidRDefault="00772C90" w:rsidP="00607365">
      <w:pPr>
        <w:pStyle w:val="PolicybulletLevel3"/>
        <w:ind w:left="1701" w:hanging="850"/>
        <w:rPr>
          <w:szCs w:val="24"/>
        </w:rPr>
      </w:pPr>
      <w:r>
        <w:rPr>
          <w:szCs w:val="24"/>
        </w:rPr>
        <w:t>The review and development of the plan will be communicated with subsidiaries and partner providers e.g. Spencer Private Hospitals, 2gether Support Solutions, The Alliance (Urgent Treatment Centres), etc.</w:t>
      </w:r>
    </w:p>
    <w:p w14:paraId="54F40406" w14:textId="53F6B3D5" w:rsidR="00D82C90" w:rsidRPr="00D82C90" w:rsidRDefault="004A4FAF" w:rsidP="00D82C90">
      <w:pPr>
        <w:pStyle w:val="PolicybulletLevel3"/>
        <w:ind w:left="1701" w:hanging="850"/>
        <w:rPr>
          <w:szCs w:val="24"/>
        </w:rPr>
      </w:pPr>
      <w:r>
        <w:rPr>
          <w:szCs w:val="24"/>
        </w:rPr>
        <w:t xml:space="preserve">A </w:t>
      </w:r>
      <w:r w:rsidRPr="00EB6E4F">
        <w:rPr>
          <w:szCs w:val="24"/>
        </w:rPr>
        <w:t xml:space="preserve">rigorous </w:t>
      </w:r>
      <w:r w:rsidR="00C74B9D">
        <w:rPr>
          <w:szCs w:val="24"/>
        </w:rPr>
        <w:t xml:space="preserve">review and </w:t>
      </w:r>
      <w:r w:rsidRPr="00EB6E4F">
        <w:rPr>
          <w:szCs w:val="24"/>
        </w:rPr>
        <w:t>planning exercise will be undertaken every four years</w:t>
      </w:r>
      <w:r>
        <w:rPr>
          <w:szCs w:val="24"/>
        </w:rPr>
        <w:t xml:space="preserve">, or </w:t>
      </w:r>
      <w:r w:rsidRPr="00EB6E4F">
        <w:rPr>
          <w:szCs w:val="24"/>
        </w:rPr>
        <w:t xml:space="preserve">more frequently if appropriate (as agreed with the </w:t>
      </w:r>
      <w:r w:rsidR="001A749C">
        <w:rPr>
          <w:szCs w:val="24"/>
        </w:rPr>
        <w:t xml:space="preserve">Trust Board and </w:t>
      </w:r>
      <w:r w:rsidR="00CE2F40">
        <w:rPr>
          <w:szCs w:val="24"/>
        </w:rPr>
        <w:t xml:space="preserve">NHS </w:t>
      </w:r>
      <w:r w:rsidR="001A749C">
        <w:rPr>
          <w:szCs w:val="24"/>
        </w:rPr>
        <w:t>Kent and Medway Integrated Care Board - ICB</w:t>
      </w:r>
      <w:r w:rsidRPr="00EB6E4F">
        <w:rPr>
          <w:szCs w:val="24"/>
        </w:rPr>
        <w:t>)</w:t>
      </w:r>
      <w:r w:rsidR="00C74B9D">
        <w:rPr>
          <w:szCs w:val="24"/>
        </w:rPr>
        <w:t xml:space="preserve">.  This will ensure that the insight from data continues to drive </w:t>
      </w:r>
      <w:r w:rsidRPr="00EB6E4F">
        <w:rPr>
          <w:szCs w:val="24"/>
        </w:rPr>
        <w:t xml:space="preserve">improvement. This more in-depth review will include reviewing our response capacity, mapping our services, a wide review of organisational data (for example, PSII reports, improvement plans, </w:t>
      </w:r>
      <w:r w:rsidR="0097578D">
        <w:rPr>
          <w:szCs w:val="24"/>
        </w:rPr>
        <w:t xml:space="preserve">learning from deaths findings, </w:t>
      </w:r>
      <w:r w:rsidRPr="00EB6E4F">
        <w:rPr>
          <w:szCs w:val="24"/>
        </w:rPr>
        <w:t>complaints, claims, staff survey results, inequalities data, and reporting data) and wider stakeholder engagement.</w:t>
      </w:r>
    </w:p>
    <w:p w14:paraId="4B1B7B64" w14:textId="00E64535" w:rsidR="001A749C" w:rsidRDefault="004A4FAF" w:rsidP="00607365">
      <w:pPr>
        <w:pStyle w:val="PolicybulletLevel3"/>
        <w:ind w:left="1701" w:hanging="850"/>
        <w:rPr>
          <w:szCs w:val="24"/>
        </w:rPr>
      </w:pPr>
      <w:r>
        <w:rPr>
          <w:szCs w:val="24"/>
        </w:rPr>
        <w:t>T</w:t>
      </w:r>
      <w:r w:rsidRPr="00EB6E4F">
        <w:rPr>
          <w:szCs w:val="24"/>
        </w:rPr>
        <w:t xml:space="preserve">he review of both </w:t>
      </w:r>
      <w:r>
        <w:rPr>
          <w:szCs w:val="24"/>
        </w:rPr>
        <w:t xml:space="preserve">the policy and the plan </w:t>
      </w:r>
      <w:r w:rsidRPr="00EB6E4F">
        <w:rPr>
          <w:szCs w:val="24"/>
        </w:rPr>
        <w:t>will</w:t>
      </w:r>
      <w:r w:rsidR="00D82C90">
        <w:rPr>
          <w:szCs w:val="24"/>
        </w:rPr>
        <w:t xml:space="preserve"> consider the oversight questions (NHSE, 2022a) and</w:t>
      </w:r>
      <w:r w:rsidRPr="00EB6E4F">
        <w:rPr>
          <w:szCs w:val="24"/>
        </w:rPr>
        <w:t xml:space="preserve"> include </w:t>
      </w:r>
      <w:r w:rsidR="00D82C90">
        <w:rPr>
          <w:szCs w:val="24"/>
        </w:rPr>
        <w:t xml:space="preserve">review via </w:t>
      </w:r>
      <w:r w:rsidRPr="00EB6E4F">
        <w:rPr>
          <w:szCs w:val="24"/>
        </w:rPr>
        <w:t>the</w:t>
      </w:r>
      <w:r w:rsidR="001A749C">
        <w:rPr>
          <w:szCs w:val="24"/>
        </w:rPr>
        <w:t xml:space="preserve"> ICB PSIRF Oversight Group (POG)</w:t>
      </w:r>
      <w:r w:rsidR="00D82C90">
        <w:rPr>
          <w:szCs w:val="24"/>
        </w:rPr>
        <w:t xml:space="preserve"> (Patient Safety Specialists from providers and the ICB quality team across Kent and Medway).</w:t>
      </w:r>
    </w:p>
    <w:p w14:paraId="0E2FF28A" w14:textId="3C137549" w:rsidR="001A749C" w:rsidRPr="001A749C" w:rsidRDefault="001A749C" w:rsidP="003268CF">
      <w:pPr>
        <w:pStyle w:val="PolicybulletLevel3"/>
        <w:ind w:left="1701" w:hanging="850"/>
        <w:rPr>
          <w:szCs w:val="24"/>
        </w:rPr>
      </w:pPr>
      <w:r>
        <w:rPr>
          <w:szCs w:val="24"/>
        </w:rPr>
        <w:t xml:space="preserve">The plan will </w:t>
      </w:r>
      <w:r w:rsidRPr="00EB6E4F">
        <w:rPr>
          <w:szCs w:val="24"/>
        </w:rPr>
        <w:t xml:space="preserve">be published on our </w:t>
      </w:r>
      <w:r>
        <w:rPr>
          <w:szCs w:val="24"/>
        </w:rPr>
        <w:t xml:space="preserve">public facing </w:t>
      </w:r>
      <w:r w:rsidRPr="00EB6E4F">
        <w:rPr>
          <w:szCs w:val="24"/>
        </w:rPr>
        <w:t>website</w:t>
      </w:r>
      <w:r>
        <w:rPr>
          <w:szCs w:val="24"/>
        </w:rPr>
        <w:t>;</w:t>
      </w:r>
      <w:r w:rsidRPr="00EB6E4F">
        <w:rPr>
          <w:szCs w:val="24"/>
        </w:rPr>
        <w:t xml:space="preserve"> replacing the previous version which will be archived.</w:t>
      </w:r>
      <w:r w:rsidR="003268CF" w:rsidRPr="001A749C">
        <w:rPr>
          <w:szCs w:val="24"/>
        </w:rPr>
        <w:t xml:space="preserve"> </w:t>
      </w:r>
    </w:p>
    <w:p w14:paraId="4F5CEED7" w14:textId="77777777" w:rsidR="003268CF" w:rsidRDefault="003268CF" w:rsidP="003268CF">
      <w:pPr>
        <w:pStyle w:val="Policyheader"/>
        <w:numPr>
          <w:ilvl w:val="0"/>
          <w:numId w:val="0"/>
        </w:numPr>
        <w:ind w:left="851"/>
      </w:pPr>
      <w:bookmarkStart w:id="13" w:name="_Toc199923750"/>
    </w:p>
    <w:p w14:paraId="74E33A35" w14:textId="518751E0" w:rsidR="00E07821" w:rsidRDefault="00E07821" w:rsidP="007E7332">
      <w:pPr>
        <w:pStyle w:val="Policyheader"/>
      </w:pPr>
      <w:r>
        <w:t>Responding to Patient Safety Events</w:t>
      </w:r>
      <w:bookmarkEnd w:id="13"/>
    </w:p>
    <w:p w14:paraId="113A9540" w14:textId="2046F7C6" w:rsidR="00274A29" w:rsidRPr="00274A29" w:rsidRDefault="00274A29" w:rsidP="00DA518C">
      <w:pPr>
        <w:pStyle w:val="Policybulletlevel2"/>
        <w:rPr>
          <w:b/>
        </w:rPr>
      </w:pPr>
      <w:r w:rsidRPr="00274A29">
        <w:rPr>
          <w:b/>
        </w:rPr>
        <w:t>Reporting</w:t>
      </w:r>
      <w:r>
        <w:rPr>
          <w:b/>
        </w:rPr>
        <w:t xml:space="preserve"> and decision making</w:t>
      </w:r>
    </w:p>
    <w:p w14:paraId="23E5880C" w14:textId="3E139B53" w:rsidR="00DA518C" w:rsidRPr="00274A29" w:rsidRDefault="00F106F7" w:rsidP="00274A29">
      <w:pPr>
        <w:pStyle w:val="PolicybulletLevel3"/>
        <w:ind w:left="1701" w:hanging="850"/>
        <w:rPr>
          <w:szCs w:val="24"/>
        </w:rPr>
      </w:pPr>
      <w:r>
        <w:t xml:space="preserve">Patient </w:t>
      </w:r>
      <w:r w:rsidRPr="00274A29">
        <w:rPr>
          <w:szCs w:val="24"/>
        </w:rPr>
        <w:t xml:space="preserve">safety events, including incidents, are reported </w:t>
      </w:r>
      <w:r w:rsidR="003F5851" w:rsidRPr="00274A29">
        <w:rPr>
          <w:szCs w:val="24"/>
        </w:rPr>
        <w:t xml:space="preserve">by staff </w:t>
      </w:r>
      <w:r w:rsidR="00DA518C" w:rsidRPr="00274A29">
        <w:rPr>
          <w:szCs w:val="24"/>
        </w:rPr>
        <w:t>via</w:t>
      </w:r>
      <w:r w:rsidRPr="00274A29">
        <w:rPr>
          <w:szCs w:val="24"/>
        </w:rPr>
        <w:t xml:space="preserve"> the Trust LRMS</w:t>
      </w:r>
      <w:r w:rsidR="00DA518C" w:rsidRPr="00274A29">
        <w:rPr>
          <w:szCs w:val="24"/>
        </w:rPr>
        <w:t xml:space="preserve"> and a review or learning response completed.</w:t>
      </w:r>
    </w:p>
    <w:p w14:paraId="70CD172A" w14:textId="28B993A0" w:rsidR="00DA518C" w:rsidRDefault="00DA518C" w:rsidP="00274A29">
      <w:pPr>
        <w:pStyle w:val="PolicybulletLevel3"/>
        <w:ind w:left="1701" w:hanging="850"/>
      </w:pPr>
      <w:r w:rsidRPr="00274A29">
        <w:rPr>
          <w:szCs w:val="24"/>
        </w:rPr>
        <w:t xml:space="preserve">The majority of patient safety incidents of concern, or interest, following an initial review by care group patient safety/quality governance are escalated to the appropriate specialist and leadership staff and an initial review undertaken by one of three </w:t>
      </w:r>
      <w:r w:rsidR="00C51B5A">
        <w:rPr>
          <w:szCs w:val="24"/>
        </w:rPr>
        <w:t>sub</w:t>
      </w:r>
      <w:r w:rsidRPr="00274A29">
        <w:rPr>
          <w:szCs w:val="24"/>
        </w:rPr>
        <w:t>groups</w:t>
      </w:r>
      <w:r w:rsidR="00C51B5A">
        <w:rPr>
          <w:szCs w:val="24"/>
        </w:rPr>
        <w:t xml:space="preserve"> of the Incident Response Panel</w:t>
      </w:r>
      <w:r>
        <w:t>:</w:t>
      </w:r>
    </w:p>
    <w:p w14:paraId="62C0C9F3" w14:textId="3E9F7B65" w:rsidR="00DA518C" w:rsidRPr="00DA518C" w:rsidRDefault="00DA518C" w:rsidP="00274A29">
      <w:pPr>
        <w:pStyle w:val="Policybulletlevel4"/>
        <w:ind w:left="2694" w:hanging="993"/>
      </w:pPr>
      <w:r w:rsidRPr="00DA518C">
        <w:t>Maternity and Neonatal Rapid Review (</w:t>
      </w:r>
      <w:proofErr w:type="spellStart"/>
      <w:r w:rsidRPr="00DA518C">
        <w:t>MatNeoRR</w:t>
      </w:r>
      <w:proofErr w:type="spellEnd"/>
      <w:r w:rsidRPr="00DA518C">
        <w:t>) reviews Maternity and Neonatal incidents.</w:t>
      </w:r>
    </w:p>
    <w:p w14:paraId="074D9AE6" w14:textId="1CE4B12A" w:rsidR="00DA518C" w:rsidRPr="00DA518C" w:rsidRDefault="00DA518C" w:rsidP="00274A29">
      <w:pPr>
        <w:pStyle w:val="Policybulletlevel4"/>
        <w:ind w:left="2694" w:hanging="993"/>
      </w:pPr>
      <w:r w:rsidRPr="00DA518C">
        <w:t>Fundamentals of Care Incident Panel (</w:t>
      </w:r>
      <w:proofErr w:type="spellStart"/>
      <w:r w:rsidRPr="00DA518C">
        <w:t>FoCIP</w:t>
      </w:r>
      <w:proofErr w:type="spellEnd"/>
      <w:r w:rsidRPr="00DA518C">
        <w:t>) reviews patient fall, tissue viability and nutrition and hydration incidents.</w:t>
      </w:r>
    </w:p>
    <w:p w14:paraId="31BB392D" w14:textId="6CBE18C3" w:rsidR="00DA518C" w:rsidRDefault="00DA518C" w:rsidP="00274A29">
      <w:pPr>
        <w:pStyle w:val="Policybulletlevel4"/>
        <w:ind w:left="2694" w:hanging="993"/>
      </w:pPr>
      <w:r w:rsidRPr="00DA518C">
        <w:t>Pre-Incident Review Panel</w:t>
      </w:r>
      <w:r w:rsidR="003F5851">
        <w:t xml:space="preserve"> (Pre-IRP)</w:t>
      </w:r>
      <w:r w:rsidRPr="00DA518C">
        <w:t xml:space="preserve"> reviews all other incidents.</w:t>
      </w:r>
    </w:p>
    <w:p w14:paraId="28784D51" w14:textId="4A86FB07" w:rsidR="00DA518C" w:rsidRDefault="00DA518C" w:rsidP="00274A29">
      <w:pPr>
        <w:pStyle w:val="PolicybulletLevel3"/>
        <w:ind w:left="1701" w:hanging="850"/>
        <w:rPr>
          <w:szCs w:val="24"/>
        </w:rPr>
      </w:pPr>
      <w:r>
        <w:t xml:space="preserve">This review determines whether the incident meets national reporting </w:t>
      </w:r>
      <w:r w:rsidRPr="00274A29">
        <w:rPr>
          <w:szCs w:val="24"/>
        </w:rPr>
        <w:t>requirements, is aligned to one of the Trust Themes</w:t>
      </w:r>
      <w:r w:rsidR="003F5851" w:rsidRPr="00274A29">
        <w:rPr>
          <w:szCs w:val="24"/>
        </w:rPr>
        <w:t xml:space="preserve">, </w:t>
      </w:r>
      <w:r w:rsidRPr="00274A29">
        <w:rPr>
          <w:szCs w:val="24"/>
        </w:rPr>
        <w:t xml:space="preserve">one of the </w:t>
      </w:r>
      <w:r w:rsidR="003F5851" w:rsidRPr="00274A29">
        <w:rPr>
          <w:szCs w:val="24"/>
        </w:rPr>
        <w:t>Trust wide</w:t>
      </w:r>
      <w:r w:rsidRPr="00274A29">
        <w:rPr>
          <w:szCs w:val="24"/>
        </w:rPr>
        <w:t xml:space="preserve"> Improvement workstreams/plans</w:t>
      </w:r>
      <w:r w:rsidR="003F5851" w:rsidRPr="00274A29">
        <w:rPr>
          <w:szCs w:val="24"/>
        </w:rPr>
        <w:t>, another improvement workstream, or whether there is scope for or a requirement for new learning</w:t>
      </w:r>
      <w:r w:rsidR="002733B8">
        <w:rPr>
          <w:szCs w:val="24"/>
        </w:rPr>
        <w:t xml:space="preserve"> (see Appendix 1)</w:t>
      </w:r>
      <w:r w:rsidR="003F5851" w:rsidRPr="00274A29">
        <w:rPr>
          <w:szCs w:val="24"/>
        </w:rPr>
        <w:t xml:space="preserve">. </w:t>
      </w:r>
      <w:r w:rsidRPr="00274A29">
        <w:rPr>
          <w:szCs w:val="24"/>
        </w:rPr>
        <w:t>The review considers whether local learning is required or has occurred and determines the appropriate level of learning response in accordance with the Trust PSIR Plan.</w:t>
      </w:r>
    </w:p>
    <w:p w14:paraId="71298CC8" w14:textId="579EC5A5" w:rsidR="001008C1" w:rsidRPr="00274A29" w:rsidRDefault="001008C1" w:rsidP="00274A29">
      <w:pPr>
        <w:pStyle w:val="PolicybulletLevel3"/>
        <w:ind w:left="1701" w:hanging="850"/>
        <w:rPr>
          <w:szCs w:val="24"/>
        </w:rPr>
      </w:pPr>
      <w:r>
        <w:rPr>
          <w:szCs w:val="24"/>
        </w:rPr>
        <w:t xml:space="preserve">The review will consider other potential </w:t>
      </w:r>
      <w:r w:rsidR="009B475B">
        <w:rPr>
          <w:szCs w:val="24"/>
        </w:rPr>
        <w:t xml:space="preserve">escalation and </w:t>
      </w:r>
      <w:r>
        <w:rPr>
          <w:szCs w:val="24"/>
        </w:rPr>
        <w:t>reporting requirements e.g. safeguarding, Health and Safety RIDDOR, Information Governance, etc.</w:t>
      </w:r>
    </w:p>
    <w:p w14:paraId="3848ADE6" w14:textId="724A8A2A" w:rsidR="003F5851" w:rsidRDefault="00C307B9" w:rsidP="00274A29">
      <w:pPr>
        <w:pStyle w:val="PolicybulletLevel3"/>
        <w:ind w:left="1701" w:hanging="850"/>
        <w:rPr>
          <w:szCs w:val="24"/>
        </w:rPr>
      </w:pPr>
      <w:r w:rsidRPr="00274A29">
        <w:rPr>
          <w:szCs w:val="24"/>
        </w:rPr>
        <w:t>The</w:t>
      </w:r>
      <w:r w:rsidR="001631FC" w:rsidRPr="00274A29">
        <w:rPr>
          <w:szCs w:val="24"/>
        </w:rPr>
        <w:t xml:space="preserve"> harm</w:t>
      </w:r>
      <w:r w:rsidRPr="00274A29">
        <w:rPr>
          <w:szCs w:val="24"/>
        </w:rPr>
        <w:t xml:space="preserve"> as a result of a patient safety incident</w:t>
      </w:r>
      <w:r w:rsidR="001631FC" w:rsidRPr="00274A29">
        <w:rPr>
          <w:szCs w:val="24"/>
        </w:rPr>
        <w:t xml:space="preserve"> will not determine the learning response required; this</w:t>
      </w:r>
      <w:r w:rsidRPr="00274A29">
        <w:rPr>
          <w:szCs w:val="24"/>
        </w:rPr>
        <w:t xml:space="preserve"> will</w:t>
      </w:r>
      <w:r w:rsidR="001631FC" w:rsidRPr="00274A29">
        <w:rPr>
          <w:szCs w:val="24"/>
        </w:rPr>
        <w:t xml:space="preserve"> be based on </w:t>
      </w:r>
      <w:r w:rsidRPr="00274A29">
        <w:rPr>
          <w:szCs w:val="24"/>
        </w:rPr>
        <w:t xml:space="preserve">the national requirements and a </w:t>
      </w:r>
      <w:r w:rsidR="001631FC" w:rsidRPr="00274A29">
        <w:rPr>
          <w:szCs w:val="24"/>
        </w:rPr>
        <w:t>review of the effectiveness of existing improvement work and the potential for learning.</w:t>
      </w:r>
    </w:p>
    <w:p w14:paraId="30A35E53" w14:textId="73CC9FA2" w:rsidR="002D3665" w:rsidRPr="00274A29" w:rsidRDefault="002D3665" w:rsidP="00274A29">
      <w:pPr>
        <w:pStyle w:val="PolicybulletLevel3"/>
        <w:ind w:left="1701" w:hanging="850"/>
        <w:rPr>
          <w:szCs w:val="24"/>
        </w:rPr>
      </w:pPr>
      <w:r>
        <w:rPr>
          <w:szCs w:val="24"/>
        </w:rPr>
        <w:t>All patient safety incidents reported on the LRMS have a nominated handler.  The handler must be selected based on the skills required to undertake the required learning response/investigation (see table 1 in relation to the training requirements).</w:t>
      </w:r>
    </w:p>
    <w:p w14:paraId="3C4DE75B" w14:textId="2E614E7B" w:rsidR="003F5851" w:rsidRPr="00274A29" w:rsidRDefault="003F5851" w:rsidP="00274A29">
      <w:pPr>
        <w:pStyle w:val="PolicybulletLevel3"/>
        <w:ind w:left="1701" w:hanging="850"/>
        <w:rPr>
          <w:szCs w:val="24"/>
        </w:rPr>
      </w:pPr>
      <w:r w:rsidRPr="00274A29">
        <w:rPr>
          <w:szCs w:val="24"/>
        </w:rPr>
        <w:t>Patient Safety Incidents of concern or interest which are nationally reportable or for which there is scope for or a requirement for new learning are escalated for presentation to the Incident Response Panel.</w:t>
      </w:r>
    </w:p>
    <w:p w14:paraId="38A27977" w14:textId="472D90D8" w:rsidR="003F5851" w:rsidRDefault="003F5851" w:rsidP="00274A29">
      <w:pPr>
        <w:pStyle w:val="PolicybulletLevel3"/>
        <w:ind w:left="1701" w:hanging="850"/>
      </w:pPr>
      <w:r>
        <w:t xml:space="preserve">Notes </w:t>
      </w:r>
      <w:r w:rsidR="00274A29">
        <w:t>outlining</w:t>
      </w:r>
      <w:r w:rsidR="00AE2305">
        <w:t xml:space="preserve"> the </w:t>
      </w:r>
      <w:r w:rsidR="00AE2305" w:rsidRPr="00274A29">
        <w:rPr>
          <w:szCs w:val="24"/>
        </w:rPr>
        <w:t>determinations</w:t>
      </w:r>
      <w:r w:rsidR="00AE2305">
        <w:t xml:space="preserve"> </w:t>
      </w:r>
      <w:r>
        <w:t xml:space="preserve">from the </w:t>
      </w:r>
      <w:proofErr w:type="spellStart"/>
      <w:r>
        <w:t>MatNeoRR</w:t>
      </w:r>
      <w:proofErr w:type="spellEnd"/>
      <w:r>
        <w:t xml:space="preserve">, </w:t>
      </w:r>
      <w:proofErr w:type="spellStart"/>
      <w:r>
        <w:t>FoCIP</w:t>
      </w:r>
      <w:proofErr w:type="spellEnd"/>
      <w:r w:rsidR="00274A29">
        <w:t xml:space="preserve"> and </w:t>
      </w:r>
      <w:r>
        <w:t xml:space="preserve">Pre-IRP and </w:t>
      </w:r>
      <w:r w:rsidR="00274A29">
        <w:t xml:space="preserve">decisions from </w:t>
      </w:r>
      <w:r>
        <w:t>IRP are captured on the LRMS.</w:t>
      </w:r>
    </w:p>
    <w:p w14:paraId="7C440D31" w14:textId="305C20FE" w:rsidR="003F5851" w:rsidRDefault="003F5851" w:rsidP="00274A29">
      <w:pPr>
        <w:pStyle w:val="PolicybulletLevel3"/>
        <w:ind w:left="1701" w:hanging="850"/>
        <w:rPr>
          <w:szCs w:val="24"/>
        </w:rPr>
      </w:pPr>
      <w:r w:rsidRPr="006F5BA6">
        <w:rPr>
          <w:szCs w:val="24"/>
        </w:rPr>
        <w:t>The Trust wil</w:t>
      </w:r>
      <w:r w:rsidR="007D1584">
        <w:rPr>
          <w:szCs w:val="24"/>
        </w:rPr>
        <w:t xml:space="preserve">l </w:t>
      </w:r>
      <w:r w:rsidRPr="006F5BA6">
        <w:rPr>
          <w:szCs w:val="24"/>
        </w:rPr>
        <w:t xml:space="preserve">verbally report to both the ICB and the </w:t>
      </w:r>
      <w:r w:rsidRPr="00274A29">
        <w:t>Care</w:t>
      </w:r>
      <w:r w:rsidRPr="006F5BA6">
        <w:rPr>
          <w:szCs w:val="24"/>
        </w:rPr>
        <w:t xml:space="preserve"> Quality Commission (CQC) incidents that the Trust, ICB and CQC have agreed require direct notification e.g. Never </w:t>
      </w:r>
      <w:r w:rsidRPr="006F5BA6">
        <w:rPr>
          <w:szCs w:val="24"/>
        </w:rPr>
        <w:lastRenderedPageBreak/>
        <w:t xml:space="preserve">Events. This will be completed by the Director of Quality Governance or the Chief Nursing and Midwifery Officer. </w:t>
      </w:r>
    </w:p>
    <w:p w14:paraId="526311EF" w14:textId="6E35F06A" w:rsidR="00274A29" w:rsidRDefault="00274A29" w:rsidP="00274A29">
      <w:pPr>
        <w:pStyle w:val="Policybulletlevel2"/>
        <w:rPr>
          <w:b/>
          <w:szCs w:val="24"/>
        </w:rPr>
      </w:pPr>
      <w:r w:rsidRPr="00274A29">
        <w:rPr>
          <w:b/>
          <w:szCs w:val="24"/>
        </w:rPr>
        <w:t>Four key themes</w:t>
      </w:r>
    </w:p>
    <w:p w14:paraId="495B0E21" w14:textId="77777777" w:rsidR="007D1584" w:rsidRDefault="007D1584" w:rsidP="00274A29">
      <w:pPr>
        <w:pStyle w:val="PolicybulletLevel3"/>
        <w:ind w:left="1701" w:hanging="850"/>
        <w:rPr>
          <w:szCs w:val="24"/>
        </w:rPr>
      </w:pPr>
      <w:r>
        <w:rPr>
          <w:szCs w:val="24"/>
        </w:rPr>
        <w:t>The Trust will prioritise and focus on four key themes.</w:t>
      </w:r>
    </w:p>
    <w:p w14:paraId="2654FEF8" w14:textId="0902BEB6" w:rsidR="00274A29" w:rsidRDefault="00274A29" w:rsidP="00274A29">
      <w:pPr>
        <w:pStyle w:val="PolicybulletLevel3"/>
        <w:ind w:left="1701" w:hanging="850"/>
        <w:rPr>
          <w:szCs w:val="24"/>
        </w:rPr>
      </w:pPr>
      <w:r w:rsidRPr="00C51B5A">
        <w:rPr>
          <w:szCs w:val="24"/>
        </w:rPr>
        <w:t>The insights from the review of patient safety incidents inform the four key themes.  These represent incidents for which there is some understanding of the contributory factors, however this understanding requires further development through the application of learning response and/or quality improvement methodology.</w:t>
      </w:r>
    </w:p>
    <w:p w14:paraId="0920D5A9" w14:textId="77A509D8" w:rsidR="00C51B5A" w:rsidRDefault="00C51B5A" w:rsidP="00274A29">
      <w:pPr>
        <w:pStyle w:val="PolicybulletLevel3"/>
        <w:ind w:left="1701" w:hanging="850"/>
        <w:rPr>
          <w:szCs w:val="24"/>
        </w:rPr>
      </w:pPr>
      <w:r>
        <w:rPr>
          <w:szCs w:val="24"/>
        </w:rPr>
        <w:t>Annually the four key themes will be reviewed and updated and every four years will be revised if applicable.</w:t>
      </w:r>
    </w:p>
    <w:p w14:paraId="1177ABD7" w14:textId="10C79359" w:rsidR="00C51B5A" w:rsidRDefault="00C51B5A" w:rsidP="00C51B5A">
      <w:pPr>
        <w:pStyle w:val="Policybulletlevel2"/>
        <w:rPr>
          <w:b/>
          <w:szCs w:val="24"/>
        </w:rPr>
      </w:pPr>
      <w:r w:rsidRPr="00C51B5A">
        <w:rPr>
          <w:b/>
          <w:szCs w:val="24"/>
        </w:rPr>
        <w:t>Continuous improvement approach</w:t>
      </w:r>
    </w:p>
    <w:p w14:paraId="536C77A0" w14:textId="25585761" w:rsidR="00C51B5A" w:rsidRDefault="00C51B5A" w:rsidP="00C51B5A">
      <w:pPr>
        <w:pStyle w:val="PolicybulletLevel3"/>
        <w:ind w:left="1701" w:hanging="850"/>
        <w:rPr>
          <w:szCs w:val="24"/>
        </w:rPr>
      </w:pPr>
      <w:r w:rsidRPr="00C51B5A">
        <w:rPr>
          <w:szCs w:val="24"/>
        </w:rPr>
        <w:t>The Trust existing improvement workstreams are informed by insights from patient safety events,</w:t>
      </w:r>
      <w:r w:rsidR="0097578D">
        <w:rPr>
          <w:szCs w:val="24"/>
        </w:rPr>
        <w:t xml:space="preserve"> </w:t>
      </w:r>
      <w:r w:rsidR="007D1584">
        <w:rPr>
          <w:szCs w:val="24"/>
        </w:rPr>
        <w:t xml:space="preserve">the </w:t>
      </w:r>
      <w:r w:rsidR="0097578D">
        <w:rPr>
          <w:szCs w:val="24"/>
        </w:rPr>
        <w:t>learning from deaths process including structured judgement reviews,</w:t>
      </w:r>
      <w:r w:rsidRPr="00C51B5A">
        <w:rPr>
          <w:szCs w:val="24"/>
        </w:rPr>
        <w:t xml:space="preserve"> complaints, inquests, claims, patient feedback and staff feedback and incorporate evidenced based requirements</w:t>
      </w:r>
      <w:r w:rsidR="00100B34">
        <w:rPr>
          <w:szCs w:val="24"/>
        </w:rPr>
        <w:t xml:space="preserve"> and recognised standards</w:t>
      </w:r>
      <w:r w:rsidRPr="00C51B5A">
        <w:rPr>
          <w:szCs w:val="24"/>
        </w:rPr>
        <w:t xml:space="preserve"> for delivery of safe care.</w:t>
      </w:r>
    </w:p>
    <w:p w14:paraId="31882A42" w14:textId="4E3F6355" w:rsidR="00C51B5A" w:rsidRDefault="00C51B5A" w:rsidP="00C51B5A">
      <w:pPr>
        <w:pStyle w:val="PolicybulletLevel3"/>
        <w:ind w:left="1701" w:hanging="850"/>
        <w:rPr>
          <w:szCs w:val="24"/>
        </w:rPr>
      </w:pPr>
      <w:r>
        <w:rPr>
          <w:szCs w:val="24"/>
        </w:rPr>
        <w:t xml:space="preserve">New patient safety events are reviewed by the relevant workstream lead and/or IRP subgroup.  </w:t>
      </w:r>
      <w:r w:rsidR="00544C66">
        <w:rPr>
          <w:szCs w:val="24"/>
        </w:rPr>
        <w:t xml:space="preserve">The local context and </w:t>
      </w:r>
      <w:r>
        <w:rPr>
          <w:szCs w:val="24"/>
        </w:rPr>
        <w:t xml:space="preserve">learning is identified and actioned.  </w:t>
      </w:r>
    </w:p>
    <w:p w14:paraId="2D0C147A" w14:textId="210F1E7A" w:rsidR="00100B34" w:rsidRDefault="00100B34" w:rsidP="00C51B5A">
      <w:pPr>
        <w:pStyle w:val="PolicybulletLevel3"/>
        <w:ind w:left="1701" w:hanging="850"/>
        <w:rPr>
          <w:szCs w:val="24"/>
        </w:rPr>
      </w:pPr>
      <w:r>
        <w:rPr>
          <w:szCs w:val="24"/>
        </w:rPr>
        <w:t>The relevant workstream lead and/or IRP subgroup may determine a patient safety learning response is required if there is potential for new learning</w:t>
      </w:r>
      <w:r w:rsidR="00544C66">
        <w:rPr>
          <w:szCs w:val="24"/>
        </w:rPr>
        <w:t xml:space="preserve"> either locally or organisationally or both.</w:t>
      </w:r>
    </w:p>
    <w:p w14:paraId="44178E09" w14:textId="454D0C36" w:rsidR="00544C66" w:rsidRPr="00544C66" w:rsidRDefault="00100B34" w:rsidP="00544C66">
      <w:pPr>
        <w:pStyle w:val="PolicybulletLevel3"/>
        <w:ind w:left="1701" w:hanging="850"/>
        <w:rPr>
          <w:szCs w:val="24"/>
        </w:rPr>
      </w:pPr>
      <w:r>
        <w:rPr>
          <w:szCs w:val="24"/>
        </w:rPr>
        <w:t>Periodically the insights</w:t>
      </w:r>
      <w:r w:rsidRPr="00C51B5A">
        <w:rPr>
          <w:szCs w:val="24"/>
        </w:rPr>
        <w:t xml:space="preserve"> </w:t>
      </w:r>
      <w:r>
        <w:rPr>
          <w:szCs w:val="24"/>
        </w:rPr>
        <w:t>from these reviews, which have the potential for Trust wide application</w:t>
      </w:r>
      <w:r w:rsidR="00544C66">
        <w:rPr>
          <w:szCs w:val="24"/>
        </w:rPr>
        <w:t xml:space="preserve"> following consideration of the organisational context as outlined within the </w:t>
      </w:r>
      <w:r w:rsidR="00D5326B">
        <w:rPr>
          <w:szCs w:val="24"/>
        </w:rPr>
        <w:t>‘</w:t>
      </w:r>
      <w:r w:rsidR="00544C66">
        <w:rPr>
          <w:szCs w:val="24"/>
        </w:rPr>
        <w:t>Safety action development guide</w:t>
      </w:r>
      <w:r w:rsidR="00D5326B">
        <w:rPr>
          <w:szCs w:val="24"/>
        </w:rPr>
        <w:t>’</w:t>
      </w:r>
      <w:r w:rsidR="00544C66">
        <w:rPr>
          <w:szCs w:val="24"/>
        </w:rPr>
        <w:t xml:space="preserve"> (NHSE, 2022</w:t>
      </w:r>
      <w:r w:rsidR="003077CB">
        <w:rPr>
          <w:szCs w:val="24"/>
        </w:rPr>
        <w:t>c</w:t>
      </w:r>
      <w:r w:rsidR="00544C66">
        <w:rPr>
          <w:szCs w:val="24"/>
        </w:rPr>
        <w:t>)</w:t>
      </w:r>
      <w:r>
        <w:rPr>
          <w:szCs w:val="24"/>
        </w:rPr>
        <w:t>, are used to inform updates to the improvement workstream.  These periodic reviews may be supported by the Trust Quality Improvement team.</w:t>
      </w:r>
    </w:p>
    <w:p w14:paraId="41AA4721" w14:textId="4EABAA14" w:rsidR="0054451E" w:rsidRDefault="0054451E" w:rsidP="00100B34">
      <w:pPr>
        <w:pStyle w:val="PolicybulletLevel3"/>
        <w:ind w:left="1701" w:hanging="850"/>
        <w:rPr>
          <w:szCs w:val="24"/>
        </w:rPr>
      </w:pPr>
      <w:r>
        <w:rPr>
          <w:szCs w:val="24"/>
        </w:rPr>
        <w:t>All improvement workstreams must have clear governance arrangements and oversight via the Quality and Safety Committee or operational management governance structure.</w:t>
      </w:r>
    </w:p>
    <w:p w14:paraId="14AA0248" w14:textId="125D46DF" w:rsidR="00100B34" w:rsidRPr="00100B34" w:rsidRDefault="00100B34" w:rsidP="00100B34">
      <w:pPr>
        <w:pStyle w:val="Policybulletlevel2"/>
        <w:rPr>
          <w:b/>
          <w:szCs w:val="24"/>
        </w:rPr>
      </w:pPr>
      <w:r w:rsidRPr="00100B34">
        <w:rPr>
          <w:b/>
          <w:szCs w:val="24"/>
        </w:rPr>
        <w:t xml:space="preserve">Responding to cross provider and </w:t>
      </w:r>
      <w:r w:rsidR="00D927AD">
        <w:rPr>
          <w:b/>
          <w:szCs w:val="24"/>
        </w:rPr>
        <w:t>health</w:t>
      </w:r>
      <w:r w:rsidR="00B136CB">
        <w:rPr>
          <w:b/>
          <w:szCs w:val="24"/>
        </w:rPr>
        <w:t xml:space="preserve"> and social </w:t>
      </w:r>
      <w:r w:rsidR="00D927AD">
        <w:rPr>
          <w:b/>
          <w:szCs w:val="24"/>
        </w:rPr>
        <w:t xml:space="preserve">care </w:t>
      </w:r>
      <w:r w:rsidRPr="00100B34">
        <w:rPr>
          <w:b/>
          <w:szCs w:val="24"/>
        </w:rPr>
        <w:t>system incidents or issues</w:t>
      </w:r>
    </w:p>
    <w:p w14:paraId="3FDEA114" w14:textId="577A786D" w:rsidR="003F5851" w:rsidRPr="00D927AD" w:rsidRDefault="00A03169" w:rsidP="00D927AD">
      <w:pPr>
        <w:pStyle w:val="PolicybulletLevel3"/>
        <w:ind w:left="1701" w:hanging="850"/>
        <w:rPr>
          <w:szCs w:val="24"/>
        </w:rPr>
      </w:pPr>
      <w:r>
        <w:t>The</w:t>
      </w:r>
      <w:r w:rsidR="00D927AD">
        <w:t xml:space="preserve"> </w:t>
      </w:r>
      <w:r w:rsidR="00D927AD" w:rsidRPr="00D927AD">
        <w:rPr>
          <w:szCs w:val="24"/>
        </w:rPr>
        <w:t xml:space="preserve">Trust Patient Safety Team ensure that </w:t>
      </w:r>
      <w:r w:rsidR="00544C66">
        <w:rPr>
          <w:szCs w:val="24"/>
        </w:rPr>
        <w:t xml:space="preserve">patient safety </w:t>
      </w:r>
      <w:r w:rsidR="00D927AD" w:rsidRPr="00D927AD">
        <w:rPr>
          <w:szCs w:val="24"/>
        </w:rPr>
        <w:t>incidents</w:t>
      </w:r>
      <w:r w:rsidR="009431E0">
        <w:rPr>
          <w:szCs w:val="24"/>
        </w:rPr>
        <w:t xml:space="preserve"> identified by the Trust</w:t>
      </w:r>
      <w:r w:rsidR="00D927AD" w:rsidRPr="00D927AD">
        <w:rPr>
          <w:szCs w:val="24"/>
        </w:rPr>
        <w:t xml:space="preserve"> involving other providers are reported to the relevant providers patient safety and/or incident management team.</w:t>
      </w:r>
      <w:r w:rsidR="00D927AD">
        <w:rPr>
          <w:szCs w:val="24"/>
        </w:rPr>
        <w:t xml:space="preserve">  </w:t>
      </w:r>
      <w:r w:rsidR="009431E0">
        <w:rPr>
          <w:szCs w:val="24"/>
        </w:rPr>
        <w:t xml:space="preserve">Similarly, </w:t>
      </w:r>
      <w:r w:rsidR="00544C66">
        <w:rPr>
          <w:szCs w:val="24"/>
        </w:rPr>
        <w:t>other providers share patient safety incidents with the Trust Patient Safety Team.  In both circumstances, the incident is</w:t>
      </w:r>
      <w:r w:rsidR="00D927AD">
        <w:rPr>
          <w:szCs w:val="24"/>
        </w:rPr>
        <w:t xml:space="preserve"> recorded </w:t>
      </w:r>
      <w:r w:rsidR="007D1584">
        <w:rPr>
          <w:szCs w:val="24"/>
        </w:rPr>
        <w:t>and monitored via</w:t>
      </w:r>
      <w:r w:rsidR="00D927AD">
        <w:rPr>
          <w:szCs w:val="24"/>
        </w:rPr>
        <w:t xml:space="preserve"> the Trust LRMS.</w:t>
      </w:r>
    </w:p>
    <w:p w14:paraId="747AB6E7" w14:textId="688D5ACD" w:rsidR="00D927AD" w:rsidRDefault="00D927AD" w:rsidP="00D927AD">
      <w:pPr>
        <w:pStyle w:val="PolicybulletLevel3"/>
        <w:ind w:left="1701" w:hanging="850"/>
      </w:pPr>
      <w:r w:rsidRPr="00D927AD">
        <w:rPr>
          <w:szCs w:val="24"/>
        </w:rPr>
        <w:t xml:space="preserve">When it is identified that the patient safety incident </w:t>
      </w:r>
      <w:r>
        <w:rPr>
          <w:szCs w:val="24"/>
        </w:rPr>
        <w:t>has</w:t>
      </w:r>
      <w:r>
        <w:t xml:space="preserve"> significant potential for system learning across providers, the Trust will ensure</w:t>
      </w:r>
      <w:r w:rsidR="00544C66">
        <w:t>/confirm</w:t>
      </w:r>
      <w:r>
        <w:t xml:space="preserve"> that the ICB is </w:t>
      </w:r>
      <w:r>
        <w:lastRenderedPageBreak/>
        <w:t>informed either by the Trust or partner provider.  The ICB will consider whether the ICB should lead the learning response.</w:t>
      </w:r>
    </w:p>
    <w:p w14:paraId="2C0AC019" w14:textId="677F80C8" w:rsidR="00D927AD" w:rsidRDefault="00D927AD" w:rsidP="00D927AD">
      <w:pPr>
        <w:pStyle w:val="PolicybulletLevel3"/>
        <w:ind w:left="1701" w:hanging="850"/>
      </w:pPr>
      <w:r>
        <w:t>Each partner provider will ensure that their internal processes for review and escalation of the patient safety incident are completed.  This includes the identification of a named lead within the provider to source relevant information</w:t>
      </w:r>
      <w:r w:rsidR="00B136CB">
        <w:t xml:space="preserve"> and</w:t>
      </w:r>
      <w:r>
        <w:t xml:space="preserve"> undertake a provider based investigation in order to contribute to the wider cross provider / health</w:t>
      </w:r>
      <w:r w:rsidR="00B136CB">
        <w:t xml:space="preserve"> and social </w:t>
      </w:r>
      <w:r>
        <w:t>care system investigation.</w:t>
      </w:r>
    </w:p>
    <w:p w14:paraId="217C5A84" w14:textId="7DBB24AC" w:rsidR="00B136CB" w:rsidRDefault="00B136CB" w:rsidP="00D927AD">
      <w:pPr>
        <w:pStyle w:val="PolicybulletLevel3"/>
        <w:ind w:left="1701" w:hanging="850"/>
      </w:pPr>
      <w:r>
        <w:t>Information is shared with other providers following consideration of the General Data Protection Requirements (GDPR) in relation to public interest and following, where applicable, discussion with the patient affected or representative</w:t>
      </w:r>
      <w:r w:rsidR="00544C66">
        <w:t xml:space="preserve"> in accordance with the principles of engagement and duty of candour</w:t>
      </w:r>
      <w:r>
        <w:t>.</w:t>
      </w:r>
    </w:p>
    <w:p w14:paraId="550863FE" w14:textId="46A5B02B" w:rsidR="00B136CB" w:rsidRDefault="00B136CB" w:rsidP="00D927AD">
      <w:pPr>
        <w:pStyle w:val="PolicybulletLevel3"/>
        <w:ind w:left="1701" w:hanging="850"/>
      </w:pPr>
      <w:r>
        <w:t>Each partner provider will ensure that their internal processes for oversight of the relevant contribution and final learning response are completed.</w:t>
      </w:r>
    </w:p>
    <w:p w14:paraId="5D642F18" w14:textId="3C10445B" w:rsidR="00B136CB" w:rsidRDefault="00B136CB" w:rsidP="00B136CB">
      <w:pPr>
        <w:pStyle w:val="Policybulletlevel2"/>
        <w:rPr>
          <w:b/>
          <w:szCs w:val="24"/>
        </w:rPr>
      </w:pPr>
      <w:r w:rsidRPr="00B136CB">
        <w:rPr>
          <w:b/>
          <w:szCs w:val="24"/>
        </w:rPr>
        <w:t>Timeframes for learning responses</w:t>
      </w:r>
    </w:p>
    <w:p w14:paraId="571B340B" w14:textId="3996AA4A" w:rsidR="00B136CB" w:rsidRDefault="00B136CB" w:rsidP="00E42864">
      <w:pPr>
        <w:pStyle w:val="PolicybulletLevel3"/>
        <w:ind w:left="1701" w:hanging="850"/>
      </w:pPr>
      <w:r w:rsidRPr="00E42864">
        <w:t xml:space="preserve">The response timeframes will start from the date of </w:t>
      </w:r>
      <w:r w:rsidR="00E42864" w:rsidRPr="00E42864">
        <w:t>the decision in relation to the appropriate learning response e.g. LRMS based investigations from the incident reported date,</w:t>
      </w:r>
      <w:r w:rsidR="00E42864">
        <w:t xml:space="preserve"> IRP subgroup determinations from the date of the subgroup, IRP decisions </w:t>
      </w:r>
      <w:r w:rsidR="00E42864" w:rsidRPr="00E42864">
        <w:t>from the date of the IRP decision</w:t>
      </w:r>
      <w:r w:rsidR="00E42864">
        <w:t>.</w:t>
      </w:r>
    </w:p>
    <w:p w14:paraId="7C637D6C" w14:textId="48EE4215" w:rsidR="00E42864" w:rsidRPr="00E42864" w:rsidRDefault="00E42864" w:rsidP="00E42864">
      <w:pPr>
        <w:pStyle w:val="PolicybulletLevel3"/>
        <w:ind w:left="1701" w:hanging="850"/>
      </w:pPr>
      <w:r>
        <w:t>The impact on the patient, family and staff involved</w:t>
      </w:r>
      <w:r w:rsidR="00F42889">
        <w:t>, and nominated learning response lead availability,</w:t>
      </w:r>
      <w:r>
        <w:t xml:space="preserve"> must be considered when determining timescales and balanced with the requirement to optimise learning and improvement.  The timescale must be clearly communicated and regular updates provided in accordance with the principles of engagement and duty of candour requirements.</w:t>
      </w:r>
    </w:p>
    <w:p w14:paraId="7A61C12F" w14:textId="0ED6EA68" w:rsidR="00E42864" w:rsidRDefault="00E42864" w:rsidP="00E42864">
      <w:pPr>
        <w:pStyle w:val="PolicybulletLevel3"/>
        <w:ind w:left="1701" w:hanging="850"/>
      </w:pPr>
      <w:r>
        <w:t>For learning responses initiated via the IRP or IRP subgroups, proposed timeframes will be discussed and agreed at the meeting.</w:t>
      </w:r>
    </w:p>
    <w:p w14:paraId="3826DBAC" w14:textId="0A23623D" w:rsidR="00F42889" w:rsidRDefault="00E42864" w:rsidP="00F42889">
      <w:pPr>
        <w:pStyle w:val="PolicybulletLevel3"/>
        <w:ind w:left="1701" w:hanging="850"/>
      </w:pPr>
      <w:r>
        <w:t>Suggested timescales are outlined in Table 2.</w:t>
      </w:r>
      <w:r w:rsidRPr="00E42864">
        <w:t xml:space="preserve"> </w:t>
      </w:r>
      <w:r>
        <w:t>The timescales are not rigid and will be determined in collaboration with the patient, family and staff.</w:t>
      </w:r>
    </w:p>
    <w:tbl>
      <w:tblPr>
        <w:tblStyle w:val="TableGrid"/>
        <w:tblW w:w="0" w:type="auto"/>
        <w:tblInd w:w="1701" w:type="dxa"/>
        <w:tblLook w:val="04A0" w:firstRow="1" w:lastRow="0" w:firstColumn="1" w:lastColumn="0" w:noHBand="0" w:noVBand="1"/>
      </w:tblPr>
      <w:tblGrid>
        <w:gridCol w:w="2713"/>
        <w:gridCol w:w="2773"/>
        <w:gridCol w:w="2299"/>
      </w:tblGrid>
      <w:tr w:rsidR="0054451E" w:rsidRPr="0054451E" w14:paraId="5D5C0B4C" w14:textId="1DB130E0" w:rsidTr="0054451E">
        <w:tc>
          <w:tcPr>
            <w:tcW w:w="2713" w:type="dxa"/>
          </w:tcPr>
          <w:p w14:paraId="50D4A584" w14:textId="0FFD15BB" w:rsidR="0054451E" w:rsidRPr="0054451E" w:rsidRDefault="0054451E" w:rsidP="00E42864">
            <w:pPr>
              <w:pStyle w:val="PolicybulletLevel3"/>
              <w:numPr>
                <w:ilvl w:val="0"/>
                <w:numId w:val="0"/>
              </w:numPr>
              <w:rPr>
                <w:sz w:val="20"/>
                <w:szCs w:val="20"/>
              </w:rPr>
            </w:pPr>
            <w:r w:rsidRPr="0054451E">
              <w:rPr>
                <w:sz w:val="20"/>
                <w:szCs w:val="20"/>
              </w:rPr>
              <w:t>Learning response</w:t>
            </w:r>
          </w:p>
        </w:tc>
        <w:tc>
          <w:tcPr>
            <w:tcW w:w="2773" w:type="dxa"/>
          </w:tcPr>
          <w:p w14:paraId="08DE908C" w14:textId="54D68965" w:rsidR="0054451E" w:rsidRPr="0054451E" w:rsidRDefault="0054451E" w:rsidP="00E42864">
            <w:pPr>
              <w:pStyle w:val="PolicybulletLevel3"/>
              <w:numPr>
                <w:ilvl w:val="0"/>
                <w:numId w:val="0"/>
              </w:numPr>
              <w:rPr>
                <w:sz w:val="20"/>
                <w:szCs w:val="20"/>
              </w:rPr>
            </w:pPr>
            <w:r w:rsidRPr="0054451E">
              <w:rPr>
                <w:sz w:val="20"/>
                <w:szCs w:val="20"/>
              </w:rPr>
              <w:t>Timescale</w:t>
            </w:r>
            <w:r w:rsidR="00544C66">
              <w:rPr>
                <w:sz w:val="20"/>
                <w:szCs w:val="20"/>
              </w:rPr>
              <w:t xml:space="preserve"> for completion</w:t>
            </w:r>
          </w:p>
        </w:tc>
        <w:tc>
          <w:tcPr>
            <w:tcW w:w="2299" w:type="dxa"/>
          </w:tcPr>
          <w:p w14:paraId="31ACCA5B" w14:textId="4455DD0F" w:rsidR="0054451E" w:rsidRPr="0054451E" w:rsidRDefault="0054451E" w:rsidP="00E42864">
            <w:pPr>
              <w:pStyle w:val="PolicybulletLevel3"/>
              <w:numPr>
                <w:ilvl w:val="0"/>
                <w:numId w:val="0"/>
              </w:numPr>
              <w:rPr>
                <w:sz w:val="20"/>
                <w:szCs w:val="20"/>
              </w:rPr>
            </w:pPr>
            <w:r w:rsidRPr="0054451E">
              <w:rPr>
                <w:sz w:val="20"/>
                <w:szCs w:val="20"/>
              </w:rPr>
              <w:t>Oversight timescale</w:t>
            </w:r>
          </w:p>
        </w:tc>
      </w:tr>
      <w:tr w:rsidR="0054451E" w:rsidRPr="0054451E" w14:paraId="6B20965B" w14:textId="4CDBDBC0" w:rsidTr="0054451E">
        <w:tc>
          <w:tcPr>
            <w:tcW w:w="2713" w:type="dxa"/>
          </w:tcPr>
          <w:p w14:paraId="2F2A448B" w14:textId="43733C7C" w:rsidR="0054451E" w:rsidRPr="0054451E" w:rsidRDefault="0054451E" w:rsidP="00E42864">
            <w:pPr>
              <w:pStyle w:val="PolicybulletLevel3"/>
              <w:numPr>
                <w:ilvl w:val="0"/>
                <w:numId w:val="0"/>
              </w:numPr>
              <w:rPr>
                <w:sz w:val="20"/>
                <w:szCs w:val="20"/>
              </w:rPr>
            </w:pPr>
            <w:r w:rsidRPr="0054451E">
              <w:rPr>
                <w:sz w:val="20"/>
                <w:szCs w:val="20"/>
              </w:rPr>
              <w:t>Patient Safety Incident Investigation</w:t>
            </w:r>
          </w:p>
        </w:tc>
        <w:tc>
          <w:tcPr>
            <w:tcW w:w="2773" w:type="dxa"/>
          </w:tcPr>
          <w:p w14:paraId="03944B7C" w14:textId="6B844CFC" w:rsidR="0054451E" w:rsidRPr="0054451E" w:rsidRDefault="0054451E" w:rsidP="00E42864">
            <w:pPr>
              <w:pStyle w:val="PolicybulletLevel3"/>
              <w:numPr>
                <w:ilvl w:val="0"/>
                <w:numId w:val="0"/>
              </w:numPr>
              <w:rPr>
                <w:sz w:val="20"/>
                <w:szCs w:val="20"/>
              </w:rPr>
            </w:pPr>
            <w:r w:rsidRPr="0054451E">
              <w:rPr>
                <w:sz w:val="20"/>
                <w:szCs w:val="20"/>
              </w:rPr>
              <w:t>16 to 26 weeks</w:t>
            </w:r>
          </w:p>
        </w:tc>
        <w:tc>
          <w:tcPr>
            <w:tcW w:w="2299" w:type="dxa"/>
          </w:tcPr>
          <w:p w14:paraId="298A34A9" w14:textId="51C7E91B" w:rsidR="0054451E" w:rsidRPr="0054451E" w:rsidRDefault="0054451E" w:rsidP="00E42864">
            <w:pPr>
              <w:pStyle w:val="PolicybulletLevel3"/>
              <w:numPr>
                <w:ilvl w:val="0"/>
                <w:numId w:val="0"/>
              </w:numPr>
              <w:rPr>
                <w:sz w:val="20"/>
                <w:szCs w:val="20"/>
              </w:rPr>
            </w:pPr>
            <w:r w:rsidRPr="0054451E">
              <w:rPr>
                <w:sz w:val="20"/>
                <w:szCs w:val="20"/>
              </w:rPr>
              <w:t>2 weeks</w:t>
            </w:r>
          </w:p>
        </w:tc>
      </w:tr>
      <w:tr w:rsidR="0054451E" w:rsidRPr="0054451E" w14:paraId="19B8F70C" w14:textId="77777777" w:rsidTr="0054451E">
        <w:tc>
          <w:tcPr>
            <w:tcW w:w="2713" w:type="dxa"/>
          </w:tcPr>
          <w:p w14:paraId="6D31CB9E" w14:textId="5F524102" w:rsidR="0054451E" w:rsidRPr="0054451E" w:rsidRDefault="0054451E" w:rsidP="00E42864">
            <w:pPr>
              <w:pStyle w:val="PolicybulletLevel3"/>
              <w:numPr>
                <w:ilvl w:val="0"/>
                <w:numId w:val="0"/>
              </w:numPr>
              <w:rPr>
                <w:sz w:val="20"/>
                <w:szCs w:val="20"/>
              </w:rPr>
            </w:pPr>
            <w:r w:rsidRPr="0054451E">
              <w:rPr>
                <w:sz w:val="20"/>
                <w:szCs w:val="20"/>
              </w:rPr>
              <w:t>Thematic review</w:t>
            </w:r>
          </w:p>
        </w:tc>
        <w:tc>
          <w:tcPr>
            <w:tcW w:w="2773" w:type="dxa"/>
          </w:tcPr>
          <w:p w14:paraId="2A5D5B4B" w14:textId="20C37AF7" w:rsidR="0054451E" w:rsidRPr="0054451E" w:rsidRDefault="0054451E" w:rsidP="00E42864">
            <w:pPr>
              <w:pStyle w:val="PolicybulletLevel3"/>
              <w:numPr>
                <w:ilvl w:val="0"/>
                <w:numId w:val="0"/>
              </w:numPr>
              <w:rPr>
                <w:sz w:val="20"/>
                <w:szCs w:val="20"/>
              </w:rPr>
            </w:pPr>
            <w:r w:rsidRPr="0054451E">
              <w:rPr>
                <w:sz w:val="20"/>
                <w:szCs w:val="20"/>
              </w:rPr>
              <w:t>16 to 26 weeks</w:t>
            </w:r>
          </w:p>
        </w:tc>
        <w:tc>
          <w:tcPr>
            <w:tcW w:w="2299" w:type="dxa"/>
          </w:tcPr>
          <w:p w14:paraId="5A841F7D" w14:textId="53506D4C" w:rsidR="0054451E" w:rsidRPr="0054451E" w:rsidRDefault="0054451E" w:rsidP="00E42864">
            <w:pPr>
              <w:pStyle w:val="PolicybulletLevel3"/>
              <w:numPr>
                <w:ilvl w:val="0"/>
                <w:numId w:val="0"/>
              </w:numPr>
              <w:rPr>
                <w:sz w:val="20"/>
                <w:szCs w:val="20"/>
              </w:rPr>
            </w:pPr>
            <w:r w:rsidRPr="0054451E">
              <w:rPr>
                <w:sz w:val="20"/>
                <w:szCs w:val="20"/>
              </w:rPr>
              <w:t>2 weeks</w:t>
            </w:r>
          </w:p>
        </w:tc>
      </w:tr>
      <w:tr w:rsidR="0054451E" w:rsidRPr="0054451E" w14:paraId="7328910C" w14:textId="77777777" w:rsidTr="0054451E">
        <w:tc>
          <w:tcPr>
            <w:tcW w:w="2713" w:type="dxa"/>
          </w:tcPr>
          <w:p w14:paraId="267C90CE" w14:textId="05892EB1" w:rsidR="0054451E" w:rsidRPr="0054451E" w:rsidRDefault="0054451E" w:rsidP="00E42864">
            <w:pPr>
              <w:pStyle w:val="PolicybulletLevel3"/>
              <w:numPr>
                <w:ilvl w:val="0"/>
                <w:numId w:val="0"/>
              </w:numPr>
              <w:rPr>
                <w:sz w:val="20"/>
                <w:szCs w:val="20"/>
              </w:rPr>
            </w:pPr>
            <w:r w:rsidRPr="0054451E">
              <w:rPr>
                <w:sz w:val="20"/>
                <w:szCs w:val="20"/>
              </w:rPr>
              <w:t>Multidisciplinary review</w:t>
            </w:r>
          </w:p>
        </w:tc>
        <w:tc>
          <w:tcPr>
            <w:tcW w:w="2773" w:type="dxa"/>
          </w:tcPr>
          <w:p w14:paraId="13CC0921" w14:textId="3365ADE9" w:rsidR="0054451E" w:rsidRPr="0054451E" w:rsidRDefault="0054451E" w:rsidP="00E42864">
            <w:pPr>
              <w:pStyle w:val="PolicybulletLevel3"/>
              <w:numPr>
                <w:ilvl w:val="0"/>
                <w:numId w:val="0"/>
              </w:numPr>
              <w:rPr>
                <w:sz w:val="20"/>
                <w:szCs w:val="20"/>
              </w:rPr>
            </w:pPr>
            <w:r w:rsidRPr="0054451E">
              <w:rPr>
                <w:sz w:val="20"/>
                <w:szCs w:val="20"/>
              </w:rPr>
              <w:t>8 weeks</w:t>
            </w:r>
          </w:p>
        </w:tc>
        <w:tc>
          <w:tcPr>
            <w:tcW w:w="2299" w:type="dxa"/>
          </w:tcPr>
          <w:p w14:paraId="1586E5BF" w14:textId="7B583236" w:rsidR="0054451E" w:rsidRPr="0054451E" w:rsidRDefault="0054451E" w:rsidP="00E42864">
            <w:pPr>
              <w:pStyle w:val="PolicybulletLevel3"/>
              <w:numPr>
                <w:ilvl w:val="0"/>
                <w:numId w:val="0"/>
              </w:numPr>
              <w:rPr>
                <w:sz w:val="20"/>
                <w:szCs w:val="20"/>
              </w:rPr>
            </w:pPr>
            <w:r w:rsidRPr="0054451E">
              <w:rPr>
                <w:sz w:val="20"/>
                <w:szCs w:val="20"/>
              </w:rPr>
              <w:t>2 weeks</w:t>
            </w:r>
          </w:p>
        </w:tc>
      </w:tr>
      <w:tr w:rsidR="0054451E" w:rsidRPr="0054451E" w14:paraId="6028995D" w14:textId="3612FE0E" w:rsidTr="0054451E">
        <w:tc>
          <w:tcPr>
            <w:tcW w:w="2713" w:type="dxa"/>
          </w:tcPr>
          <w:p w14:paraId="5C3517BE" w14:textId="3C1314B0" w:rsidR="0054451E" w:rsidRPr="0054451E" w:rsidRDefault="0054451E" w:rsidP="00E42864">
            <w:pPr>
              <w:pStyle w:val="PolicybulletLevel3"/>
              <w:numPr>
                <w:ilvl w:val="0"/>
                <w:numId w:val="0"/>
              </w:numPr>
              <w:rPr>
                <w:sz w:val="20"/>
                <w:szCs w:val="20"/>
              </w:rPr>
            </w:pPr>
            <w:r w:rsidRPr="0054451E">
              <w:rPr>
                <w:sz w:val="20"/>
                <w:szCs w:val="20"/>
              </w:rPr>
              <w:t>After Action Review</w:t>
            </w:r>
          </w:p>
        </w:tc>
        <w:tc>
          <w:tcPr>
            <w:tcW w:w="2773" w:type="dxa"/>
          </w:tcPr>
          <w:p w14:paraId="7BDCC96F" w14:textId="7AA01FE4" w:rsidR="0054451E" w:rsidRPr="0054451E" w:rsidRDefault="0054451E" w:rsidP="00E42864">
            <w:pPr>
              <w:pStyle w:val="PolicybulletLevel3"/>
              <w:numPr>
                <w:ilvl w:val="0"/>
                <w:numId w:val="0"/>
              </w:numPr>
              <w:rPr>
                <w:sz w:val="20"/>
                <w:szCs w:val="20"/>
              </w:rPr>
            </w:pPr>
            <w:r w:rsidRPr="0054451E">
              <w:rPr>
                <w:sz w:val="20"/>
                <w:szCs w:val="20"/>
              </w:rPr>
              <w:t xml:space="preserve">6 weeks </w:t>
            </w:r>
          </w:p>
        </w:tc>
        <w:tc>
          <w:tcPr>
            <w:tcW w:w="2299" w:type="dxa"/>
          </w:tcPr>
          <w:p w14:paraId="11A91D94" w14:textId="40361B23" w:rsidR="0054451E" w:rsidRPr="0054451E" w:rsidRDefault="0054451E" w:rsidP="00E42864">
            <w:pPr>
              <w:pStyle w:val="PolicybulletLevel3"/>
              <w:numPr>
                <w:ilvl w:val="0"/>
                <w:numId w:val="0"/>
              </w:numPr>
              <w:rPr>
                <w:sz w:val="20"/>
                <w:szCs w:val="20"/>
              </w:rPr>
            </w:pPr>
            <w:r w:rsidRPr="0054451E">
              <w:rPr>
                <w:sz w:val="20"/>
                <w:szCs w:val="20"/>
              </w:rPr>
              <w:t>2 weeks</w:t>
            </w:r>
          </w:p>
        </w:tc>
      </w:tr>
      <w:tr w:rsidR="0054451E" w:rsidRPr="0054451E" w14:paraId="4F5496B2" w14:textId="1FE07CFA" w:rsidTr="0054451E">
        <w:tc>
          <w:tcPr>
            <w:tcW w:w="2713" w:type="dxa"/>
          </w:tcPr>
          <w:p w14:paraId="1090704F" w14:textId="18FDFEE5" w:rsidR="0054451E" w:rsidRPr="0054451E" w:rsidRDefault="0054451E" w:rsidP="00E42864">
            <w:pPr>
              <w:pStyle w:val="PolicybulletLevel3"/>
              <w:numPr>
                <w:ilvl w:val="0"/>
                <w:numId w:val="0"/>
              </w:numPr>
              <w:rPr>
                <w:sz w:val="20"/>
                <w:szCs w:val="20"/>
              </w:rPr>
            </w:pPr>
            <w:r w:rsidRPr="0054451E">
              <w:rPr>
                <w:sz w:val="20"/>
                <w:szCs w:val="20"/>
              </w:rPr>
              <w:t>Swarm huddle</w:t>
            </w:r>
          </w:p>
        </w:tc>
        <w:tc>
          <w:tcPr>
            <w:tcW w:w="2773" w:type="dxa"/>
          </w:tcPr>
          <w:p w14:paraId="10315347" w14:textId="6B1DF90F" w:rsidR="0054451E" w:rsidRPr="0054451E" w:rsidRDefault="0054451E" w:rsidP="00E42864">
            <w:pPr>
              <w:pStyle w:val="PolicybulletLevel3"/>
              <w:numPr>
                <w:ilvl w:val="0"/>
                <w:numId w:val="0"/>
              </w:numPr>
              <w:rPr>
                <w:sz w:val="20"/>
                <w:szCs w:val="20"/>
              </w:rPr>
            </w:pPr>
            <w:r w:rsidRPr="0054451E">
              <w:rPr>
                <w:sz w:val="20"/>
                <w:szCs w:val="20"/>
              </w:rPr>
              <w:t>4 weeks</w:t>
            </w:r>
          </w:p>
        </w:tc>
        <w:tc>
          <w:tcPr>
            <w:tcW w:w="2299" w:type="dxa"/>
          </w:tcPr>
          <w:p w14:paraId="02273DDE" w14:textId="0F7AD54C" w:rsidR="0054451E" w:rsidRPr="0054451E" w:rsidRDefault="0054451E" w:rsidP="00E42864">
            <w:pPr>
              <w:pStyle w:val="PolicybulletLevel3"/>
              <w:numPr>
                <w:ilvl w:val="0"/>
                <w:numId w:val="0"/>
              </w:numPr>
              <w:rPr>
                <w:sz w:val="20"/>
                <w:szCs w:val="20"/>
              </w:rPr>
            </w:pPr>
            <w:r w:rsidRPr="0054451E">
              <w:rPr>
                <w:sz w:val="20"/>
                <w:szCs w:val="20"/>
              </w:rPr>
              <w:t>2 week</w:t>
            </w:r>
            <w:r w:rsidR="00544C66">
              <w:rPr>
                <w:sz w:val="20"/>
                <w:szCs w:val="20"/>
              </w:rPr>
              <w:t>s</w:t>
            </w:r>
          </w:p>
        </w:tc>
      </w:tr>
      <w:tr w:rsidR="0054451E" w:rsidRPr="0054451E" w14:paraId="6786BD1F" w14:textId="367D2638" w:rsidTr="0054451E">
        <w:tc>
          <w:tcPr>
            <w:tcW w:w="2713" w:type="dxa"/>
          </w:tcPr>
          <w:p w14:paraId="7B260493" w14:textId="6EFBFCBC" w:rsidR="0054451E" w:rsidRPr="0054451E" w:rsidRDefault="0054451E" w:rsidP="00E42864">
            <w:pPr>
              <w:pStyle w:val="PolicybulletLevel3"/>
              <w:numPr>
                <w:ilvl w:val="0"/>
                <w:numId w:val="0"/>
              </w:numPr>
              <w:rPr>
                <w:sz w:val="20"/>
                <w:szCs w:val="20"/>
              </w:rPr>
            </w:pPr>
            <w:r w:rsidRPr="0054451E">
              <w:rPr>
                <w:sz w:val="20"/>
                <w:szCs w:val="20"/>
              </w:rPr>
              <w:lastRenderedPageBreak/>
              <w:t>LRMS review/investigation</w:t>
            </w:r>
          </w:p>
        </w:tc>
        <w:tc>
          <w:tcPr>
            <w:tcW w:w="2773" w:type="dxa"/>
          </w:tcPr>
          <w:p w14:paraId="7C8A7A67" w14:textId="0BC880B5" w:rsidR="0054451E" w:rsidRPr="0054451E" w:rsidRDefault="0054451E" w:rsidP="00E42864">
            <w:pPr>
              <w:pStyle w:val="PolicybulletLevel3"/>
              <w:numPr>
                <w:ilvl w:val="0"/>
                <w:numId w:val="0"/>
              </w:numPr>
              <w:rPr>
                <w:sz w:val="20"/>
                <w:szCs w:val="20"/>
              </w:rPr>
            </w:pPr>
            <w:r w:rsidRPr="0054451E">
              <w:rPr>
                <w:sz w:val="20"/>
                <w:szCs w:val="20"/>
              </w:rPr>
              <w:t>4 weeks</w:t>
            </w:r>
          </w:p>
        </w:tc>
        <w:tc>
          <w:tcPr>
            <w:tcW w:w="2299" w:type="dxa"/>
          </w:tcPr>
          <w:p w14:paraId="7A301180" w14:textId="77CE16E0" w:rsidR="0054451E" w:rsidRPr="0054451E" w:rsidRDefault="0054451E" w:rsidP="00E42864">
            <w:pPr>
              <w:pStyle w:val="PolicybulletLevel3"/>
              <w:numPr>
                <w:ilvl w:val="0"/>
                <w:numId w:val="0"/>
              </w:numPr>
              <w:rPr>
                <w:sz w:val="20"/>
                <w:szCs w:val="20"/>
              </w:rPr>
            </w:pPr>
            <w:r w:rsidRPr="0054451E">
              <w:rPr>
                <w:sz w:val="20"/>
                <w:szCs w:val="20"/>
              </w:rPr>
              <w:t>2 weeks</w:t>
            </w:r>
          </w:p>
        </w:tc>
      </w:tr>
      <w:tr w:rsidR="0054451E" w:rsidRPr="0054451E" w14:paraId="5583D96E" w14:textId="211C6692" w:rsidTr="0054451E">
        <w:tc>
          <w:tcPr>
            <w:tcW w:w="2713" w:type="dxa"/>
          </w:tcPr>
          <w:p w14:paraId="37124A45" w14:textId="2A2E8191" w:rsidR="0054451E" w:rsidRPr="0054451E" w:rsidRDefault="0054451E" w:rsidP="00E42864">
            <w:pPr>
              <w:pStyle w:val="PolicybulletLevel3"/>
              <w:numPr>
                <w:ilvl w:val="0"/>
                <w:numId w:val="0"/>
              </w:numPr>
              <w:rPr>
                <w:sz w:val="20"/>
                <w:szCs w:val="20"/>
              </w:rPr>
            </w:pPr>
            <w:r w:rsidRPr="0054451E">
              <w:rPr>
                <w:sz w:val="20"/>
                <w:szCs w:val="20"/>
              </w:rPr>
              <w:t>Quality improvement</w:t>
            </w:r>
          </w:p>
        </w:tc>
        <w:tc>
          <w:tcPr>
            <w:tcW w:w="2773" w:type="dxa"/>
          </w:tcPr>
          <w:p w14:paraId="53B80425" w14:textId="4E5C3E60" w:rsidR="0054451E" w:rsidRPr="0054451E" w:rsidRDefault="0054451E" w:rsidP="00E42864">
            <w:pPr>
              <w:pStyle w:val="PolicybulletLevel3"/>
              <w:numPr>
                <w:ilvl w:val="0"/>
                <w:numId w:val="0"/>
              </w:numPr>
              <w:rPr>
                <w:sz w:val="20"/>
                <w:szCs w:val="20"/>
              </w:rPr>
            </w:pPr>
            <w:r w:rsidRPr="0054451E">
              <w:rPr>
                <w:sz w:val="20"/>
                <w:szCs w:val="20"/>
              </w:rPr>
              <w:t>Dependent on scope of improvement</w:t>
            </w:r>
          </w:p>
        </w:tc>
        <w:tc>
          <w:tcPr>
            <w:tcW w:w="2299" w:type="dxa"/>
          </w:tcPr>
          <w:p w14:paraId="5997A74F" w14:textId="2AFC9239" w:rsidR="0054451E" w:rsidRPr="0054451E" w:rsidRDefault="0054451E" w:rsidP="00E42864">
            <w:pPr>
              <w:pStyle w:val="PolicybulletLevel3"/>
              <w:numPr>
                <w:ilvl w:val="0"/>
                <w:numId w:val="0"/>
              </w:numPr>
              <w:rPr>
                <w:sz w:val="20"/>
                <w:szCs w:val="20"/>
              </w:rPr>
            </w:pPr>
            <w:r w:rsidRPr="0054451E">
              <w:rPr>
                <w:sz w:val="20"/>
                <w:szCs w:val="20"/>
              </w:rPr>
              <w:t>Dependent on oversight group requirements</w:t>
            </w:r>
          </w:p>
        </w:tc>
      </w:tr>
    </w:tbl>
    <w:p w14:paraId="65EB55D2" w14:textId="00B355DB" w:rsidR="00E42864" w:rsidRPr="0054451E" w:rsidRDefault="0054451E" w:rsidP="00E42864">
      <w:pPr>
        <w:pStyle w:val="PolicybulletLevel3"/>
        <w:numPr>
          <w:ilvl w:val="0"/>
          <w:numId w:val="0"/>
        </w:numPr>
        <w:ind w:left="1701"/>
        <w:rPr>
          <w:sz w:val="20"/>
          <w:szCs w:val="20"/>
        </w:rPr>
      </w:pPr>
      <w:r w:rsidRPr="0054451E">
        <w:rPr>
          <w:sz w:val="20"/>
          <w:szCs w:val="20"/>
        </w:rPr>
        <w:t>Table 2: Learning response suggested timescales</w:t>
      </w:r>
    </w:p>
    <w:p w14:paraId="5F7163A4" w14:textId="1E7900FF" w:rsidR="00E42864" w:rsidRPr="00AE7824" w:rsidRDefault="00AE7824" w:rsidP="00AE7824">
      <w:pPr>
        <w:pStyle w:val="Policybulletlevel2"/>
        <w:rPr>
          <w:b/>
          <w:szCs w:val="24"/>
        </w:rPr>
      </w:pPr>
      <w:r w:rsidRPr="00AE7824">
        <w:rPr>
          <w:b/>
          <w:szCs w:val="24"/>
        </w:rPr>
        <w:t>Safety action development and monitoring improvement</w:t>
      </w:r>
    </w:p>
    <w:p w14:paraId="40CC5008" w14:textId="799603D4" w:rsidR="00D5326B" w:rsidRPr="00D5326B" w:rsidRDefault="00544C66" w:rsidP="00544C66">
      <w:pPr>
        <w:pStyle w:val="PolicybulletLevel3"/>
        <w:ind w:left="1701" w:hanging="850"/>
      </w:pPr>
      <w:r w:rsidRPr="00E55EBC">
        <w:rPr>
          <w:szCs w:val="24"/>
        </w:rPr>
        <w:t xml:space="preserve">The </w:t>
      </w:r>
      <w:r w:rsidRPr="00544C66">
        <w:t>development</w:t>
      </w:r>
      <w:r w:rsidRPr="00E55EBC">
        <w:rPr>
          <w:szCs w:val="24"/>
        </w:rPr>
        <w:t xml:space="preserve"> of safety actions utilises the </w:t>
      </w:r>
      <w:r w:rsidR="00D5326B">
        <w:rPr>
          <w:szCs w:val="24"/>
        </w:rPr>
        <w:t xml:space="preserve">Human Factors Intervention Matrix (HFIX) and </w:t>
      </w:r>
      <w:r w:rsidRPr="00E55EBC">
        <w:rPr>
          <w:szCs w:val="24"/>
        </w:rPr>
        <w:t>iFACES criteria</w:t>
      </w:r>
      <w:r>
        <w:rPr>
          <w:szCs w:val="24"/>
        </w:rPr>
        <w:t xml:space="preserve"> (NHSE, 2022</w:t>
      </w:r>
      <w:r w:rsidR="003077CB">
        <w:rPr>
          <w:szCs w:val="24"/>
        </w:rPr>
        <w:t>c</w:t>
      </w:r>
      <w:r>
        <w:rPr>
          <w:szCs w:val="24"/>
        </w:rPr>
        <w:t>).  Th</w:t>
      </w:r>
      <w:r w:rsidR="00D5326B">
        <w:rPr>
          <w:szCs w:val="24"/>
        </w:rPr>
        <w:t xml:space="preserve">ese, for the purposes of safety actions </w:t>
      </w:r>
      <w:r w:rsidR="008A36C3">
        <w:rPr>
          <w:szCs w:val="24"/>
        </w:rPr>
        <w:t>strengthen</w:t>
      </w:r>
      <w:r>
        <w:rPr>
          <w:szCs w:val="24"/>
        </w:rPr>
        <w:t xml:space="preserve"> SMART (specific, measurable, achievable, realistic, timebound)</w:t>
      </w:r>
      <w:r w:rsidR="008A36C3">
        <w:rPr>
          <w:szCs w:val="24"/>
        </w:rPr>
        <w:t xml:space="preserve"> actions.</w:t>
      </w:r>
    </w:p>
    <w:p w14:paraId="21FDAE9F" w14:textId="77777777" w:rsidR="00D5326B" w:rsidRPr="00D5326B" w:rsidRDefault="00D5326B" w:rsidP="00544C66">
      <w:pPr>
        <w:pStyle w:val="PolicybulletLevel3"/>
        <w:ind w:left="1701" w:hanging="850"/>
      </w:pPr>
      <w:r>
        <w:rPr>
          <w:szCs w:val="24"/>
        </w:rPr>
        <w:t xml:space="preserve">HFIX considers safety actions in the context of the SEIPS work system descriptors: Person(s), Tasks, Tools and Technology, Organisation (of work), Internal environment and External environment.  </w:t>
      </w:r>
    </w:p>
    <w:p w14:paraId="26D10F46" w14:textId="12833B5E" w:rsidR="00D927AD" w:rsidRPr="00D5326B" w:rsidRDefault="00D5326B" w:rsidP="00544C66">
      <w:pPr>
        <w:pStyle w:val="PolicybulletLevel3"/>
        <w:ind w:left="1701" w:hanging="850"/>
      </w:pPr>
      <w:r>
        <w:rPr>
          <w:szCs w:val="24"/>
        </w:rPr>
        <w:t>iFACES criteria applies a scoring rubric to aid prioritisation of safety actions.  It includes consideration of: Inequality, Feasibility, Acceptability, Cost/Benefit, Effectiveness and Sustainability.</w:t>
      </w:r>
    </w:p>
    <w:p w14:paraId="4F8942D0" w14:textId="0B1DE776" w:rsidR="00D5326B" w:rsidRDefault="00D5326B" w:rsidP="00544C66">
      <w:pPr>
        <w:pStyle w:val="PolicybulletLevel3"/>
        <w:ind w:left="1701" w:hanging="850"/>
      </w:pPr>
      <w:r>
        <w:t>The process of safety action development considers the context, prioritisation and selection of safety measures, definition of measures, recording of safety actions and the monitoring and review requirements.</w:t>
      </w:r>
    </w:p>
    <w:p w14:paraId="15454EB2" w14:textId="3194D1DC" w:rsidR="008A36C3" w:rsidRDefault="008A36C3" w:rsidP="00544C66">
      <w:pPr>
        <w:pStyle w:val="PolicybulletLevel3"/>
        <w:ind w:left="1701" w:hanging="850"/>
      </w:pPr>
      <w:r>
        <w:t>Ensuring that learning responses result in robust, deliverable safety actions is vital to embedding learning and improvement within the Trust.  This supports ensuring the resources are focused on improvement creating the shift from repeating the same investigations.</w:t>
      </w:r>
    </w:p>
    <w:p w14:paraId="744A3017" w14:textId="77777777" w:rsidR="00703E86" w:rsidRDefault="00F42889" w:rsidP="00544C66">
      <w:pPr>
        <w:pStyle w:val="PolicybulletLevel3"/>
        <w:ind w:left="1701" w:hanging="850"/>
      </w:pPr>
      <w:r>
        <w:t xml:space="preserve">The </w:t>
      </w:r>
      <w:r w:rsidR="00703E86">
        <w:t xml:space="preserve">learning responses and relevant actions are monitored via Care Group Governance processes. </w:t>
      </w:r>
    </w:p>
    <w:p w14:paraId="11A5846A" w14:textId="36641033" w:rsidR="00F42889" w:rsidRPr="00544C66" w:rsidRDefault="00703E86" w:rsidP="00544C66">
      <w:pPr>
        <w:pStyle w:val="PolicybulletLevel3"/>
        <w:ind w:left="1701" w:hanging="850"/>
      </w:pPr>
      <w:r>
        <w:t xml:space="preserve">For PSIIs, Thematic reviews, MDT reviews and other learning responses requiring oversight beyond a single care group, the Learning Response Approval Panel (LRAP) </w:t>
      </w:r>
      <w:r w:rsidR="00CE2F40">
        <w:t xml:space="preserve">approves the learning response/investigation and </w:t>
      </w:r>
      <w:r>
        <w:t xml:space="preserve">reviews the planned actions and seeks assurance of completion of actions three to six months following </w:t>
      </w:r>
      <w:r w:rsidR="007D1584">
        <w:t>presentation at LRAP</w:t>
      </w:r>
      <w:r>
        <w:t>.</w:t>
      </w:r>
    </w:p>
    <w:p w14:paraId="705A0891" w14:textId="5F111C38" w:rsidR="00544C66" w:rsidRDefault="00D5326B" w:rsidP="00544C66">
      <w:pPr>
        <w:pStyle w:val="PolicybulletLevel3"/>
        <w:ind w:left="1701" w:hanging="850"/>
      </w:pPr>
      <w:r>
        <w:t xml:space="preserve">The </w:t>
      </w:r>
      <w:r w:rsidR="00CE2F40">
        <w:t xml:space="preserve">approval of learning responses/investigation and </w:t>
      </w:r>
      <w:r w:rsidR="00096ABE">
        <w:t xml:space="preserve">approval of </w:t>
      </w:r>
      <w:r>
        <w:t>safety actions is dependent on the type and level of review and/or investigation undertaken</w:t>
      </w:r>
      <w:r w:rsidR="00096ABE">
        <w:t xml:space="preserve"> (see table 3)</w:t>
      </w:r>
      <w:r>
        <w:t>.</w:t>
      </w:r>
      <w:r w:rsidR="00096ABE">
        <w:t xml:space="preserve">  </w:t>
      </w:r>
    </w:p>
    <w:tbl>
      <w:tblPr>
        <w:tblStyle w:val="TableGrid"/>
        <w:tblW w:w="0" w:type="auto"/>
        <w:tblInd w:w="1701" w:type="dxa"/>
        <w:tblLook w:val="04A0" w:firstRow="1" w:lastRow="0" w:firstColumn="1" w:lastColumn="0" w:noHBand="0" w:noVBand="1"/>
      </w:tblPr>
      <w:tblGrid>
        <w:gridCol w:w="3539"/>
        <w:gridCol w:w="4246"/>
      </w:tblGrid>
      <w:tr w:rsidR="00D5326B" w:rsidRPr="007D1584" w14:paraId="60DD7467" w14:textId="77777777" w:rsidTr="00CE2F40">
        <w:tc>
          <w:tcPr>
            <w:tcW w:w="3539" w:type="dxa"/>
          </w:tcPr>
          <w:p w14:paraId="5006323B" w14:textId="30978384" w:rsidR="00D5326B" w:rsidRPr="007D1584" w:rsidRDefault="00D5326B" w:rsidP="00D5326B">
            <w:pPr>
              <w:pStyle w:val="PolicybulletLevel3"/>
              <w:numPr>
                <w:ilvl w:val="0"/>
                <w:numId w:val="0"/>
              </w:numPr>
              <w:rPr>
                <w:b/>
                <w:sz w:val="20"/>
                <w:szCs w:val="20"/>
              </w:rPr>
            </w:pPr>
            <w:r w:rsidRPr="007D1584">
              <w:rPr>
                <w:b/>
                <w:sz w:val="20"/>
                <w:szCs w:val="20"/>
              </w:rPr>
              <w:t>Type of review / learning response</w:t>
            </w:r>
          </w:p>
        </w:tc>
        <w:tc>
          <w:tcPr>
            <w:tcW w:w="4246" w:type="dxa"/>
          </w:tcPr>
          <w:p w14:paraId="18C1E0E5" w14:textId="7628E77F" w:rsidR="00D5326B" w:rsidRPr="007D1584" w:rsidRDefault="00D5326B" w:rsidP="00D5326B">
            <w:pPr>
              <w:pStyle w:val="PolicybulletLevel3"/>
              <w:numPr>
                <w:ilvl w:val="0"/>
                <w:numId w:val="0"/>
              </w:numPr>
              <w:rPr>
                <w:b/>
                <w:sz w:val="20"/>
                <w:szCs w:val="20"/>
              </w:rPr>
            </w:pPr>
            <w:r w:rsidRPr="007D1584">
              <w:rPr>
                <w:b/>
                <w:sz w:val="20"/>
                <w:szCs w:val="20"/>
              </w:rPr>
              <w:t>Oversight responsibility</w:t>
            </w:r>
          </w:p>
        </w:tc>
      </w:tr>
      <w:tr w:rsidR="00D5326B" w:rsidRPr="00096ABE" w14:paraId="62B09585" w14:textId="77777777" w:rsidTr="00CE2F40">
        <w:tc>
          <w:tcPr>
            <w:tcW w:w="3539" w:type="dxa"/>
          </w:tcPr>
          <w:p w14:paraId="2AC76AA3" w14:textId="51EBC30D" w:rsidR="00D5326B" w:rsidRPr="00096ABE" w:rsidRDefault="00D5326B" w:rsidP="00D5326B">
            <w:pPr>
              <w:pStyle w:val="PolicybulletLevel3"/>
              <w:numPr>
                <w:ilvl w:val="0"/>
                <w:numId w:val="0"/>
              </w:numPr>
              <w:rPr>
                <w:sz w:val="20"/>
                <w:szCs w:val="20"/>
              </w:rPr>
            </w:pPr>
            <w:r w:rsidRPr="00096ABE">
              <w:rPr>
                <w:sz w:val="20"/>
                <w:szCs w:val="20"/>
              </w:rPr>
              <w:t>LRMS</w:t>
            </w:r>
          </w:p>
        </w:tc>
        <w:tc>
          <w:tcPr>
            <w:tcW w:w="4246" w:type="dxa"/>
          </w:tcPr>
          <w:p w14:paraId="3F52B32D" w14:textId="70ED50D9" w:rsidR="00D5326B" w:rsidRPr="00096ABE" w:rsidRDefault="00D5326B" w:rsidP="00D5326B">
            <w:pPr>
              <w:pStyle w:val="PolicybulletLevel3"/>
              <w:numPr>
                <w:ilvl w:val="0"/>
                <w:numId w:val="0"/>
              </w:numPr>
              <w:rPr>
                <w:sz w:val="20"/>
                <w:szCs w:val="20"/>
              </w:rPr>
            </w:pPr>
            <w:r w:rsidRPr="00096ABE">
              <w:rPr>
                <w:sz w:val="20"/>
                <w:szCs w:val="20"/>
              </w:rPr>
              <w:t>Tier 2 handler (see incident management policy)</w:t>
            </w:r>
          </w:p>
        </w:tc>
      </w:tr>
      <w:tr w:rsidR="00D5326B" w:rsidRPr="00096ABE" w14:paraId="0B196D62" w14:textId="77777777" w:rsidTr="00CE2F40">
        <w:tc>
          <w:tcPr>
            <w:tcW w:w="3539" w:type="dxa"/>
          </w:tcPr>
          <w:p w14:paraId="2B64F6CB" w14:textId="0689C81E" w:rsidR="00D5326B" w:rsidRPr="00096ABE" w:rsidRDefault="00D5326B" w:rsidP="00D5326B">
            <w:pPr>
              <w:pStyle w:val="PolicybulletLevel3"/>
              <w:numPr>
                <w:ilvl w:val="0"/>
                <w:numId w:val="0"/>
              </w:numPr>
              <w:rPr>
                <w:sz w:val="20"/>
                <w:szCs w:val="20"/>
              </w:rPr>
            </w:pPr>
            <w:r w:rsidRPr="00096ABE">
              <w:rPr>
                <w:sz w:val="20"/>
                <w:szCs w:val="20"/>
              </w:rPr>
              <w:t>Swarm huddle</w:t>
            </w:r>
          </w:p>
        </w:tc>
        <w:tc>
          <w:tcPr>
            <w:tcW w:w="4246" w:type="dxa"/>
          </w:tcPr>
          <w:p w14:paraId="5B5C9DAA" w14:textId="0EFBC916" w:rsidR="00D5326B" w:rsidRPr="00096ABE" w:rsidRDefault="00D5326B" w:rsidP="00D5326B">
            <w:pPr>
              <w:pStyle w:val="PolicybulletLevel3"/>
              <w:numPr>
                <w:ilvl w:val="0"/>
                <w:numId w:val="0"/>
              </w:numPr>
              <w:rPr>
                <w:sz w:val="20"/>
                <w:szCs w:val="20"/>
              </w:rPr>
            </w:pPr>
            <w:r w:rsidRPr="00096ABE">
              <w:rPr>
                <w:sz w:val="20"/>
                <w:szCs w:val="20"/>
              </w:rPr>
              <w:t>Tier 2 handler (see incident management policy)</w:t>
            </w:r>
          </w:p>
        </w:tc>
      </w:tr>
      <w:tr w:rsidR="00D5326B" w:rsidRPr="00096ABE" w14:paraId="3EE4C002" w14:textId="77777777" w:rsidTr="00CE2F40">
        <w:tc>
          <w:tcPr>
            <w:tcW w:w="3539" w:type="dxa"/>
          </w:tcPr>
          <w:p w14:paraId="69860E48" w14:textId="6108D875" w:rsidR="00D5326B" w:rsidRPr="00096ABE" w:rsidRDefault="00D5326B" w:rsidP="00D5326B">
            <w:pPr>
              <w:pStyle w:val="PolicybulletLevel3"/>
              <w:numPr>
                <w:ilvl w:val="0"/>
                <w:numId w:val="0"/>
              </w:numPr>
              <w:rPr>
                <w:sz w:val="20"/>
                <w:szCs w:val="20"/>
              </w:rPr>
            </w:pPr>
            <w:r w:rsidRPr="00096ABE">
              <w:rPr>
                <w:sz w:val="20"/>
                <w:szCs w:val="20"/>
              </w:rPr>
              <w:lastRenderedPageBreak/>
              <w:t>After Action Review</w:t>
            </w:r>
            <w:r w:rsidR="00096ABE" w:rsidRPr="00096ABE">
              <w:rPr>
                <w:sz w:val="20"/>
                <w:szCs w:val="20"/>
              </w:rPr>
              <w:t xml:space="preserve"> (care group)</w:t>
            </w:r>
          </w:p>
        </w:tc>
        <w:tc>
          <w:tcPr>
            <w:tcW w:w="4246" w:type="dxa"/>
          </w:tcPr>
          <w:p w14:paraId="56DEDD83" w14:textId="0768E90E" w:rsidR="00D5326B" w:rsidRPr="00096ABE" w:rsidRDefault="00D5326B" w:rsidP="00D5326B">
            <w:pPr>
              <w:pStyle w:val="PolicybulletLevel3"/>
              <w:numPr>
                <w:ilvl w:val="0"/>
                <w:numId w:val="0"/>
              </w:numPr>
              <w:rPr>
                <w:sz w:val="20"/>
                <w:szCs w:val="20"/>
              </w:rPr>
            </w:pPr>
            <w:r w:rsidRPr="00096ABE">
              <w:rPr>
                <w:sz w:val="20"/>
                <w:szCs w:val="20"/>
              </w:rPr>
              <w:t>Care Group Triumvirate</w:t>
            </w:r>
          </w:p>
        </w:tc>
      </w:tr>
      <w:tr w:rsidR="00096ABE" w:rsidRPr="00096ABE" w14:paraId="7E29B2BB" w14:textId="77777777" w:rsidTr="00CE2F40">
        <w:tc>
          <w:tcPr>
            <w:tcW w:w="3539" w:type="dxa"/>
          </w:tcPr>
          <w:p w14:paraId="10D2C153" w14:textId="05179712" w:rsidR="00096ABE" w:rsidRPr="00096ABE" w:rsidRDefault="00096ABE" w:rsidP="00D5326B">
            <w:pPr>
              <w:pStyle w:val="PolicybulletLevel3"/>
              <w:numPr>
                <w:ilvl w:val="0"/>
                <w:numId w:val="0"/>
              </w:numPr>
              <w:rPr>
                <w:sz w:val="20"/>
                <w:szCs w:val="20"/>
              </w:rPr>
            </w:pPr>
            <w:r w:rsidRPr="00096ABE">
              <w:rPr>
                <w:sz w:val="20"/>
                <w:szCs w:val="20"/>
              </w:rPr>
              <w:t>After Action Review (beyond a single care group)</w:t>
            </w:r>
          </w:p>
        </w:tc>
        <w:tc>
          <w:tcPr>
            <w:tcW w:w="4246" w:type="dxa"/>
          </w:tcPr>
          <w:p w14:paraId="004F52D7" w14:textId="1FD436A5" w:rsidR="00096ABE" w:rsidRPr="00096ABE" w:rsidRDefault="00096ABE" w:rsidP="00D5326B">
            <w:pPr>
              <w:pStyle w:val="PolicybulletLevel3"/>
              <w:numPr>
                <w:ilvl w:val="0"/>
                <w:numId w:val="0"/>
              </w:numPr>
              <w:rPr>
                <w:sz w:val="20"/>
                <w:szCs w:val="20"/>
              </w:rPr>
            </w:pPr>
            <w:r w:rsidRPr="00096ABE">
              <w:rPr>
                <w:sz w:val="20"/>
                <w:szCs w:val="20"/>
              </w:rPr>
              <w:t>LRAP</w:t>
            </w:r>
          </w:p>
        </w:tc>
      </w:tr>
      <w:tr w:rsidR="00D5326B" w:rsidRPr="00096ABE" w14:paraId="162E85CA" w14:textId="77777777" w:rsidTr="00CE2F40">
        <w:tc>
          <w:tcPr>
            <w:tcW w:w="3539" w:type="dxa"/>
          </w:tcPr>
          <w:p w14:paraId="4DD96DC9" w14:textId="77777777" w:rsidR="00D5326B" w:rsidRDefault="00096ABE" w:rsidP="00D5326B">
            <w:pPr>
              <w:pStyle w:val="PolicybulletLevel3"/>
              <w:numPr>
                <w:ilvl w:val="0"/>
                <w:numId w:val="0"/>
              </w:numPr>
              <w:rPr>
                <w:sz w:val="20"/>
                <w:szCs w:val="20"/>
              </w:rPr>
            </w:pPr>
            <w:r w:rsidRPr="00096ABE">
              <w:rPr>
                <w:sz w:val="20"/>
                <w:szCs w:val="20"/>
              </w:rPr>
              <w:t>PSII</w:t>
            </w:r>
          </w:p>
          <w:p w14:paraId="567B5F9C" w14:textId="77777777" w:rsidR="002D3665" w:rsidRDefault="002D3665" w:rsidP="00D5326B">
            <w:pPr>
              <w:pStyle w:val="PolicybulletLevel3"/>
              <w:numPr>
                <w:ilvl w:val="0"/>
                <w:numId w:val="0"/>
              </w:numPr>
              <w:rPr>
                <w:sz w:val="20"/>
                <w:szCs w:val="20"/>
              </w:rPr>
            </w:pPr>
            <w:r>
              <w:rPr>
                <w:sz w:val="20"/>
                <w:szCs w:val="20"/>
              </w:rPr>
              <w:t>MDT review</w:t>
            </w:r>
          </w:p>
          <w:p w14:paraId="68A6E943" w14:textId="202ED158" w:rsidR="002D3665" w:rsidRPr="00096ABE" w:rsidRDefault="002D3665" w:rsidP="00D5326B">
            <w:pPr>
              <w:pStyle w:val="PolicybulletLevel3"/>
              <w:numPr>
                <w:ilvl w:val="0"/>
                <w:numId w:val="0"/>
              </w:numPr>
              <w:rPr>
                <w:sz w:val="20"/>
                <w:szCs w:val="20"/>
              </w:rPr>
            </w:pPr>
            <w:r>
              <w:rPr>
                <w:sz w:val="20"/>
                <w:szCs w:val="20"/>
              </w:rPr>
              <w:t>Thematic review</w:t>
            </w:r>
          </w:p>
        </w:tc>
        <w:tc>
          <w:tcPr>
            <w:tcW w:w="4246" w:type="dxa"/>
          </w:tcPr>
          <w:p w14:paraId="664F95B1" w14:textId="302AC40C" w:rsidR="00D5326B" w:rsidRPr="00096ABE" w:rsidRDefault="00096ABE" w:rsidP="00D5326B">
            <w:pPr>
              <w:pStyle w:val="PolicybulletLevel3"/>
              <w:numPr>
                <w:ilvl w:val="0"/>
                <w:numId w:val="0"/>
              </w:numPr>
              <w:rPr>
                <w:sz w:val="20"/>
                <w:szCs w:val="20"/>
              </w:rPr>
            </w:pPr>
            <w:r w:rsidRPr="00096ABE">
              <w:rPr>
                <w:sz w:val="20"/>
                <w:szCs w:val="20"/>
              </w:rPr>
              <w:t xml:space="preserve">LRAP </w:t>
            </w:r>
          </w:p>
        </w:tc>
      </w:tr>
      <w:tr w:rsidR="00096ABE" w:rsidRPr="00096ABE" w14:paraId="25D6881E" w14:textId="77777777" w:rsidTr="00CE2F40">
        <w:tc>
          <w:tcPr>
            <w:tcW w:w="3539" w:type="dxa"/>
          </w:tcPr>
          <w:p w14:paraId="2E20C9AF" w14:textId="1DFC71FB" w:rsidR="00096ABE" w:rsidRPr="00096ABE" w:rsidRDefault="00096ABE" w:rsidP="00D5326B">
            <w:pPr>
              <w:pStyle w:val="PolicybulletLevel3"/>
              <w:numPr>
                <w:ilvl w:val="0"/>
                <w:numId w:val="0"/>
              </w:numPr>
              <w:rPr>
                <w:sz w:val="20"/>
                <w:szCs w:val="20"/>
              </w:rPr>
            </w:pPr>
            <w:r w:rsidRPr="00096ABE">
              <w:rPr>
                <w:sz w:val="20"/>
                <w:szCs w:val="20"/>
              </w:rPr>
              <w:t>Quality Improvement</w:t>
            </w:r>
          </w:p>
        </w:tc>
        <w:tc>
          <w:tcPr>
            <w:tcW w:w="4246" w:type="dxa"/>
          </w:tcPr>
          <w:p w14:paraId="3AE6083B" w14:textId="1DBCC812" w:rsidR="00096ABE" w:rsidRPr="00096ABE" w:rsidRDefault="00096ABE" w:rsidP="00D5326B">
            <w:pPr>
              <w:pStyle w:val="PolicybulletLevel3"/>
              <w:numPr>
                <w:ilvl w:val="0"/>
                <w:numId w:val="0"/>
              </w:numPr>
              <w:rPr>
                <w:sz w:val="20"/>
                <w:szCs w:val="20"/>
              </w:rPr>
            </w:pPr>
            <w:r w:rsidRPr="00096ABE">
              <w:rPr>
                <w:sz w:val="20"/>
                <w:szCs w:val="20"/>
              </w:rPr>
              <w:t>Relevant governance group</w:t>
            </w:r>
          </w:p>
        </w:tc>
      </w:tr>
    </w:tbl>
    <w:p w14:paraId="4BFFCE50" w14:textId="34717A98" w:rsidR="00D5326B" w:rsidRPr="00096ABE" w:rsidRDefault="00096ABE" w:rsidP="00D5326B">
      <w:pPr>
        <w:pStyle w:val="PolicybulletLevel3"/>
        <w:numPr>
          <w:ilvl w:val="0"/>
          <w:numId w:val="0"/>
        </w:numPr>
        <w:ind w:left="1701"/>
        <w:rPr>
          <w:szCs w:val="24"/>
        </w:rPr>
      </w:pPr>
      <w:r w:rsidRPr="00096ABE">
        <w:rPr>
          <w:sz w:val="20"/>
          <w:szCs w:val="20"/>
        </w:rPr>
        <w:t xml:space="preserve">Table 3: outline of oversight responsibility for approval of safety actions </w:t>
      </w:r>
    </w:p>
    <w:p w14:paraId="0078D5FD" w14:textId="4CF7E368" w:rsidR="00096ABE" w:rsidRPr="006F7E30" w:rsidRDefault="00096ABE" w:rsidP="00096ABE">
      <w:pPr>
        <w:pStyle w:val="PolicybulletLevel3"/>
        <w:ind w:left="1701" w:hanging="850"/>
        <w:rPr>
          <w:sz w:val="20"/>
          <w:szCs w:val="20"/>
        </w:rPr>
      </w:pPr>
      <w:r w:rsidRPr="00096ABE">
        <w:rPr>
          <w:szCs w:val="24"/>
        </w:rPr>
        <w:t>The monitoring of safety action completion</w:t>
      </w:r>
      <w:r>
        <w:rPr>
          <w:szCs w:val="24"/>
        </w:rPr>
        <w:t xml:space="preserve"> and collation of relevant evidence on the LRMS</w:t>
      </w:r>
      <w:r w:rsidRPr="00096ABE">
        <w:rPr>
          <w:szCs w:val="24"/>
        </w:rPr>
        <w:t xml:space="preserve"> primar</w:t>
      </w:r>
      <w:r>
        <w:rPr>
          <w:szCs w:val="24"/>
        </w:rPr>
        <w:t>il</w:t>
      </w:r>
      <w:r w:rsidRPr="00096ABE">
        <w:rPr>
          <w:szCs w:val="24"/>
        </w:rPr>
        <w:t>y lies with the relevant care groups</w:t>
      </w:r>
      <w:r>
        <w:rPr>
          <w:szCs w:val="24"/>
        </w:rPr>
        <w:t xml:space="preserve">, specialist teams and, </w:t>
      </w:r>
      <w:r w:rsidRPr="00096ABE">
        <w:rPr>
          <w:szCs w:val="24"/>
        </w:rPr>
        <w:t>in some instances</w:t>
      </w:r>
      <w:r>
        <w:rPr>
          <w:szCs w:val="24"/>
        </w:rPr>
        <w:t>,</w:t>
      </w:r>
      <w:r w:rsidRPr="00096ABE">
        <w:rPr>
          <w:szCs w:val="24"/>
        </w:rPr>
        <w:t xml:space="preserve"> will also have oversight within the Quality and Safety Committee governance structure</w:t>
      </w:r>
      <w:r>
        <w:t>.</w:t>
      </w:r>
    </w:p>
    <w:p w14:paraId="5CDBFE25" w14:textId="0A7C70BE" w:rsidR="006F7E30" w:rsidRDefault="006F7E30" w:rsidP="006F7E30">
      <w:pPr>
        <w:pStyle w:val="Policybulletlevel2"/>
        <w:rPr>
          <w:b/>
          <w:szCs w:val="24"/>
        </w:rPr>
      </w:pPr>
      <w:r w:rsidRPr="006F7E30">
        <w:rPr>
          <w:b/>
          <w:szCs w:val="24"/>
        </w:rPr>
        <w:t>Oversight responsibilities</w:t>
      </w:r>
    </w:p>
    <w:p w14:paraId="14CF6F04" w14:textId="7C1F5B48" w:rsidR="00F42889" w:rsidRPr="00703E86" w:rsidRDefault="00703E86" w:rsidP="001B5F47">
      <w:pPr>
        <w:pStyle w:val="PolicybulletLevel3"/>
        <w:ind w:left="1701" w:hanging="850"/>
        <w:rPr>
          <w:szCs w:val="24"/>
        </w:rPr>
      </w:pPr>
      <w:r w:rsidRPr="00703E86">
        <w:rPr>
          <w:szCs w:val="24"/>
        </w:rPr>
        <w:t>The Trust operationalis</w:t>
      </w:r>
      <w:r w:rsidR="007D1584">
        <w:rPr>
          <w:szCs w:val="24"/>
        </w:rPr>
        <w:t>es</w:t>
      </w:r>
      <w:r w:rsidRPr="00703E86">
        <w:rPr>
          <w:szCs w:val="24"/>
        </w:rPr>
        <w:t xml:space="preserve"> the provider oversight responsibilities (NHSE, 2022a) through the application of this policy and the PSIR plan and reporting within the Quality and Safety Committee governance structure.  The</w:t>
      </w:r>
      <w:r w:rsidR="00F42889" w:rsidRPr="00703E86">
        <w:rPr>
          <w:szCs w:val="24"/>
        </w:rPr>
        <w:t xml:space="preserve"> oversight responsibilities are to:</w:t>
      </w:r>
    </w:p>
    <w:p w14:paraId="532A2621" w14:textId="20C57554" w:rsidR="00F42889" w:rsidRPr="00F42889" w:rsidRDefault="00F42889" w:rsidP="00F42889">
      <w:pPr>
        <w:pStyle w:val="Policybulletlevel4"/>
        <w:ind w:left="2694" w:hanging="993"/>
      </w:pPr>
      <w:r w:rsidRPr="00F42889">
        <w:t>Ensure the Trust meets national patient safety incident response standards.</w:t>
      </w:r>
    </w:p>
    <w:p w14:paraId="5232E5AA" w14:textId="257DCC8D" w:rsidR="00F42889" w:rsidRPr="00F42889" w:rsidRDefault="00F42889" w:rsidP="00F42889">
      <w:pPr>
        <w:pStyle w:val="Policybulletlevel4"/>
        <w:ind w:left="2694" w:hanging="993"/>
      </w:pPr>
      <w:r w:rsidRPr="00F42889">
        <w:t>Ensure PSIRF is central to overarching safety governance arrangements.</w:t>
      </w:r>
    </w:p>
    <w:p w14:paraId="661CF771" w14:textId="3BCC0212" w:rsidR="00F42889" w:rsidRPr="00F42889" w:rsidRDefault="00F42889" w:rsidP="00F42889">
      <w:pPr>
        <w:pStyle w:val="Policybulletlevel4"/>
        <w:ind w:left="2694" w:hanging="993"/>
      </w:pPr>
      <w:r w:rsidRPr="00F42889">
        <w:t>Quality assure learning response outputs.</w:t>
      </w:r>
      <w:r w:rsidR="008A36C3">
        <w:t xml:space="preserve">  This includes the quality of the written response and the robustness of safety actions to provide assurance of improvement.</w:t>
      </w:r>
    </w:p>
    <w:p w14:paraId="3D297D7E" w14:textId="60B28516" w:rsidR="00703E86" w:rsidRPr="00703E86" w:rsidRDefault="00703E86" w:rsidP="00703E86">
      <w:pPr>
        <w:pStyle w:val="PolicybulletLevel3"/>
        <w:ind w:left="1701" w:hanging="850"/>
        <w:rPr>
          <w:szCs w:val="24"/>
        </w:rPr>
      </w:pPr>
      <w:r>
        <w:rPr>
          <w:szCs w:val="24"/>
        </w:rPr>
        <w:t>In order to support oversight, the</w:t>
      </w:r>
      <w:r w:rsidR="00F42889">
        <w:rPr>
          <w:szCs w:val="24"/>
        </w:rPr>
        <w:t xml:space="preserve"> Trust has adopted the oversight mindset within the Terms of Reference of the IRP (and subgroups) and LRAP</w:t>
      </w:r>
      <w:r>
        <w:rPr>
          <w:szCs w:val="24"/>
        </w:rPr>
        <w:t>:</w:t>
      </w:r>
    </w:p>
    <w:p w14:paraId="435B896B" w14:textId="33033698" w:rsidR="00703E86" w:rsidRPr="00703E86" w:rsidRDefault="00703E86" w:rsidP="00703E86">
      <w:pPr>
        <w:pStyle w:val="Policybulletlevel4"/>
        <w:ind w:left="2694" w:hanging="993"/>
      </w:pPr>
      <w:r w:rsidRPr="00703E86">
        <w:t>Improvement is the focus.</w:t>
      </w:r>
    </w:p>
    <w:p w14:paraId="1D5241C2" w14:textId="5B116C0F" w:rsidR="00703E86" w:rsidRPr="00703E86" w:rsidRDefault="00703E86" w:rsidP="00703E86">
      <w:pPr>
        <w:pStyle w:val="Policybulletlevel4"/>
        <w:ind w:left="2694" w:hanging="993"/>
      </w:pPr>
      <w:r w:rsidRPr="00703E86">
        <w:t>Blame restricts insight.</w:t>
      </w:r>
    </w:p>
    <w:p w14:paraId="466B5630" w14:textId="699A0226" w:rsidR="00703E86" w:rsidRPr="00703E86" w:rsidRDefault="00703E86" w:rsidP="00703E86">
      <w:pPr>
        <w:pStyle w:val="Policybulletlevel4"/>
        <w:ind w:left="2694" w:hanging="993"/>
      </w:pPr>
      <w:r w:rsidRPr="00703E86">
        <w:t>Learning from patient safety incidents is a proactive step towards improvement.</w:t>
      </w:r>
    </w:p>
    <w:p w14:paraId="3E291C11" w14:textId="27FD2DA1" w:rsidR="00703E86" w:rsidRPr="00703E86" w:rsidRDefault="00703E86" w:rsidP="00703E86">
      <w:pPr>
        <w:pStyle w:val="Policybulletlevel4"/>
        <w:ind w:left="2694" w:hanging="993"/>
      </w:pPr>
      <w:r w:rsidRPr="00703E86">
        <w:t>Collaboration is key.</w:t>
      </w:r>
    </w:p>
    <w:p w14:paraId="36CC519B" w14:textId="2023585F" w:rsidR="00703E86" w:rsidRPr="00703E86" w:rsidRDefault="00703E86" w:rsidP="00703E86">
      <w:pPr>
        <w:pStyle w:val="Policybulletlevel4"/>
        <w:ind w:left="2694" w:hanging="993"/>
      </w:pPr>
      <w:r w:rsidRPr="00703E86">
        <w:t>Psychological safety allows learning to occur.</w:t>
      </w:r>
    </w:p>
    <w:p w14:paraId="0701F2A2" w14:textId="5B16C8D3" w:rsidR="00703E86" w:rsidRDefault="00703E86" w:rsidP="00703E86">
      <w:pPr>
        <w:pStyle w:val="Policybulletlevel4"/>
        <w:ind w:left="2694" w:hanging="993"/>
      </w:pPr>
      <w:r w:rsidRPr="00703E86">
        <w:t>Curiosity is powerful.</w:t>
      </w:r>
    </w:p>
    <w:p w14:paraId="315C0884" w14:textId="10BBCDD9" w:rsidR="00D82C90" w:rsidRDefault="00703E86" w:rsidP="00CE2F40">
      <w:pPr>
        <w:pStyle w:val="PolicybulletLevel3"/>
        <w:ind w:left="1701" w:hanging="850"/>
      </w:pPr>
      <w:r>
        <w:t xml:space="preserve">The </w:t>
      </w:r>
      <w:r w:rsidRPr="00CE2F40">
        <w:rPr>
          <w:szCs w:val="24"/>
        </w:rPr>
        <w:t>oversight</w:t>
      </w:r>
      <w:r>
        <w:t xml:space="preserve"> mindsight is promoted within in-house training sessions led by the patient safety team.</w:t>
      </w:r>
    </w:p>
    <w:p w14:paraId="0FD4C205" w14:textId="3AF264EC" w:rsidR="00CE2F40" w:rsidRPr="00CE2F40" w:rsidRDefault="00CE2F40" w:rsidP="00CE2F40">
      <w:pPr>
        <w:pStyle w:val="PolicybulletLevel3"/>
        <w:ind w:left="1701" w:hanging="850"/>
      </w:pPr>
      <w:r>
        <w:rPr>
          <w:szCs w:val="24"/>
        </w:rPr>
        <w:lastRenderedPageBreak/>
        <w:t xml:space="preserve">The </w:t>
      </w:r>
      <w:r w:rsidRPr="006F5BA6">
        <w:rPr>
          <w:szCs w:val="24"/>
        </w:rPr>
        <w:t xml:space="preserve">ICB has a responsibility to provide an oversight role under PSIRF.  The ICB has collaborated with </w:t>
      </w:r>
      <w:r>
        <w:rPr>
          <w:szCs w:val="24"/>
        </w:rPr>
        <w:t>the</w:t>
      </w:r>
      <w:r w:rsidRPr="006F5BA6">
        <w:rPr>
          <w:szCs w:val="24"/>
        </w:rPr>
        <w:t xml:space="preserve"> Trust in the development of this Policy and will continue to collaborate </w:t>
      </w:r>
      <w:r>
        <w:rPr>
          <w:szCs w:val="24"/>
        </w:rPr>
        <w:t xml:space="preserve">and contribute to </w:t>
      </w:r>
      <w:r w:rsidRPr="006F5BA6">
        <w:rPr>
          <w:szCs w:val="24"/>
        </w:rPr>
        <w:t>its maintenance and review.</w:t>
      </w:r>
    </w:p>
    <w:p w14:paraId="00167C98" w14:textId="1D73EFCF" w:rsidR="00CE2F40" w:rsidRPr="00CE2F40" w:rsidRDefault="00CE2F40" w:rsidP="00CE2F40">
      <w:pPr>
        <w:pStyle w:val="PolicybulletLevel3"/>
        <w:ind w:left="1701" w:hanging="850"/>
      </w:pPr>
      <w:r>
        <w:t>The IRP and LRAP Terms of Reference membership includes ICB patient safety or quality representatives.</w:t>
      </w:r>
      <w:r w:rsidRPr="00CE2F40">
        <w:rPr>
          <w:szCs w:val="24"/>
        </w:rPr>
        <w:t xml:space="preserve"> </w:t>
      </w:r>
      <w:r w:rsidRPr="006F5BA6">
        <w:rPr>
          <w:szCs w:val="24"/>
        </w:rPr>
        <w:t>The purpose of the ICB representative at these meetings is to observe interactions between staff (in terms of culture and psychological safety) and to ensure that the</w:t>
      </w:r>
      <w:r>
        <w:rPr>
          <w:szCs w:val="24"/>
        </w:rPr>
        <w:t xml:space="preserve"> Trust</w:t>
      </w:r>
      <w:r w:rsidRPr="006F5BA6">
        <w:rPr>
          <w:szCs w:val="24"/>
        </w:rPr>
        <w:t xml:space="preserve"> PSIR Policy and Plan</w:t>
      </w:r>
      <w:r>
        <w:rPr>
          <w:szCs w:val="24"/>
        </w:rPr>
        <w:t xml:space="preserve"> are followed.</w:t>
      </w:r>
    </w:p>
    <w:p w14:paraId="03C3ACCC" w14:textId="099C9188" w:rsidR="00CE2F40" w:rsidRPr="00703E86" w:rsidRDefault="00CE2F40" w:rsidP="00CE2F40">
      <w:pPr>
        <w:pStyle w:val="PolicybulletLevel3"/>
        <w:ind w:left="1701" w:hanging="850"/>
      </w:pPr>
      <w:r>
        <w:t xml:space="preserve">The oversight of system </w:t>
      </w:r>
      <w:r w:rsidR="002B595E">
        <w:t xml:space="preserve">learning and improvements is managed via the </w:t>
      </w:r>
      <w:r w:rsidR="001B5F47">
        <w:t>Kent and Medway ICB PSIRF Oversight Group.</w:t>
      </w:r>
    </w:p>
    <w:p w14:paraId="6BFEBA09" w14:textId="5B1B7BE6" w:rsidR="00E07821" w:rsidRDefault="00E07821" w:rsidP="007E7332">
      <w:pPr>
        <w:pStyle w:val="Policyheader"/>
      </w:pPr>
      <w:bookmarkStart w:id="14" w:name="_Toc199923751"/>
      <w:r>
        <w:t>Complaints and Appeals</w:t>
      </w:r>
      <w:bookmarkEnd w:id="14"/>
    </w:p>
    <w:p w14:paraId="76472EAD" w14:textId="7AEBD935" w:rsidR="00CA4157" w:rsidRDefault="00CA4157" w:rsidP="002B595E">
      <w:pPr>
        <w:pStyle w:val="Policybulletlevel2"/>
      </w:pPr>
      <w:r>
        <w:t xml:space="preserve">PSIRF provides a very different approach to the management of patient safety incidents. If you would like more information or to offer suggestions or feedback on this policy, please email the Patient Safety Team at </w:t>
      </w:r>
      <w:hyperlink r:id="rId11" w:history="1">
        <w:r w:rsidRPr="00E7033D">
          <w:rPr>
            <w:rStyle w:val="Hyperlink"/>
          </w:rPr>
          <w:t>ekhuft.psirf@nhs.net</w:t>
        </w:r>
      </w:hyperlink>
    </w:p>
    <w:p w14:paraId="23D68C0D" w14:textId="47A04ECB" w:rsidR="00CA4157" w:rsidRDefault="00CA4157" w:rsidP="002B595E">
      <w:pPr>
        <w:pStyle w:val="Policybulletlevel2"/>
      </w:pPr>
      <w:r>
        <w:t>If you have a concern and you would like to make a complaint, please use the Trusts complaints process (https://www.ekhuft.nhs.uk/contact-us/giving-feedback/pals/making-a-complaint/)</w:t>
      </w:r>
    </w:p>
    <w:p w14:paraId="78C78318" w14:textId="77777777" w:rsidR="00CA4157" w:rsidRDefault="00CA4157" w:rsidP="002B595E">
      <w:pPr>
        <w:pStyle w:val="Policybulletlevel2"/>
      </w:pPr>
      <w:r>
        <w:t>To make a complaint you can:</w:t>
      </w:r>
    </w:p>
    <w:p w14:paraId="18FD2EA6" w14:textId="77777777" w:rsidR="00CA4157" w:rsidRDefault="00CA4157" w:rsidP="00CA4157">
      <w:pPr>
        <w:pStyle w:val="Policybulletlevel2"/>
        <w:numPr>
          <w:ilvl w:val="0"/>
          <w:numId w:val="0"/>
        </w:numPr>
        <w:ind w:left="851"/>
      </w:pPr>
      <w:r>
        <w:t xml:space="preserve">Call us: </w:t>
      </w:r>
      <w:r>
        <w:tab/>
        <w:t>01227 783145</w:t>
      </w:r>
    </w:p>
    <w:p w14:paraId="43F364C1" w14:textId="77777777" w:rsidR="00CA4157" w:rsidRDefault="00CA4157" w:rsidP="00CA4157">
      <w:pPr>
        <w:pStyle w:val="Policybulletlevel2"/>
        <w:numPr>
          <w:ilvl w:val="0"/>
          <w:numId w:val="0"/>
        </w:numPr>
        <w:ind w:left="851"/>
      </w:pPr>
      <w:r>
        <w:t xml:space="preserve">Email us: </w:t>
      </w:r>
      <w:r>
        <w:tab/>
        <w:t>ekh-tr.pals@nhs.net</w:t>
      </w:r>
    </w:p>
    <w:p w14:paraId="548F0B8B" w14:textId="60A8E037" w:rsidR="00CA4157" w:rsidRDefault="00CA4157" w:rsidP="00CA4157">
      <w:pPr>
        <w:pStyle w:val="Policybulletlevel2"/>
        <w:numPr>
          <w:ilvl w:val="0"/>
          <w:numId w:val="0"/>
        </w:numPr>
        <w:spacing w:after="0"/>
        <w:ind w:left="794"/>
        <w:contextualSpacing/>
      </w:pPr>
      <w:r>
        <w:t xml:space="preserve">Write to us at:  </w:t>
      </w:r>
      <w:r>
        <w:tab/>
        <w:t>The Complaints Team</w:t>
      </w:r>
    </w:p>
    <w:p w14:paraId="0EBAB595" w14:textId="77777777" w:rsidR="00CA4157" w:rsidRDefault="00CA4157" w:rsidP="00CA4157">
      <w:pPr>
        <w:pStyle w:val="Policybulletlevel2"/>
        <w:numPr>
          <w:ilvl w:val="0"/>
          <w:numId w:val="0"/>
        </w:numPr>
        <w:spacing w:after="0"/>
        <w:ind w:left="2289" w:firstLine="264"/>
        <w:contextualSpacing/>
      </w:pPr>
      <w:r>
        <w:t>East Kent Hospitals University NHS Foundation Trust</w:t>
      </w:r>
    </w:p>
    <w:p w14:paraId="2BD4BFB1" w14:textId="77777777" w:rsidR="00CA4157" w:rsidRDefault="00CA4157" w:rsidP="00CA4157">
      <w:pPr>
        <w:pStyle w:val="Policybulletlevel2"/>
        <w:numPr>
          <w:ilvl w:val="0"/>
          <w:numId w:val="0"/>
        </w:numPr>
        <w:spacing w:after="0"/>
        <w:ind w:left="2289" w:firstLine="264"/>
        <w:contextualSpacing/>
      </w:pPr>
      <w:r>
        <w:t>Trust Offices</w:t>
      </w:r>
    </w:p>
    <w:p w14:paraId="1BCAA35F" w14:textId="77777777" w:rsidR="00CA4157" w:rsidRDefault="00CA4157" w:rsidP="00CA4157">
      <w:pPr>
        <w:pStyle w:val="Policybulletlevel2"/>
        <w:numPr>
          <w:ilvl w:val="0"/>
          <w:numId w:val="0"/>
        </w:numPr>
        <w:spacing w:after="0"/>
        <w:ind w:left="2230" w:firstLine="323"/>
        <w:contextualSpacing/>
      </w:pPr>
      <w:r>
        <w:t>Kent and Canterbury Hospital</w:t>
      </w:r>
    </w:p>
    <w:p w14:paraId="6ACFB7FC" w14:textId="77777777" w:rsidR="00CA4157" w:rsidRDefault="00CA4157" w:rsidP="00CA4157">
      <w:pPr>
        <w:pStyle w:val="Policybulletlevel2"/>
        <w:numPr>
          <w:ilvl w:val="0"/>
          <w:numId w:val="0"/>
        </w:numPr>
        <w:spacing w:after="0"/>
        <w:ind w:left="2230" w:firstLine="323"/>
        <w:contextualSpacing/>
      </w:pPr>
      <w:r>
        <w:t>Ethelbert Road</w:t>
      </w:r>
    </w:p>
    <w:p w14:paraId="2D8A73D6" w14:textId="77777777" w:rsidR="00CA4157" w:rsidRDefault="00CA4157" w:rsidP="00CA4157">
      <w:pPr>
        <w:pStyle w:val="Policybulletlevel2"/>
        <w:numPr>
          <w:ilvl w:val="0"/>
          <w:numId w:val="0"/>
        </w:numPr>
        <w:spacing w:after="0"/>
        <w:ind w:left="2230" w:firstLine="323"/>
        <w:contextualSpacing/>
      </w:pPr>
      <w:r>
        <w:t>Canterbury</w:t>
      </w:r>
    </w:p>
    <w:p w14:paraId="486D0843" w14:textId="338AB37B" w:rsidR="00CA4157" w:rsidRDefault="00CA4157" w:rsidP="00CA4157">
      <w:pPr>
        <w:pStyle w:val="Policybulletlevel2"/>
        <w:numPr>
          <w:ilvl w:val="0"/>
          <w:numId w:val="0"/>
        </w:numPr>
        <w:spacing w:after="0"/>
        <w:ind w:left="2230" w:firstLine="323"/>
        <w:contextualSpacing/>
      </w:pPr>
      <w:r>
        <w:t>CT1 3NG</w:t>
      </w:r>
    </w:p>
    <w:p w14:paraId="77AFC4CA" w14:textId="77777777" w:rsidR="006A1E48" w:rsidRPr="00F6032D" w:rsidRDefault="006A1E48" w:rsidP="007E7332">
      <w:pPr>
        <w:pStyle w:val="Policyheader"/>
      </w:pPr>
      <w:bookmarkStart w:id="15" w:name="_Toc4687550"/>
      <w:bookmarkStart w:id="16" w:name="_Toc199923752"/>
      <w:bookmarkStart w:id="17" w:name="_Toc523986727"/>
      <w:bookmarkStart w:id="18" w:name="_Toc523989245"/>
      <w:r w:rsidRPr="009B13EE">
        <w:t xml:space="preserve">Policy Development, Approval and </w:t>
      </w:r>
      <w:bookmarkEnd w:id="15"/>
      <w:r w:rsidR="00871C1C">
        <w:t>Authorisation</w:t>
      </w:r>
      <w:bookmarkEnd w:id="16"/>
      <w:r w:rsidRPr="009B13EE">
        <w:t xml:space="preserve"> </w:t>
      </w:r>
    </w:p>
    <w:bookmarkEnd w:id="17"/>
    <w:bookmarkEnd w:id="18"/>
    <w:p w14:paraId="200FA28C" w14:textId="77777777" w:rsidR="00CA4157" w:rsidRPr="00CA4157" w:rsidRDefault="00CA4157" w:rsidP="002B595E">
      <w:pPr>
        <w:pStyle w:val="Policybulletlevel2"/>
      </w:pPr>
      <w:r w:rsidRPr="00CA4157">
        <w:t>This policy will be approved by the Quality and Safety Committee.</w:t>
      </w:r>
    </w:p>
    <w:p w14:paraId="5BDA432D" w14:textId="77777777" w:rsidR="00A51641" w:rsidRDefault="00A51641" w:rsidP="002B595E">
      <w:pPr>
        <w:pStyle w:val="Policybulletlevel2"/>
      </w:pPr>
      <w:r>
        <w:t xml:space="preserve">This policy will be ratified by the Policy </w:t>
      </w:r>
      <w:r w:rsidR="00871C1C">
        <w:t>Authorisation</w:t>
      </w:r>
      <w:r>
        <w:t xml:space="preserve"> Group.</w:t>
      </w:r>
    </w:p>
    <w:p w14:paraId="5F4FF867" w14:textId="77777777" w:rsidR="00901EDC" w:rsidRDefault="00901EDC" w:rsidP="007E7332">
      <w:pPr>
        <w:pStyle w:val="Policyheader"/>
      </w:pPr>
      <w:bookmarkStart w:id="19" w:name="_Toc523986728"/>
      <w:bookmarkStart w:id="20" w:name="_Toc523989246"/>
      <w:bookmarkStart w:id="21" w:name="_Toc199923753"/>
      <w:r w:rsidRPr="00D5698E">
        <w:t>Review</w:t>
      </w:r>
      <w:r w:rsidRPr="00AE6AAE">
        <w:t xml:space="preserve"> and Revision Arrangements</w:t>
      </w:r>
      <w:bookmarkEnd w:id="19"/>
      <w:bookmarkEnd w:id="20"/>
      <w:bookmarkEnd w:id="21"/>
    </w:p>
    <w:p w14:paraId="19F96634" w14:textId="77777777" w:rsidR="00A4563E" w:rsidRDefault="00A4563E" w:rsidP="002B595E">
      <w:pPr>
        <w:pStyle w:val="Policybulletlevel2"/>
      </w:pPr>
      <w:r w:rsidRPr="007E6C40">
        <w:t>This policy will be reviewed as scheduled in three years’ time unless legislative or other changes necessitate an earlier review.</w:t>
      </w:r>
    </w:p>
    <w:p w14:paraId="0FD2AA1E" w14:textId="77777777" w:rsidR="006A1E48" w:rsidRDefault="006A1E48" w:rsidP="002B595E">
      <w:pPr>
        <w:pStyle w:val="Policybulletlevel2"/>
      </w:pPr>
      <w:r>
        <w:lastRenderedPageBreak/>
        <w:t xml:space="preserve">It will be </w:t>
      </w:r>
      <w:r w:rsidR="00C402BA">
        <w:t>reviewed/</w:t>
      </w:r>
      <w:r>
        <w:t xml:space="preserve">ratified by the Policy </w:t>
      </w:r>
      <w:r w:rsidR="00871C1C">
        <w:t>Authorisation</w:t>
      </w:r>
      <w:r>
        <w:t xml:space="preserve"> Group every three years, or when there are significant changes and/or changes to underpinning legislation in accordance with the policy for the Development and Management of Trust Policies</w:t>
      </w:r>
      <w:r w:rsidR="00AD2E91">
        <w:t>.</w:t>
      </w:r>
    </w:p>
    <w:p w14:paraId="1FD4F07B" w14:textId="77777777" w:rsidR="00901EDC" w:rsidRDefault="006A1E48" w:rsidP="007E7332">
      <w:pPr>
        <w:pStyle w:val="Policyheader"/>
      </w:pPr>
      <w:bookmarkStart w:id="22" w:name="_Toc523986729"/>
      <w:bookmarkStart w:id="23" w:name="_Toc523989247"/>
      <w:bookmarkStart w:id="24" w:name="_Toc199923754"/>
      <w:r>
        <w:t xml:space="preserve">Policy </w:t>
      </w:r>
      <w:r w:rsidR="00901EDC" w:rsidRPr="00A37AEE">
        <w:t>Implementation</w:t>
      </w:r>
      <w:bookmarkEnd w:id="22"/>
      <w:bookmarkEnd w:id="23"/>
      <w:bookmarkEnd w:id="24"/>
    </w:p>
    <w:p w14:paraId="471A5F46" w14:textId="74A2B000" w:rsidR="00A51641" w:rsidRDefault="002D69EB" w:rsidP="002B595E">
      <w:pPr>
        <w:pStyle w:val="Policybulletlevel2"/>
      </w:pPr>
      <w:r>
        <w:t xml:space="preserve">Refer to Appendix </w:t>
      </w:r>
      <w:r w:rsidR="002733B8">
        <w:t>3</w:t>
      </w:r>
      <w:r w:rsidR="006C366E">
        <w:t xml:space="preserve">.  </w:t>
      </w:r>
    </w:p>
    <w:p w14:paraId="59C5C9EF" w14:textId="77777777" w:rsidR="00901EDC" w:rsidRDefault="00901EDC" w:rsidP="007E7332">
      <w:pPr>
        <w:pStyle w:val="Policyheader"/>
      </w:pPr>
      <w:bookmarkStart w:id="25" w:name="_Toc523986730"/>
      <w:bookmarkStart w:id="26" w:name="_Toc523989248"/>
      <w:bookmarkStart w:id="27" w:name="_Toc199923755"/>
      <w:r w:rsidRPr="00A37AEE">
        <w:t>Document Control including Archiving Arrangements</w:t>
      </w:r>
      <w:bookmarkEnd w:id="25"/>
      <w:bookmarkEnd w:id="26"/>
      <w:bookmarkEnd w:id="27"/>
    </w:p>
    <w:p w14:paraId="13E0B6EF" w14:textId="77777777" w:rsidR="006A1E48" w:rsidRDefault="006A1E48" w:rsidP="002B595E">
      <w:pPr>
        <w:pStyle w:val="Policybulletlevel2"/>
      </w:pPr>
      <w:r>
        <w:t>Archiving of this policy will conform to the Trust’s Information Lifecycle and Records Management Policy, which sets out the Trust’s policy on the management of its information.</w:t>
      </w:r>
    </w:p>
    <w:p w14:paraId="2ED6B1E3" w14:textId="77777777" w:rsidR="00A51641" w:rsidRDefault="00A51641" w:rsidP="002B595E">
      <w:pPr>
        <w:pStyle w:val="Policybulletlevel2"/>
      </w:pPr>
      <w:r>
        <w:t>This policy will be uploaded to the Trust’s policy management system</w:t>
      </w:r>
      <w:r w:rsidR="006C366E">
        <w:t xml:space="preserve">.  </w:t>
      </w:r>
    </w:p>
    <w:p w14:paraId="7D731ABE" w14:textId="102F3A6C" w:rsidR="006A1E48" w:rsidRDefault="00AD2E91" w:rsidP="002B595E">
      <w:pPr>
        <w:pStyle w:val="Policybulletlevel2"/>
      </w:pPr>
      <w:r>
        <w:t xml:space="preserve">Version </w:t>
      </w:r>
      <w:r w:rsidR="00CA4157">
        <w:t>1.0</w:t>
      </w:r>
      <w:r>
        <w:t xml:space="preserve"> of this policy</w:t>
      </w:r>
      <w:r w:rsidR="006A1E48" w:rsidRPr="006A1E48">
        <w:t xml:space="preserve"> will be retained within the Trust’s policy management system for future reference.</w:t>
      </w:r>
    </w:p>
    <w:p w14:paraId="43D5DD97" w14:textId="77777777" w:rsidR="000014C7" w:rsidRDefault="000014C7" w:rsidP="000014C7">
      <w:pPr>
        <w:pStyle w:val="Policyheader"/>
      </w:pPr>
      <w:bookmarkStart w:id="28" w:name="_Toc199923756"/>
      <w:bookmarkStart w:id="29" w:name="_Toc523986732"/>
      <w:bookmarkStart w:id="30" w:name="_Toc523989250"/>
      <w:r>
        <w:t>Monitoring and Assurance</w:t>
      </w:r>
      <w:bookmarkEnd w:id="28"/>
    </w:p>
    <w:p w14:paraId="7EA2B95A" w14:textId="77777777" w:rsidR="000014C7" w:rsidRDefault="000014C7" w:rsidP="002B595E">
      <w:pPr>
        <w:pStyle w:val="Policybulletlevel2"/>
      </w:pPr>
      <w:r>
        <w:t xml:space="preserve">The following table outlines the monitoring arrangements in place for </w:t>
      </w:r>
      <w:r w:rsidR="0071472D">
        <w:t>this policy:</w:t>
      </w:r>
    </w:p>
    <w:p w14:paraId="43ADA72F" w14:textId="77777777" w:rsidR="000014C7" w:rsidRDefault="000014C7" w:rsidP="000014C7">
      <w:pPr>
        <w:pStyle w:val="Policyheader"/>
        <w:numPr>
          <w:ilvl w:val="0"/>
          <w:numId w:val="0"/>
        </w:numPr>
        <w:ind w:left="851" w:hanging="851"/>
        <w:sectPr w:rsidR="000014C7" w:rsidSect="001141D6">
          <w:headerReference w:type="default" r:id="rId12"/>
          <w:footerReference w:type="default" r:id="rId13"/>
          <w:headerReference w:type="first" r:id="rId14"/>
          <w:footerReference w:type="first" r:id="rId15"/>
          <w:pgSz w:w="11906" w:h="16838" w:code="9"/>
          <w:pgMar w:top="1383" w:right="1134" w:bottom="1440" w:left="1276" w:header="697" w:footer="142" w:gutter="0"/>
          <w:cols w:space="708"/>
          <w:titlePg/>
          <w:docGrid w:linePitch="360"/>
        </w:sectPr>
      </w:pPr>
    </w:p>
    <w:tbl>
      <w:tblPr>
        <w:tblStyle w:val="TableGrid"/>
        <w:tblW w:w="14454" w:type="dxa"/>
        <w:tblLayout w:type="fixed"/>
        <w:tblLook w:val="0620" w:firstRow="1" w:lastRow="0" w:firstColumn="0" w:lastColumn="0" w:noHBand="1" w:noVBand="1"/>
      </w:tblPr>
      <w:tblGrid>
        <w:gridCol w:w="4818"/>
        <w:gridCol w:w="4818"/>
        <w:gridCol w:w="4818"/>
      </w:tblGrid>
      <w:tr w:rsidR="00856D41" w14:paraId="4FA38772" w14:textId="77777777" w:rsidTr="003077CB">
        <w:trPr>
          <w:tblHeader/>
        </w:trPr>
        <w:tc>
          <w:tcPr>
            <w:tcW w:w="4818" w:type="dxa"/>
          </w:tcPr>
          <w:p w14:paraId="77F388B8" w14:textId="77777777" w:rsidR="00856D41" w:rsidRPr="006E79A1" w:rsidRDefault="00856D41" w:rsidP="00F130CB">
            <w:pPr>
              <w:pStyle w:val="Tablesubhead"/>
            </w:pPr>
            <w:r w:rsidRPr="006E79A1">
              <w:lastRenderedPageBreak/>
              <w:t>Policy Objectives</w:t>
            </w:r>
          </w:p>
        </w:tc>
        <w:tc>
          <w:tcPr>
            <w:tcW w:w="4818" w:type="dxa"/>
          </w:tcPr>
          <w:p w14:paraId="54D0E218" w14:textId="77777777" w:rsidR="00856D41" w:rsidRPr="006E79A1" w:rsidRDefault="00856D41" w:rsidP="00F130CB">
            <w:pPr>
              <w:pStyle w:val="Tablesubhead"/>
            </w:pPr>
            <w:r w:rsidRPr="006E79A1">
              <w:t>Monitoring methods</w:t>
            </w:r>
          </w:p>
        </w:tc>
        <w:tc>
          <w:tcPr>
            <w:tcW w:w="4818" w:type="dxa"/>
            <w:noWrap/>
          </w:tcPr>
          <w:p w14:paraId="6C7E983F" w14:textId="77777777" w:rsidR="00856D41" w:rsidRPr="006E79A1" w:rsidRDefault="00856D41" w:rsidP="00F130CB">
            <w:pPr>
              <w:pStyle w:val="Tablesubhead"/>
            </w:pPr>
            <w:r w:rsidRPr="006E79A1">
              <w:t>Assurance</w:t>
            </w:r>
          </w:p>
        </w:tc>
      </w:tr>
      <w:tr w:rsidR="00856D41" w14:paraId="3AD87F34" w14:textId="77777777" w:rsidTr="003077CB">
        <w:tc>
          <w:tcPr>
            <w:tcW w:w="4818" w:type="dxa"/>
          </w:tcPr>
          <w:p w14:paraId="4F90033E" w14:textId="27B28EF0" w:rsidR="00856D41" w:rsidRPr="006E79A1" w:rsidRDefault="003077CB" w:rsidP="00F130CB">
            <w:pPr>
              <w:pStyle w:val="Tabletext"/>
              <w:rPr>
                <w:sz w:val="24"/>
              </w:rPr>
            </w:pPr>
            <w:r>
              <w:rPr>
                <w:sz w:val="24"/>
              </w:rPr>
              <w:t>Define the governance framework for PSIRF to support operational implementation of the Patient Safety Incident Response Standards and Oversight requirements.</w:t>
            </w:r>
          </w:p>
        </w:tc>
        <w:tc>
          <w:tcPr>
            <w:tcW w:w="4818" w:type="dxa"/>
          </w:tcPr>
          <w:p w14:paraId="62D951C4" w14:textId="34456214" w:rsidR="00856D41" w:rsidRPr="006E79A1" w:rsidRDefault="003077CB" w:rsidP="00F130CB">
            <w:pPr>
              <w:pStyle w:val="Tabletext"/>
              <w:rPr>
                <w:sz w:val="24"/>
              </w:rPr>
            </w:pPr>
            <w:r>
              <w:rPr>
                <w:sz w:val="24"/>
              </w:rPr>
              <w:t>Annual review of IRP and IRP subgroup and LRAP Terms of Reference</w:t>
            </w:r>
          </w:p>
        </w:tc>
        <w:tc>
          <w:tcPr>
            <w:tcW w:w="4818" w:type="dxa"/>
            <w:noWrap/>
          </w:tcPr>
          <w:p w14:paraId="4622A9CA" w14:textId="73C337F1" w:rsidR="00856D41" w:rsidRPr="00C662EF" w:rsidRDefault="003077CB" w:rsidP="00FD2223">
            <w:pPr>
              <w:pStyle w:val="Tabletext"/>
            </w:pPr>
            <w:r>
              <w:t>Approval of Terms of Reference at the Operational Quality Governance Committee</w:t>
            </w:r>
          </w:p>
        </w:tc>
      </w:tr>
      <w:tr w:rsidR="00856D41" w14:paraId="07D2D284" w14:textId="77777777" w:rsidTr="003077CB">
        <w:tc>
          <w:tcPr>
            <w:tcW w:w="4818" w:type="dxa"/>
          </w:tcPr>
          <w:p w14:paraId="1E94B90C" w14:textId="1C6E41E3" w:rsidR="00856D41" w:rsidRPr="006E79A1" w:rsidRDefault="003077CB" w:rsidP="0071472D">
            <w:pPr>
              <w:pStyle w:val="Tabletext"/>
              <w:rPr>
                <w:sz w:val="24"/>
              </w:rPr>
            </w:pPr>
            <w:r>
              <w:rPr>
                <w:sz w:val="24"/>
              </w:rPr>
              <w:t>Define the requirements of the PSIR Plan</w:t>
            </w:r>
          </w:p>
        </w:tc>
        <w:tc>
          <w:tcPr>
            <w:tcW w:w="4818" w:type="dxa"/>
          </w:tcPr>
          <w:p w14:paraId="4A8BBBF4" w14:textId="7C7114E9" w:rsidR="00856D41" w:rsidRPr="006E79A1" w:rsidRDefault="003077CB" w:rsidP="00F130CB">
            <w:pPr>
              <w:pStyle w:val="Tabletext"/>
              <w:rPr>
                <w:sz w:val="24"/>
              </w:rPr>
            </w:pPr>
            <w:r>
              <w:rPr>
                <w:sz w:val="24"/>
              </w:rPr>
              <w:t>Annual review of PSIR Plan</w:t>
            </w:r>
          </w:p>
        </w:tc>
        <w:tc>
          <w:tcPr>
            <w:tcW w:w="4818" w:type="dxa"/>
            <w:noWrap/>
          </w:tcPr>
          <w:p w14:paraId="6DB65B20" w14:textId="37C22E5E" w:rsidR="00856D41" w:rsidRPr="00C662EF" w:rsidRDefault="003077CB" w:rsidP="00FD2223">
            <w:pPr>
              <w:pStyle w:val="Tabletext"/>
            </w:pPr>
            <w:r>
              <w:t>Review and approval of PSIR Plan at the Operational Quality Governance Committee</w:t>
            </w:r>
          </w:p>
        </w:tc>
      </w:tr>
    </w:tbl>
    <w:p w14:paraId="3DE2B70B" w14:textId="77777777" w:rsidR="00856D41" w:rsidRDefault="00856D41" w:rsidP="00856D41"/>
    <w:p w14:paraId="3D94F777" w14:textId="77777777" w:rsidR="00856D41" w:rsidRDefault="00856D41" w:rsidP="007E7332">
      <w:pPr>
        <w:pStyle w:val="Policyheader"/>
        <w:sectPr w:rsidR="00856D41" w:rsidSect="00856D41">
          <w:footerReference w:type="first" r:id="rId16"/>
          <w:pgSz w:w="16838" w:h="11906" w:orient="landscape" w:code="9"/>
          <w:pgMar w:top="1134" w:right="1440" w:bottom="1276" w:left="1383" w:header="697" w:footer="142" w:gutter="0"/>
          <w:cols w:space="708"/>
          <w:titlePg/>
          <w:docGrid w:linePitch="360"/>
        </w:sectPr>
      </w:pPr>
    </w:p>
    <w:p w14:paraId="16E65B3D" w14:textId="77777777" w:rsidR="00901EDC" w:rsidRDefault="00901EDC" w:rsidP="007E7332">
      <w:pPr>
        <w:pStyle w:val="Policyheader"/>
      </w:pPr>
      <w:bookmarkStart w:id="31" w:name="_Toc199923757"/>
      <w:r>
        <w:lastRenderedPageBreak/>
        <w:t>References</w:t>
      </w:r>
      <w:bookmarkEnd w:id="29"/>
      <w:bookmarkEnd w:id="30"/>
      <w:bookmarkEnd w:id="31"/>
    </w:p>
    <w:p w14:paraId="291E4E7F" w14:textId="2E0788EB" w:rsidR="00854EF3" w:rsidRDefault="00854EF3" w:rsidP="002A678E">
      <w:pPr>
        <w:ind w:left="851"/>
      </w:pPr>
      <w:r>
        <w:t>NHS England (2022</w:t>
      </w:r>
      <w:r w:rsidR="00812876">
        <w:t>a</w:t>
      </w:r>
      <w:r>
        <w:t xml:space="preserve">) Oversight roles and responsibilities specification.  Available at: </w:t>
      </w:r>
      <w:hyperlink r:id="rId17" w:history="1">
        <w:r>
          <w:rPr>
            <w:rStyle w:val="Hyperlink"/>
          </w:rPr>
          <w:t>B1465-4.-Oversight-roles-and-responsibilities-specification-v1-FINAL.pdf</w:t>
        </w:r>
      </w:hyperlink>
      <w:r>
        <w:t>. Accessed 12 May 2025.</w:t>
      </w:r>
    </w:p>
    <w:p w14:paraId="1E46DFD2" w14:textId="721C705E" w:rsidR="00704306" w:rsidRDefault="004463EE" w:rsidP="002A678E">
      <w:pPr>
        <w:ind w:left="851"/>
      </w:pPr>
      <w:r>
        <w:t>NHS England (2022</w:t>
      </w:r>
      <w:r w:rsidR="00812876">
        <w:t>b</w:t>
      </w:r>
      <w:r>
        <w:t xml:space="preserve">) Patient safety incident response framework and supporting guidance.  Available at: </w:t>
      </w:r>
      <w:hyperlink r:id="rId18" w:anchor="heading-1" w:history="1">
        <w:r>
          <w:rPr>
            <w:rStyle w:val="Hyperlink"/>
          </w:rPr>
          <w:t>NHS England » Patient safety incident response framework and supporting guidance</w:t>
        </w:r>
      </w:hyperlink>
      <w:r w:rsidR="00EC7C29">
        <w:rPr>
          <w:rStyle w:val="Hyperlink"/>
        </w:rPr>
        <w:t>.</w:t>
      </w:r>
      <w:r>
        <w:t xml:space="preserve"> Accessed 12 May 2025</w:t>
      </w:r>
      <w:r w:rsidR="00EC7C29">
        <w:t>.</w:t>
      </w:r>
    </w:p>
    <w:p w14:paraId="3F38932E" w14:textId="480FAD8D" w:rsidR="00DF4BD7" w:rsidRDefault="00DF4BD7" w:rsidP="002A678E">
      <w:pPr>
        <w:ind w:left="851"/>
      </w:pPr>
      <w:r>
        <w:t>NHS England (2022</w:t>
      </w:r>
      <w:r w:rsidR="00812876">
        <w:t>c</w:t>
      </w:r>
      <w:r>
        <w:t xml:space="preserve">) Safety action development guide. Available at: </w:t>
      </w:r>
      <w:hyperlink r:id="rId19" w:history="1">
        <w:r>
          <w:rPr>
            <w:rStyle w:val="Hyperlink"/>
          </w:rPr>
          <w:t>B1465-Safety-action-development-v1.1.pdf</w:t>
        </w:r>
      </w:hyperlink>
      <w:r>
        <w:t>.  Accessed 12 May 2025.</w:t>
      </w:r>
    </w:p>
    <w:p w14:paraId="72F8C981" w14:textId="7A367481" w:rsidR="00E55EBC" w:rsidRDefault="00E55EBC" w:rsidP="002A678E">
      <w:pPr>
        <w:ind w:left="851"/>
      </w:pPr>
      <w:r>
        <w:t>NHS England (2022</w:t>
      </w:r>
      <w:r w:rsidR="00812876">
        <w:t>d</w:t>
      </w:r>
      <w:r>
        <w:t xml:space="preserve">) SEIPS quick reference guide and work system explorer.  Available at: </w:t>
      </w:r>
      <w:hyperlink r:id="rId20" w:history="1">
        <w:r>
          <w:rPr>
            <w:rStyle w:val="Hyperlink"/>
          </w:rPr>
          <w:t>B1465-SEIPS-quick-reference-and-work-system-explorer-v1-FINAL.pdf</w:t>
        </w:r>
      </w:hyperlink>
      <w:r>
        <w:t>.  Accessed 12 May 2025.</w:t>
      </w:r>
    </w:p>
    <w:p w14:paraId="1620715A" w14:textId="5D15F366" w:rsidR="007B319C" w:rsidRDefault="007B319C" w:rsidP="002A678E">
      <w:pPr>
        <w:ind w:left="851"/>
      </w:pPr>
      <w:r>
        <w:t xml:space="preserve">NHS England, Healthcare Safety Investigation Branch, Learn Together (2022) Engaging and involving patients, families and staff following a patient safety incident.  Available at: </w:t>
      </w:r>
      <w:hyperlink r:id="rId21" w:history="1">
        <w:r>
          <w:rPr>
            <w:rStyle w:val="Hyperlink"/>
          </w:rPr>
          <w:t>B1465-2.-Engaging-and-involving...-v1-FINAL.pdf</w:t>
        </w:r>
      </w:hyperlink>
      <w:r>
        <w:t>.  Accessed 12 May 2025.</w:t>
      </w:r>
    </w:p>
    <w:p w14:paraId="1AC15FB1" w14:textId="0F81C598" w:rsidR="004463EE" w:rsidRDefault="00EC7C29" w:rsidP="002A678E">
      <w:pPr>
        <w:ind w:left="851"/>
      </w:pPr>
      <w:r>
        <w:t xml:space="preserve">NHS England (2023) </w:t>
      </w:r>
      <w:r w:rsidRPr="00EC7C29">
        <w:t>Policy guidance on recording patient safety events and levels of harm</w:t>
      </w:r>
      <w:r>
        <w:t xml:space="preserve">. Available at: </w:t>
      </w:r>
      <w:hyperlink r:id="rId22" w:history="1">
        <w:r>
          <w:rPr>
            <w:rStyle w:val="Hyperlink"/>
          </w:rPr>
          <w:t>NHS England » Policy guidance on recording patient safety events and levels of harm</w:t>
        </w:r>
      </w:hyperlink>
      <w:r>
        <w:t>.  Accessed 12 May 2025.</w:t>
      </w:r>
    </w:p>
    <w:p w14:paraId="0086131E" w14:textId="7C73F602" w:rsidR="001F0DA7" w:rsidRDefault="001F0DA7" w:rsidP="002A678E">
      <w:pPr>
        <w:ind w:left="851"/>
      </w:pPr>
      <w:r>
        <w:t xml:space="preserve">NHS England (2024) Patient safety incident response standards.  Available at: </w:t>
      </w:r>
      <w:hyperlink r:id="rId23" w:history="1">
        <w:r>
          <w:rPr>
            <w:rStyle w:val="Hyperlink"/>
          </w:rPr>
          <w:t>NHS England » Patient safety incident response standards</w:t>
        </w:r>
      </w:hyperlink>
      <w:r>
        <w:t>. Accessed 13 May 2025.</w:t>
      </w:r>
    </w:p>
    <w:p w14:paraId="5D458E94" w14:textId="16A7C562" w:rsidR="002733B8" w:rsidRDefault="002733B8" w:rsidP="002733B8">
      <w:pPr>
        <w:ind w:left="851"/>
      </w:pPr>
      <w:r>
        <w:t xml:space="preserve">NHS England (2025a) Being fair tool: Supporting staff following a patient safety incident.  Available at: </w:t>
      </w:r>
      <w:hyperlink r:id="rId24" w:history="1">
        <w:r>
          <w:rPr>
            <w:rStyle w:val="Hyperlink"/>
          </w:rPr>
          <w:t>NHS England » Being fair tool: Supporting staff following a patient safety incident</w:t>
        </w:r>
      </w:hyperlink>
      <w:r>
        <w:t>.  Accessed 12 May 2025.</w:t>
      </w:r>
    </w:p>
    <w:p w14:paraId="2F3D6BD8" w14:textId="26A5CC04" w:rsidR="002733B8" w:rsidRDefault="002733B8" w:rsidP="002A678E">
      <w:pPr>
        <w:ind w:left="851"/>
      </w:pPr>
      <w:r>
        <w:t xml:space="preserve">NHS England (2025b) Patient safety health inequality reduction framework.  Available at: </w:t>
      </w:r>
      <w:hyperlink r:id="rId25" w:history="1">
        <w:r>
          <w:rPr>
            <w:rStyle w:val="Hyperlink"/>
          </w:rPr>
          <w:t>NHS England » Patient safety healthcare inequalities reduction framework</w:t>
        </w:r>
      </w:hyperlink>
      <w:r>
        <w:t>.  Accessed 15 May 2025</w:t>
      </w:r>
    </w:p>
    <w:p w14:paraId="0078C85D" w14:textId="17EC7CA6" w:rsidR="00E55EBC" w:rsidRDefault="00E55EBC" w:rsidP="0071472D"/>
    <w:p w14:paraId="200538A8" w14:textId="77777777" w:rsidR="00901EDC" w:rsidRPr="00F54910" w:rsidRDefault="00901EDC" w:rsidP="007E7332">
      <w:pPr>
        <w:pStyle w:val="Policyheader"/>
      </w:pPr>
      <w:bookmarkStart w:id="32" w:name="_Toc523986733"/>
      <w:bookmarkStart w:id="33" w:name="_Toc523989251"/>
      <w:bookmarkStart w:id="34" w:name="_Toc199923758"/>
      <w:r>
        <w:t>Appendices</w:t>
      </w:r>
      <w:bookmarkEnd w:id="32"/>
      <w:bookmarkEnd w:id="33"/>
      <w:bookmarkEnd w:id="34"/>
    </w:p>
    <w:p w14:paraId="25950717" w14:textId="77777777" w:rsidR="00DA3BF1" w:rsidRDefault="00DA3BF1" w:rsidP="007E7332">
      <w:pPr>
        <w:pStyle w:val="Policyheader"/>
        <w:numPr>
          <w:ilvl w:val="0"/>
          <w:numId w:val="0"/>
        </w:numPr>
        <w:rPr>
          <w:lang w:val="en"/>
        </w:rPr>
      </w:pPr>
    </w:p>
    <w:p w14:paraId="1AB23378" w14:textId="77777777" w:rsidR="002A678E" w:rsidRDefault="002A678E" w:rsidP="007E7332">
      <w:pPr>
        <w:pStyle w:val="Policyheader"/>
        <w:numPr>
          <w:ilvl w:val="0"/>
          <w:numId w:val="0"/>
        </w:numPr>
        <w:rPr>
          <w:lang w:val="en"/>
        </w:rPr>
        <w:sectPr w:rsidR="002A678E" w:rsidSect="00ED2876">
          <w:headerReference w:type="first" r:id="rId26"/>
          <w:footerReference w:type="first" r:id="rId27"/>
          <w:pgSz w:w="11906" w:h="16838" w:code="9"/>
          <w:pgMar w:top="1440" w:right="1276" w:bottom="1383" w:left="1134" w:header="697" w:footer="142" w:gutter="0"/>
          <w:cols w:space="708"/>
          <w:titlePg/>
          <w:docGrid w:linePitch="360"/>
        </w:sectPr>
      </w:pPr>
    </w:p>
    <w:p w14:paraId="6A8BC418" w14:textId="200DFC1D" w:rsidR="002A678E" w:rsidRPr="00E256AC" w:rsidRDefault="002A678E" w:rsidP="00E256AC">
      <w:pPr>
        <w:pStyle w:val="Header2"/>
        <w:rPr>
          <w:lang w:val="en"/>
        </w:rPr>
      </w:pPr>
      <w:bookmarkStart w:id="35" w:name="_Hlk163218559"/>
      <w:bookmarkStart w:id="36" w:name="_Toc166674448"/>
      <w:bookmarkStart w:id="37" w:name="_Toc199923759"/>
      <w:r w:rsidRPr="00E256AC">
        <w:rPr>
          <w:lang w:val="en"/>
        </w:rPr>
        <w:lastRenderedPageBreak/>
        <w:t>Appendix 1: Incident Response Decision Making Flowchart</w:t>
      </w:r>
      <w:bookmarkEnd w:id="35"/>
      <w:bookmarkEnd w:id="36"/>
      <w:bookmarkEnd w:id="37"/>
    </w:p>
    <w:p w14:paraId="0EEEC176" w14:textId="157EE403" w:rsidR="002A678E" w:rsidRDefault="006C33B4" w:rsidP="002A678E">
      <w:pPr>
        <w:jc w:val="center"/>
      </w:pPr>
      <w:r w:rsidRPr="00E84C19">
        <w:rPr>
          <w:lang w:val="en"/>
        </w:rPr>
        <w:drawing>
          <wp:inline distT="0" distB="0" distL="0" distR="0" wp14:anchorId="3FFE0894" wp14:editId="21C3289F">
            <wp:extent cx="8899525" cy="5051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8899525" cy="5051824"/>
                    </a:xfrm>
                    <a:prstGeom prst="rect">
                      <a:avLst/>
                    </a:prstGeom>
                  </pic:spPr>
                </pic:pic>
              </a:graphicData>
            </a:graphic>
          </wp:inline>
        </w:drawing>
      </w:r>
    </w:p>
    <w:p w14:paraId="0D205D8E" w14:textId="77777777" w:rsidR="002A678E" w:rsidRDefault="002A678E" w:rsidP="007E7332">
      <w:pPr>
        <w:pStyle w:val="Policyheader"/>
        <w:numPr>
          <w:ilvl w:val="0"/>
          <w:numId w:val="0"/>
        </w:numPr>
        <w:rPr>
          <w:lang w:val="en"/>
        </w:rPr>
        <w:sectPr w:rsidR="002A678E" w:rsidSect="003268CF">
          <w:footerReference w:type="first" r:id="rId29"/>
          <w:pgSz w:w="16838" w:h="11906" w:orient="landscape" w:code="9"/>
          <w:pgMar w:top="1134" w:right="1440" w:bottom="1276" w:left="1383" w:header="697" w:footer="454" w:gutter="0"/>
          <w:cols w:space="708"/>
          <w:titlePg/>
          <w:docGrid w:linePitch="360"/>
        </w:sectPr>
      </w:pPr>
      <w:bookmarkStart w:id="38" w:name="_GoBack"/>
      <w:bookmarkEnd w:id="38"/>
    </w:p>
    <w:p w14:paraId="71B5A031" w14:textId="184B2505" w:rsidR="003A26FA" w:rsidRPr="00901720" w:rsidRDefault="00901720" w:rsidP="005D16B1">
      <w:pPr>
        <w:pStyle w:val="Header2"/>
        <w:rPr>
          <w:lang w:val="en"/>
        </w:rPr>
      </w:pPr>
      <w:bookmarkStart w:id="39" w:name="_Toc523986735"/>
      <w:bookmarkStart w:id="40" w:name="_Toc523989253"/>
      <w:bookmarkStart w:id="41" w:name="_Toc199923760"/>
      <w:r w:rsidRPr="00901720">
        <w:rPr>
          <w:lang w:val="en"/>
        </w:rPr>
        <w:lastRenderedPageBreak/>
        <w:t>A</w:t>
      </w:r>
      <w:r w:rsidR="0022378C" w:rsidRPr="00901720">
        <w:rPr>
          <w:lang w:val="en"/>
        </w:rPr>
        <w:t xml:space="preserve">ppendix </w:t>
      </w:r>
      <w:r w:rsidR="002A678E">
        <w:rPr>
          <w:lang w:val="en"/>
        </w:rPr>
        <w:t>2</w:t>
      </w:r>
      <w:r w:rsidR="00D52C9E" w:rsidRPr="00901720">
        <w:rPr>
          <w:lang w:val="en"/>
        </w:rPr>
        <w:t xml:space="preserve"> </w:t>
      </w:r>
      <w:r w:rsidR="002B0638" w:rsidRPr="00901720">
        <w:rPr>
          <w:lang w:val="en"/>
        </w:rPr>
        <w:t xml:space="preserve">– </w:t>
      </w:r>
      <w:r w:rsidR="003A26FA" w:rsidRPr="00901720">
        <w:rPr>
          <w:lang w:val="en"/>
        </w:rPr>
        <w:t xml:space="preserve">Equality </w:t>
      </w:r>
      <w:r w:rsidR="004805F3" w:rsidRPr="00901720">
        <w:rPr>
          <w:lang w:val="en"/>
        </w:rPr>
        <w:t>Analysis</w:t>
      </w:r>
      <w:bookmarkEnd w:id="39"/>
      <w:bookmarkEnd w:id="40"/>
      <w:bookmarkEnd w:id="41"/>
    </w:p>
    <w:p w14:paraId="5FCF656B" w14:textId="77777777" w:rsidR="00FB769F" w:rsidRDefault="00BC6BD1" w:rsidP="00FB769F">
      <w:pPr>
        <w:rPr>
          <w:rFonts w:eastAsia="Times New Roman"/>
        </w:rPr>
      </w:pPr>
      <w:r w:rsidRPr="00FB769F">
        <w:rPr>
          <w:rFonts w:eastAsia="Times New Roman"/>
        </w:rPr>
        <w:t>An Equality Analysis not just about addressing discrimination or adverse impact; the policy should also positively promote equal opportunities, improved access, participation in public life and good relations.</w:t>
      </w:r>
    </w:p>
    <w:p w14:paraId="3272B02F" w14:textId="77777777" w:rsidR="00BC6BD1" w:rsidRPr="001B5DE0" w:rsidRDefault="00BC6BD1" w:rsidP="001B5DE0">
      <w:pPr>
        <w:rPr>
          <w:b/>
        </w:rPr>
      </w:pPr>
      <w:r w:rsidRPr="001B5DE0">
        <w:rPr>
          <w:b/>
        </w:rPr>
        <w:t>Person completing the Analysis</w:t>
      </w:r>
    </w:p>
    <w:p w14:paraId="74DDCDA4" w14:textId="663BE2E3" w:rsidR="002C16FA" w:rsidRDefault="002C16FA" w:rsidP="007F610C">
      <w:pPr>
        <w:tabs>
          <w:tab w:val="left" w:pos="2835"/>
        </w:tabs>
        <w:spacing w:after="120"/>
      </w:pPr>
      <w:r>
        <w:t>Job title:</w:t>
      </w:r>
      <w:r w:rsidR="00F2251F">
        <w:tab/>
        <w:t>Head of Patient Safety and Improvement</w:t>
      </w:r>
      <w:r>
        <w:tab/>
      </w:r>
    </w:p>
    <w:p w14:paraId="7C271339" w14:textId="11218868" w:rsidR="002C16FA" w:rsidRDefault="002C16FA" w:rsidP="007F610C">
      <w:pPr>
        <w:tabs>
          <w:tab w:val="left" w:pos="2835"/>
        </w:tabs>
        <w:spacing w:after="120"/>
      </w:pPr>
      <w:r>
        <w:t>Care Group/Department:</w:t>
      </w:r>
      <w:r>
        <w:tab/>
      </w:r>
      <w:r w:rsidR="00F2251F">
        <w:t>Corporate, Patient Safety and Quality Governance</w:t>
      </w:r>
    </w:p>
    <w:p w14:paraId="02195B49" w14:textId="42CF5007" w:rsidR="002C16FA" w:rsidRDefault="002C16FA" w:rsidP="007F610C">
      <w:pPr>
        <w:tabs>
          <w:tab w:val="left" w:pos="2835"/>
        </w:tabs>
        <w:spacing w:after="120"/>
      </w:pPr>
      <w:r>
        <w:t>Date completed:</w:t>
      </w:r>
      <w:r w:rsidR="00F2251F">
        <w:tab/>
        <w:t>12 May 2025</w:t>
      </w:r>
      <w:r>
        <w:tab/>
      </w:r>
    </w:p>
    <w:p w14:paraId="21CFB073" w14:textId="77777777" w:rsidR="002C16FA" w:rsidRPr="001B5DE0" w:rsidRDefault="002C16FA" w:rsidP="001B5DE0">
      <w:pPr>
        <w:rPr>
          <w:b/>
        </w:rPr>
      </w:pPr>
      <w:r w:rsidRPr="001B5DE0">
        <w:rPr>
          <w:b/>
        </w:rPr>
        <w:t>Who will be impacted by this policy</w:t>
      </w:r>
    </w:p>
    <w:p w14:paraId="37B0F6B5" w14:textId="31EE219A"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Pr="002C16FA">
        <w:rPr>
          <w:rFonts w:eastAsia="Times New Roman"/>
        </w:rPr>
        <w:t>] Staff (Trust)</w:t>
      </w:r>
    </w:p>
    <w:p w14:paraId="1AF560D0" w14:textId="6D47F7DD"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Pr="002C16FA">
        <w:rPr>
          <w:rFonts w:eastAsia="Times New Roman"/>
        </w:rPr>
        <w:t>] Staff (Other)</w:t>
      </w:r>
    </w:p>
    <w:p w14:paraId="528FC3FC" w14:textId="0714517E"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Pr="002C16FA">
        <w:rPr>
          <w:rFonts w:eastAsia="Times New Roman"/>
        </w:rPr>
        <w:t>] Clients</w:t>
      </w:r>
    </w:p>
    <w:p w14:paraId="705E6BC4" w14:textId="263CC298"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0071472D">
        <w:rPr>
          <w:rFonts w:eastAsia="Times New Roman"/>
        </w:rPr>
        <w:t xml:space="preserve">] </w:t>
      </w:r>
      <w:r w:rsidRPr="002C16FA">
        <w:rPr>
          <w:rFonts w:eastAsia="Times New Roman"/>
        </w:rPr>
        <w:t xml:space="preserve">Carers </w:t>
      </w:r>
    </w:p>
    <w:p w14:paraId="71593A82" w14:textId="5AD8998A"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Pr="002C16FA">
        <w:rPr>
          <w:rFonts w:eastAsia="Times New Roman"/>
        </w:rPr>
        <w:t>] Patients</w:t>
      </w:r>
    </w:p>
    <w:p w14:paraId="07267442" w14:textId="585D60DD" w:rsidR="002C16FA" w:rsidRPr="002C16FA" w:rsidRDefault="002C16FA" w:rsidP="007F610C">
      <w:pPr>
        <w:tabs>
          <w:tab w:val="left" w:pos="2835"/>
        </w:tabs>
        <w:spacing w:after="60"/>
        <w:rPr>
          <w:rFonts w:eastAsia="Times New Roman"/>
        </w:rPr>
      </w:pPr>
      <w:r w:rsidRPr="002C16FA">
        <w:rPr>
          <w:rFonts w:eastAsia="Times New Roman"/>
        </w:rPr>
        <w:t>[</w:t>
      </w:r>
      <w:r w:rsidR="00F2251F">
        <w:rPr>
          <w:rFonts w:eastAsia="Times New Roman"/>
        </w:rPr>
        <w:t>x</w:t>
      </w:r>
      <w:r w:rsidRPr="002C16FA">
        <w:rPr>
          <w:rFonts w:eastAsia="Times New Roman"/>
        </w:rPr>
        <w:t>] Relatives</w:t>
      </w:r>
    </w:p>
    <w:p w14:paraId="6946B229" w14:textId="77777777" w:rsidR="00DF2A36" w:rsidRPr="001B5DE0" w:rsidRDefault="00DF2A36" w:rsidP="001B5DE0">
      <w:pPr>
        <w:rPr>
          <w:b/>
        </w:rPr>
      </w:pPr>
      <w:r w:rsidRPr="001B5DE0">
        <w:rPr>
          <w:b/>
        </w:rPr>
        <w:t>Assess the impact of the policy on people with different protected characteristics</w:t>
      </w:r>
    </w:p>
    <w:p w14:paraId="582DB2D9" w14:textId="77777777" w:rsidR="00DF2A36" w:rsidRDefault="00DF2A36" w:rsidP="00DF2A36">
      <w:r w:rsidRPr="00FB769F">
        <w:t>When assessing impact, make it clear who will be impacted within the protected characteristic category</w:t>
      </w:r>
      <w:r>
        <w:t xml:space="preserve">.  </w:t>
      </w:r>
      <w:r w:rsidRPr="00FB769F">
        <w:t>For example, it may have a positive impact on women but a neutral impact on men.</w:t>
      </w:r>
    </w:p>
    <w:tbl>
      <w:tblPr>
        <w:tblStyle w:val="TableGrid"/>
        <w:tblW w:w="0" w:type="auto"/>
        <w:tblLook w:val="0620" w:firstRow="1" w:lastRow="0" w:firstColumn="0" w:lastColumn="0" w:noHBand="1" w:noVBand="1"/>
      </w:tblPr>
      <w:tblGrid>
        <w:gridCol w:w="2972"/>
        <w:gridCol w:w="3166"/>
        <w:gridCol w:w="3348"/>
      </w:tblGrid>
      <w:tr w:rsidR="00FB769F" w:rsidRPr="00FB769F" w14:paraId="2143634B" w14:textId="77777777" w:rsidTr="00CA4157">
        <w:trPr>
          <w:trHeight w:val="20"/>
          <w:tblHeader/>
        </w:trPr>
        <w:tc>
          <w:tcPr>
            <w:tcW w:w="2972" w:type="dxa"/>
          </w:tcPr>
          <w:p w14:paraId="6C331482" w14:textId="77777777" w:rsidR="00FB769F" w:rsidRPr="00FB769F" w:rsidRDefault="00FB769F" w:rsidP="00FB769F">
            <w:pPr>
              <w:rPr>
                <w:b/>
              </w:rPr>
            </w:pPr>
            <w:r w:rsidRPr="00FB769F">
              <w:rPr>
                <w:b/>
              </w:rPr>
              <w:t>Protected characteristic</w:t>
            </w:r>
          </w:p>
        </w:tc>
        <w:tc>
          <w:tcPr>
            <w:tcW w:w="3166" w:type="dxa"/>
          </w:tcPr>
          <w:p w14:paraId="7EA6ABB8" w14:textId="77777777" w:rsidR="00FB769F" w:rsidRPr="00FB769F" w:rsidRDefault="00FB769F" w:rsidP="001B5DE0">
            <w:pPr>
              <w:spacing w:after="60" w:line="240" w:lineRule="auto"/>
              <w:contextualSpacing/>
              <w:rPr>
                <w:b/>
              </w:rPr>
            </w:pPr>
            <w:r w:rsidRPr="00FB769F">
              <w:rPr>
                <w:b/>
              </w:rPr>
              <w:t>Characteristic Group</w:t>
            </w:r>
          </w:p>
        </w:tc>
        <w:tc>
          <w:tcPr>
            <w:tcW w:w="3348" w:type="dxa"/>
          </w:tcPr>
          <w:p w14:paraId="5B16B2A5" w14:textId="77777777" w:rsidR="00FB769F" w:rsidRPr="00FB769F" w:rsidRDefault="00FB769F" w:rsidP="001B5DE0">
            <w:pPr>
              <w:spacing w:after="60" w:line="240" w:lineRule="auto"/>
              <w:contextualSpacing/>
              <w:rPr>
                <w:b/>
              </w:rPr>
            </w:pPr>
            <w:r w:rsidRPr="00FB769F">
              <w:rPr>
                <w:b/>
              </w:rPr>
              <w:t>Impact of decision</w:t>
            </w:r>
          </w:p>
          <w:p w14:paraId="10D04713" w14:textId="77777777" w:rsidR="00FB769F" w:rsidRPr="00FB769F" w:rsidRDefault="00FB769F" w:rsidP="001B5DE0">
            <w:pPr>
              <w:spacing w:after="60" w:line="240" w:lineRule="auto"/>
              <w:contextualSpacing/>
            </w:pPr>
            <w:r w:rsidRPr="00FB769F">
              <w:t>Positive/Neutral/Negative</w:t>
            </w:r>
          </w:p>
        </w:tc>
      </w:tr>
      <w:tr w:rsidR="00FB769F" w:rsidRPr="00FB769F" w14:paraId="32FC6F90" w14:textId="77777777" w:rsidTr="00CA4157">
        <w:trPr>
          <w:trHeight w:val="20"/>
        </w:trPr>
        <w:tc>
          <w:tcPr>
            <w:tcW w:w="2972" w:type="dxa"/>
          </w:tcPr>
          <w:p w14:paraId="31450159" w14:textId="77777777" w:rsidR="00FB769F" w:rsidRPr="00F745F1" w:rsidRDefault="00FB769F" w:rsidP="001B5DE0">
            <w:pPr>
              <w:spacing w:before="60" w:after="60"/>
              <w:rPr>
                <w:b/>
              </w:rPr>
            </w:pPr>
            <w:r w:rsidRPr="00F745F1">
              <w:rPr>
                <w:b/>
              </w:rPr>
              <w:t>Age</w:t>
            </w:r>
          </w:p>
        </w:tc>
        <w:tc>
          <w:tcPr>
            <w:tcW w:w="3166" w:type="dxa"/>
          </w:tcPr>
          <w:p w14:paraId="3F5189A6" w14:textId="29386A75" w:rsidR="00FB769F" w:rsidRPr="00F745F1" w:rsidRDefault="00CA4157" w:rsidP="001B5DE0">
            <w:pPr>
              <w:spacing w:before="60" w:after="60"/>
            </w:pPr>
            <w:r w:rsidRPr="00903F09">
              <w:rPr>
                <w:rFonts w:cs="Arial"/>
                <w:szCs w:val="24"/>
              </w:rPr>
              <w:t xml:space="preserve">Older people are more likely to be affected by a patient safety incident, due to the profile of patients in the Trust’s care.  Having a robust policy and process, with inclusive involvement will benefit older patients.  </w:t>
            </w:r>
            <w:r w:rsidR="001B5F47">
              <w:rPr>
                <w:rFonts w:cs="Arial"/>
                <w:szCs w:val="24"/>
              </w:rPr>
              <w:t xml:space="preserve">Discussion with and provision of / signposting of support for </w:t>
            </w:r>
            <w:r w:rsidRPr="00903F09">
              <w:rPr>
                <w:rFonts w:cs="Arial"/>
                <w:szCs w:val="24"/>
              </w:rPr>
              <w:t>the parents of children and young people affected by a Patient Safety incident.</w:t>
            </w:r>
          </w:p>
        </w:tc>
        <w:tc>
          <w:tcPr>
            <w:tcW w:w="3348" w:type="dxa"/>
          </w:tcPr>
          <w:p w14:paraId="361A88BC" w14:textId="0A2FAE32" w:rsidR="00FB769F" w:rsidRPr="00F745F1" w:rsidRDefault="00CA4157" w:rsidP="001B5DE0">
            <w:pPr>
              <w:spacing w:before="60" w:after="60"/>
            </w:pPr>
            <w:r>
              <w:t>Positive</w:t>
            </w:r>
          </w:p>
        </w:tc>
      </w:tr>
      <w:tr w:rsidR="00784C19" w:rsidRPr="00FB769F" w14:paraId="6C8A4A48" w14:textId="77777777" w:rsidTr="00CA4157">
        <w:trPr>
          <w:trHeight w:val="20"/>
        </w:trPr>
        <w:tc>
          <w:tcPr>
            <w:tcW w:w="2972" w:type="dxa"/>
          </w:tcPr>
          <w:p w14:paraId="1950A3EF" w14:textId="77777777" w:rsidR="00784C19" w:rsidRPr="00F745F1" w:rsidRDefault="00784C19" w:rsidP="001B5DE0">
            <w:pPr>
              <w:spacing w:before="60" w:after="60"/>
              <w:rPr>
                <w:b/>
              </w:rPr>
            </w:pPr>
            <w:r w:rsidRPr="00F745F1">
              <w:rPr>
                <w:b/>
              </w:rPr>
              <w:t>Disability</w:t>
            </w:r>
          </w:p>
        </w:tc>
        <w:tc>
          <w:tcPr>
            <w:tcW w:w="3166" w:type="dxa"/>
          </w:tcPr>
          <w:p w14:paraId="34AA0E7B" w14:textId="77777777" w:rsidR="00784C19" w:rsidRDefault="00CA4157" w:rsidP="001B5DE0">
            <w:pPr>
              <w:spacing w:before="60" w:after="60"/>
            </w:pPr>
            <w:r w:rsidRPr="00CA4157">
              <w:t xml:space="preserve">Disabled people (as defined by the Equality Act 2010). are more likely to be affected by a patient safety incident, due to the profile of patients in the Trust’s care.  Having a robust policy and process, with inclusive involvement will benefit disabled people, including </w:t>
            </w:r>
            <w:r w:rsidRPr="00CA4157">
              <w:lastRenderedPageBreak/>
              <w:t>people with learning disabilities and autism, people with dementia, and people with long-term health condition</w:t>
            </w:r>
            <w:r>
              <w:t>s.</w:t>
            </w:r>
          </w:p>
          <w:p w14:paraId="719051C8" w14:textId="77777777" w:rsidR="001B5F47" w:rsidRDefault="001B5F47" w:rsidP="001B5DE0">
            <w:pPr>
              <w:spacing w:before="60" w:after="60"/>
            </w:pPr>
          </w:p>
          <w:p w14:paraId="45ADB947" w14:textId="67234F07" w:rsidR="001B5F47" w:rsidRPr="00F745F1" w:rsidRDefault="001B5F47" w:rsidP="001B5DE0">
            <w:pPr>
              <w:spacing w:before="60" w:after="60"/>
            </w:pPr>
            <w:r>
              <w:t>The policy references the need to provide information to disabled patients and their family in accessible format and to provide interpreters – this will include British Sign Language, Sign Supported English, Deaf-blind hands on signing and Makaton.</w:t>
            </w:r>
          </w:p>
        </w:tc>
        <w:tc>
          <w:tcPr>
            <w:tcW w:w="3348" w:type="dxa"/>
          </w:tcPr>
          <w:p w14:paraId="34A9AE23" w14:textId="1E467F4B" w:rsidR="00784C19" w:rsidRPr="00F745F1" w:rsidRDefault="00CA4157" w:rsidP="001B5DE0">
            <w:pPr>
              <w:spacing w:before="60" w:after="60"/>
            </w:pPr>
            <w:r>
              <w:lastRenderedPageBreak/>
              <w:t>Positive</w:t>
            </w:r>
          </w:p>
        </w:tc>
      </w:tr>
      <w:tr w:rsidR="00784C19" w:rsidRPr="00FB769F" w14:paraId="4010087C" w14:textId="77777777" w:rsidTr="00CA4157">
        <w:trPr>
          <w:trHeight w:val="20"/>
        </w:trPr>
        <w:tc>
          <w:tcPr>
            <w:tcW w:w="2972" w:type="dxa"/>
          </w:tcPr>
          <w:p w14:paraId="105096A2" w14:textId="77777777" w:rsidR="00784C19" w:rsidRPr="00F745F1" w:rsidRDefault="00784C19" w:rsidP="001B5DE0">
            <w:pPr>
              <w:spacing w:before="60" w:after="60"/>
              <w:rPr>
                <w:b/>
              </w:rPr>
            </w:pPr>
            <w:r w:rsidRPr="00F745F1">
              <w:rPr>
                <w:b/>
              </w:rPr>
              <w:t>Gender reassignment</w:t>
            </w:r>
          </w:p>
        </w:tc>
        <w:tc>
          <w:tcPr>
            <w:tcW w:w="3166" w:type="dxa"/>
          </w:tcPr>
          <w:p w14:paraId="4C0CDA5A" w14:textId="77777777" w:rsidR="00784C19" w:rsidRDefault="00CA4157" w:rsidP="001B5DE0">
            <w:pPr>
              <w:spacing w:before="60" w:after="60"/>
              <w:rPr>
                <w:rFonts w:cs="Arial"/>
                <w:szCs w:val="24"/>
              </w:rPr>
            </w:pPr>
            <w:r w:rsidRPr="00903F09">
              <w:rPr>
                <w:rFonts w:cs="Arial"/>
                <w:szCs w:val="24"/>
              </w:rPr>
              <w:t>Research shows that transgender people risk significant harm given the number of trans</w:t>
            </w:r>
            <w:r>
              <w:rPr>
                <w:rFonts w:cs="Arial"/>
                <w:szCs w:val="24"/>
              </w:rPr>
              <w:t xml:space="preserve"> </w:t>
            </w:r>
            <w:r w:rsidRPr="00903F09">
              <w:rPr>
                <w:rFonts w:cs="Arial"/>
                <w:szCs w:val="24"/>
              </w:rPr>
              <w:t>people who opt to free birth.  Providing a safe and inclusive care environment for transgender people will improve patient safety.</w:t>
            </w:r>
          </w:p>
          <w:p w14:paraId="33D374B6" w14:textId="77777777" w:rsidR="001B5F47" w:rsidRDefault="001B5F47" w:rsidP="001B5DE0">
            <w:pPr>
              <w:spacing w:before="60" w:after="60"/>
            </w:pPr>
          </w:p>
          <w:p w14:paraId="7EAF7CAB" w14:textId="6032A787" w:rsidR="001B5F47" w:rsidRPr="001B5F47" w:rsidRDefault="001B5F47" w:rsidP="001B5F47">
            <w:pPr>
              <w:spacing w:before="60" w:after="60"/>
              <w:rPr>
                <w:rFonts w:cs="Arial"/>
                <w:szCs w:val="24"/>
              </w:rPr>
            </w:pPr>
            <w:r>
              <w:rPr>
                <w:rFonts w:cs="Arial"/>
                <w:szCs w:val="24"/>
              </w:rPr>
              <w:t>The Trust has a Support Gender Diverse patients policy.</w:t>
            </w:r>
          </w:p>
        </w:tc>
        <w:tc>
          <w:tcPr>
            <w:tcW w:w="3348" w:type="dxa"/>
          </w:tcPr>
          <w:p w14:paraId="2D4EB8B0" w14:textId="30C43EBA" w:rsidR="00784C19" w:rsidRPr="00F745F1" w:rsidRDefault="007E4CF5" w:rsidP="001B5DE0">
            <w:pPr>
              <w:spacing w:before="60" w:after="60"/>
            </w:pPr>
            <w:r>
              <w:t>Negative – mitigations need to be put in place to include providing psychologically safe maternity care, identifying sex at birth as opposed to gender identity (where the patient consents to this) and recording this information on the patient record with the patient’s consent.  The Trust could consider adopting the LGBT Foundation recommended sex and gender identity questions.  Identifying patients who should be offered screening related to their sex at birth (subject to their consent)</w:t>
            </w:r>
          </w:p>
        </w:tc>
      </w:tr>
      <w:tr w:rsidR="00784C19" w:rsidRPr="00FB769F" w14:paraId="73119168" w14:textId="77777777" w:rsidTr="00CA4157">
        <w:trPr>
          <w:trHeight w:val="20"/>
        </w:trPr>
        <w:tc>
          <w:tcPr>
            <w:tcW w:w="2972" w:type="dxa"/>
          </w:tcPr>
          <w:p w14:paraId="42226100" w14:textId="77777777" w:rsidR="00784C19" w:rsidRPr="00F745F1" w:rsidRDefault="00784C19" w:rsidP="001B5DE0">
            <w:pPr>
              <w:spacing w:before="60" w:after="60"/>
              <w:rPr>
                <w:b/>
              </w:rPr>
            </w:pPr>
            <w:r w:rsidRPr="00F745F1">
              <w:rPr>
                <w:b/>
              </w:rPr>
              <w:t>Marriage and civil partnership</w:t>
            </w:r>
          </w:p>
        </w:tc>
        <w:tc>
          <w:tcPr>
            <w:tcW w:w="3166" w:type="dxa"/>
          </w:tcPr>
          <w:p w14:paraId="3BF022AE" w14:textId="1499D53D" w:rsidR="00784C19" w:rsidRPr="00F745F1" w:rsidRDefault="001B5F47" w:rsidP="001B5DE0">
            <w:pPr>
              <w:spacing w:before="60" w:after="60"/>
            </w:pPr>
            <w:r>
              <w:t>The policy applies to all patients regardless of their relationship status.</w:t>
            </w:r>
          </w:p>
        </w:tc>
        <w:tc>
          <w:tcPr>
            <w:tcW w:w="3348" w:type="dxa"/>
          </w:tcPr>
          <w:p w14:paraId="066F3359" w14:textId="344590F6" w:rsidR="00784C19" w:rsidRPr="00F745F1" w:rsidRDefault="00CA4157" w:rsidP="001B5DE0">
            <w:pPr>
              <w:spacing w:before="60" w:after="60"/>
            </w:pPr>
            <w:r>
              <w:t>Neutral</w:t>
            </w:r>
          </w:p>
        </w:tc>
      </w:tr>
      <w:tr w:rsidR="00784C19" w:rsidRPr="00FB769F" w14:paraId="1DE25F6E" w14:textId="77777777" w:rsidTr="00CA4157">
        <w:trPr>
          <w:trHeight w:val="20"/>
        </w:trPr>
        <w:tc>
          <w:tcPr>
            <w:tcW w:w="2972" w:type="dxa"/>
          </w:tcPr>
          <w:p w14:paraId="040425D7" w14:textId="77777777" w:rsidR="00784C19" w:rsidRPr="00F745F1" w:rsidRDefault="00784C19" w:rsidP="001B5DE0">
            <w:pPr>
              <w:spacing w:before="60" w:after="60"/>
              <w:rPr>
                <w:b/>
              </w:rPr>
            </w:pPr>
            <w:r w:rsidRPr="00F745F1">
              <w:rPr>
                <w:b/>
              </w:rPr>
              <w:t>Pregnancy and maternity</w:t>
            </w:r>
          </w:p>
        </w:tc>
        <w:tc>
          <w:tcPr>
            <w:tcW w:w="3166" w:type="dxa"/>
          </w:tcPr>
          <w:p w14:paraId="2E2C61AE" w14:textId="348BB52D" w:rsidR="00AD7001" w:rsidRPr="00AD7001" w:rsidRDefault="00CA4157" w:rsidP="001B5DE0">
            <w:pPr>
              <w:spacing w:before="60" w:after="60"/>
              <w:rPr>
                <w:rFonts w:cs="Arial"/>
                <w:szCs w:val="24"/>
              </w:rPr>
            </w:pPr>
            <w:r w:rsidRPr="00903F09">
              <w:rPr>
                <w:rFonts w:cs="Arial"/>
                <w:szCs w:val="24"/>
              </w:rPr>
              <w:t>Women who are Black, Asian or other White are more likely to experience harm and more likely to lose a baby whilst pregnant or after birth.  Improving the management and learning from patient safety incidents related to Maternity will be part of improving outcomes for all women.</w:t>
            </w:r>
          </w:p>
        </w:tc>
        <w:tc>
          <w:tcPr>
            <w:tcW w:w="3348" w:type="dxa"/>
          </w:tcPr>
          <w:p w14:paraId="77AC0901" w14:textId="6C13F0A9" w:rsidR="00784C19" w:rsidRPr="00F745F1" w:rsidRDefault="00CA4157" w:rsidP="001B5DE0">
            <w:pPr>
              <w:spacing w:before="60" w:after="60"/>
            </w:pPr>
            <w:r>
              <w:t>Positive</w:t>
            </w:r>
          </w:p>
        </w:tc>
      </w:tr>
      <w:tr w:rsidR="00CA4157" w:rsidRPr="00FB769F" w14:paraId="43997D81" w14:textId="77777777" w:rsidTr="00CA4157">
        <w:trPr>
          <w:trHeight w:val="20"/>
        </w:trPr>
        <w:tc>
          <w:tcPr>
            <w:tcW w:w="2972" w:type="dxa"/>
          </w:tcPr>
          <w:p w14:paraId="1073C060" w14:textId="77777777" w:rsidR="00CA4157" w:rsidRPr="00F745F1" w:rsidRDefault="00CA4157" w:rsidP="00CA4157">
            <w:pPr>
              <w:spacing w:before="60" w:after="60"/>
              <w:rPr>
                <w:b/>
              </w:rPr>
            </w:pPr>
            <w:r w:rsidRPr="00F745F1">
              <w:rPr>
                <w:b/>
              </w:rPr>
              <w:t>Race</w:t>
            </w:r>
          </w:p>
        </w:tc>
        <w:tc>
          <w:tcPr>
            <w:tcW w:w="3166" w:type="dxa"/>
          </w:tcPr>
          <w:p w14:paraId="6E5381A6" w14:textId="77777777" w:rsidR="001B5F47" w:rsidRDefault="00CA4157" w:rsidP="00CA4157">
            <w:pPr>
              <w:spacing w:before="60" w:after="60"/>
              <w:rPr>
                <w:rFonts w:cs="Arial"/>
                <w:szCs w:val="24"/>
              </w:rPr>
            </w:pPr>
            <w:r w:rsidRPr="00903F09">
              <w:rPr>
                <w:rFonts w:cs="Arial"/>
                <w:szCs w:val="24"/>
              </w:rPr>
              <w:t xml:space="preserve">Women who are Black, Asian or other White are more likely to </w:t>
            </w:r>
            <w:r w:rsidRPr="00903F09">
              <w:rPr>
                <w:rFonts w:cs="Arial"/>
                <w:szCs w:val="24"/>
              </w:rPr>
              <w:lastRenderedPageBreak/>
              <w:t>experience harm and more likely to lose a baby whilst pregnant or after birth.  Improving the management and learning from patient safety incidents related to Maternity will be part of improving outcomes for all women</w:t>
            </w:r>
            <w:r w:rsidR="001B5F47">
              <w:rPr>
                <w:rFonts w:cs="Arial"/>
                <w:szCs w:val="24"/>
              </w:rPr>
              <w:t>.</w:t>
            </w:r>
          </w:p>
          <w:p w14:paraId="170AAE5D" w14:textId="77777777" w:rsidR="007E4CF5" w:rsidRDefault="007E4CF5" w:rsidP="00CA4157">
            <w:pPr>
              <w:spacing w:before="60" w:after="60"/>
              <w:rPr>
                <w:rFonts w:cs="Arial"/>
                <w:szCs w:val="24"/>
              </w:rPr>
            </w:pPr>
          </w:p>
          <w:p w14:paraId="4C6DDC33" w14:textId="23864B79" w:rsidR="007E4CF5" w:rsidRDefault="007E4CF5" w:rsidP="00CA4157">
            <w:pPr>
              <w:spacing w:before="60" w:after="60"/>
              <w:rPr>
                <w:rFonts w:cs="Arial"/>
                <w:szCs w:val="24"/>
              </w:rPr>
            </w:pPr>
            <w:r>
              <w:rPr>
                <w:rFonts w:cs="Arial"/>
                <w:szCs w:val="24"/>
              </w:rPr>
              <w:t>This policy promotes the use of the Trust interpreting service to staff and how to access this.  The Trust has an Interpreting and Translation Policy</w:t>
            </w:r>
            <w:r w:rsidR="00AD7001">
              <w:rPr>
                <w:rFonts w:cs="Arial"/>
                <w:szCs w:val="24"/>
              </w:rPr>
              <w:t xml:space="preserve">  and a Guideline for </w:t>
            </w:r>
            <w:r w:rsidR="00AD7001">
              <w:t>Interpreter and Translation Services in Maternity.</w:t>
            </w:r>
          </w:p>
          <w:p w14:paraId="3F195C5F" w14:textId="77777777" w:rsidR="00AD7001" w:rsidRDefault="00AD7001" w:rsidP="00CA4157">
            <w:pPr>
              <w:spacing w:before="60" w:after="60"/>
              <w:rPr>
                <w:rFonts w:cs="Arial"/>
                <w:szCs w:val="24"/>
              </w:rPr>
            </w:pPr>
          </w:p>
          <w:p w14:paraId="43A7EC4E" w14:textId="7D110425" w:rsidR="00AD7001" w:rsidRPr="001B5F47" w:rsidRDefault="00AD7001" w:rsidP="00CA4157">
            <w:pPr>
              <w:spacing w:before="60" w:after="60"/>
              <w:rPr>
                <w:rFonts w:cs="Arial"/>
                <w:szCs w:val="24"/>
              </w:rPr>
            </w:pPr>
            <w:r>
              <w:rPr>
                <w:rFonts w:cs="Arial"/>
                <w:szCs w:val="24"/>
              </w:rPr>
              <w:t>The Trust incident management system enables reporting of and thus monitoring of interpreting service issues.</w:t>
            </w:r>
          </w:p>
        </w:tc>
        <w:tc>
          <w:tcPr>
            <w:tcW w:w="3348" w:type="dxa"/>
          </w:tcPr>
          <w:p w14:paraId="487299D3" w14:textId="0B7A1A83" w:rsidR="00CA4157" w:rsidRDefault="00AD7001" w:rsidP="00CA4157">
            <w:pPr>
              <w:spacing w:before="60" w:after="60"/>
              <w:rPr>
                <w:rFonts w:cs="Arial"/>
                <w:szCs w:val="24"/>
              </w:rPr>
            </w:pPr>
            <w:r>
              <w:lastRenderedPageBreak/>
              <w:t>Positive</w:t>
            </w:r>
          </w:p>
          <w:p w14:paraId="35C78650" w14:textId="77777777" w:rsidR="007E68E2" w:rsidRDefault="007E68E2" w:rsidP="00CA4157">
            <w:pPr>
              <w:spacing w:before="60" w:after="60"/>
            </w:pPr>
          </w:p>
          <w:p w14:paraId="1C21467A" w14:textId="23BD20DB" w:rsidR="007E68E2" w:rsidRPr="00F745F1" w:rsidRDefault="007E68E2" w:rsidP="00CA4157">
            <w:pPr>
              <w:spacing w:before="60" w:after="60"/>
            </w:pPr>
          </w:p>
        </w:tc>
      </w:tr>
      <w:tr w:rsidR="00CA4157" w:rsidRPr="00FB769F" w14:paraId="18E2044B" w14:textId="77777777" w:rsidTr="00CA4157">
        <w:trPr>
          <w:trHeight w:val="20"/>
        </w:trPr>
        <w:tc>
          <w:tcPr>
            <w:tcW w:w="2972" w:type="dxa"/>
          </w:tcPr>
          <w:p w14:paraId="727086C4" w14:textId="77777777" w:rsidR="00CA4157" w:rsidRPr="00F745F1" w:rsidRDefault="00CA4157" w:rsidP="00CA4157">
            <w:pPr>
              <w:spacing w:before="60" w:after="60"/>
              <w:rPr>
                <w:b/>
              </w:rPr>
            </w:pPr>
            <w:r w:rsidRPr="00F745F1">
              <w:rPr>
                <w:b/>
              </w:rPr>
              <w:t>Religion or belief</w:t>
            </w:r>
          </w:p>
        </w:tc>
        <w:tc>
          <w:tcPr>
            <w:tcW w:w="3166" w:type="dxa"/>
          </w:tcPr>
          <w:p w14:paraId="0BA822B7" w14:textId="77777777" w:rsidR="007E4CF5" w:rsidRDefault="007E4CF5" w:rsidP="00CA4157">
            <w:pPr>
              <w:spacing w:before="60" w:after="60"/>
              <w:rPr>
                <w:rFonts w:cs="Arial"/>
                <w:szCs w:val="24"/>
              </w:rPr>
            </w:pPr>
            <w:r>
              <w:rPr>
                <w:rFonts w:cs="Arial"/>
                <w:szCs w:val="24"/>
              </w:rPr>
              <w:t>The policy applies to all patients regardless of religion or belief, including no belief.  Some religions or beliefs will advise against certain procedures (e.g. blood transfusions or vaccinations).</w:t>
            </w:r>
          </w:p>
          <w:p w14:paraId="61EF034A" w14:textId="5B280F1D" w:rsidR="003268CF" w:rsidRPr="007E4CF5" w:rsidRDefault="003268CF" w:rsidP="00CA4157">
            <w:pPr>
              <w:spacing w:before="60" w:after="60"/>
              <w:rPr>
                <w:rFonts w:cs="Arial"/>
                <w:szCs w:val="24"/>
              </w:rPr>
            </w:pPr>
            <w:r>
              <w:t>The Trust Patient Administration System enables r</w:t>
            </w:r>
            <w:r>
              <w:rPr>
                <w:rFonts w:cs="Arial"/>
                <w:szCs w:val="24"/>
              </w:rPr>
              <w:t>ecording patients’ religion or belief.  This during the review of incident data will assist in identify any disproportionate impact of people with certain religions or beliefs.</w:t>
            </w:r>
          </w:p>
        </w:tc>
        <w:tc>
          <w:tcPr>
            <w:tcW w:w="3348" w:type="dxa"/>
          </w:tcPr>
          <w:p w14:paraId="295E11EA" w14:textId="7779D9AF" w:rsidR="00CA4157" w:rsidRPr="007E4CF5" w:rsidRDefault="003268CF" w:rsidP="00CA4157">
            <w:pPr>
              <w:spacing w:before="60" w:after="60"/>
            </w:pPr>
            <w:r>
              <w:t>Neutral</w:t>
            </w:r>
          </w:p>
        </w:tc>
      </w:tr>
      <w:tr w:rsidR="007E4CF5" w:rsidRPr="00FB769F" w14:paraId="6626828C" w14:textId="77777777" w:rsidTr="00CA4157">
        <w:trPr>
          <w:trHeight w:val="20"/>
        </w:trPr>
        <w:tc>
          <w:tcPr>
            <w:tcW w:w="2972" w:type="dxa"/>
          </w:tcPr>
          <w:p w14:paraId="31CB7342" w14:textId="77777777" w:rsidR="007E4CF5" w:rsidRPr="00F745F1" w:rsidRDefault="007E4CF5" w:rsidP="007E4CF5">
            <w:pPr>
              <w:spacing w:before="60" w:after="60"/>
              <w:rPr>
                <w:b/>
              </w:rPr>
            </w:pPr>
            <w:r w:rsidRPr="00F745F1">
              <w:rPr>
                <w:b/>
              </w:rPr>
              <w:t>Sex</w:t>
            </w:r>
          </w:p>
        </w:tc>
        <w:tc>
          <w:tcPr>
            <w:tcW w:w="3166" w:type="dxa"/>
          </w:tcPr>
          <w:p w14:paraId="651185CA" w14:textId="40FC2CE9" w:rsidR="007E4CF5" w:rsidRPr="00F745F1" w:rsidRDefault="007E4CF5" w:rsidP="007E4CF5">
            <w:pPr>
              <w:spacing w:before="60" w:after="60"/>
            </w:pPr>
            <w:r>
              <w:rPr>
                <w:rFonts w:cs="Arial"/>
                <w:szCs w:val="24"/>
              </w:rPr>
              <w:t>The policy applies to men and women, non-binary and gender diverse patients.</w:t>
            </w:r>
          </w:p>
        </w:tc>
        <w:tc>
          <w:tcPr>
            <w:tcW w:w="3348" w:type="dxa"/>
          </w:tcPr>
          <w:p w14:paraId="6C4675EA" w14:textId="151AD0DF" w:rsidR="007E4CF5" w:rsidRPr="00F745F1" w:rsidRDefault="007E4CF5" w:rsidP="007E4CF5">
            <w:pPr>
              <w:spacing w:before="60" w:after="60"/>
            </w:pPr>
            <w:r>
              <w:t>Neutral</w:t>
            </w:r>
          </w:p>
        </w:tc>
      </w:tr>
      <w:tr w:rsidR="007E4CF5" w:rsidRPr="00FB769F" w14:paraId="19B3F2D0" w14:textId="77777777" w:rsidTr="00CA4157">
        <w:trPr>
          <w:trHeight w:val="76"/>
        </w:trPr>
        <w:tc>
          <w:tcPr>
            <w:tcW w:w="2972" w:type="dxa"/>
          </w:tcPr>
          <w:p w14:paraId="6E6B2E77" w14:textId="77777777" w:rsidR="007E4CF5" w:rsidRPr="00F745F1" w:rsidRDefault="007E4CF5" w:rsidP="007E4CF5">
            <w:pPr>
              <w:spacing w:before="60" w:after="60"/>
              <w:rPr>
                <w:b/>
              </w:rPr>
            </w:pPr>
            <w:r w:rsidRPr="00F745F1">
              <w:rPr>
                <w:b/>
              </w:rPr>
              <w:t>Sexual orientation</w:t>
            </w:r>
          </w:p>
        </w:tc>
        <w:tc>
          <w:tcPr>
            <w:tcW w:w="3166" w:type="dxa"/>
          </w:tcPr>
          <w:p w14:paraId="20E283DE" w14:textId="1AE53116" w:rsidR="007E4CF5" w:rsidRPr="007E4CF5" w:rsidRDefault="007E4CF5" w:rsidP="007E4CF5">
            <w:pPr>
              <w:spacing w:before="60" w:after="60"/>
            </w:pPr>
            <w:r w:rsidRPr="00903F09">
              <w:rPr>
                <w:rFonts w:cs="Arial"/>
                <w:szCs w:val="24"/>
              </w:rPr>
              <w:t xml:space="preserve">LGBTQIA+ people experience discrimination when using healthcare services and therefore may be less likely to </w:t>
            </w:r>
            <w:r w:rsidRPr="00903F09">
              <w:rPr>
                <w:rFonts w:cs="Arial"/>
                <w:szCs w:val="24"/>
              </w:rPr>
              <w:lastRenderedPageBreak/>
              <w:t>access services or to raise a concern when there is an incident.  Having inclusive practice and inclusive</w:t>
            </w:r>
            <w:r>
              <w:rPr>
                <w:rFonts w:cs="Arial"/>
                <w:szCs w:val="24"/>
              </w:rPr>
              <w:t xml:space="preserve"> processes, providing psychologically safe space and staff awareness training can support people to access healthcare and have an equitable experience and outcomes.  The Trust does not routinely record patients’ sexual orientation.</w:t>
            </w:r>
          </w:p>
        </w:tc>
        <w:tc>
          <w:tcPr>
            <w:tcW w:w="3348" w:type="dxa"/>
          </w:tcPr>
          <w:p w14:paraId="2CE9A036" w14:textId="07E66B39" w:rsidR="007E4CF5" w:rsidRPr="007E4CF5" w:rsidRDefault="007E4CF5" w:rsidP="007E4CF5">
            <w:pPr>
              <w:spacing w:before="60" w:after="60"/>
            </w:pPr>
            <w:r>
              <w:lastRenderedPageBreak/>
              <w:t xml:space="preserve">Negative – mitigations could include adopting the NHS England Sexual Orientation Monitoring standard (SOM) on patient record </w:t>
            </w:r>
            <w:r>
              <w:lastRenderedPageBreak/>
              <w:t>systems, raising staff awareness of the importance of recording patient’s sexual orientation – e.g. make the “what’s it got to do with you” guide available on Staff Zone and referenced at Trust Welcome Days / clinical induction.</w:t>
            </w:r>
          </w:p>
        </w:tc>
      </w:tr>
    </w:tbl>
    <w:p w14:paraId="2776DC12" w14:textId="77777777" w:rsidR="00FB769F" w:rsidRPr="00FB769F" w:rsidRDefault="00FB769F" w:rsidP="00FB769F"/>
    <w:p w14:paraId="15E57575" w14:textId="77777777" w:rsidR="00FB769F" w:rsidRDefault="00DF2A36" w:rsidP="00FB769F">
      <w:pPr>
        <w:rPr>
          <w:rFonts w:eastAsia="Times New Roman"/>
        </w:rPr>
      </w:pPr>
      <w:r w:rsidRPr="00FB769F">
        <w:rPr>
          <w:rFonts w:eastAsia="Times New Roman"/>
        </w:rPr>
        <w:t>If there is insufficient evidence to make a decision about the impact of the policy it may be necessary to consult with members of protected characteristic groups to establish how best to meet their needs or to overcome barriers.</w:t>
      </w:r>
    </w:p>
    <w:p w14:paraId="1ED7D7F5" w14:textId="77777777" w:rsidR="00CC054B" w:rsidRPr="001B5DE0" w:rsidRDefault="00CC054B" w:rsidP="001B5DE0">
      <w:pPr>
        <w:rPr>
          <w:b/>
        </w:rPr>
      </w:pPr>
      <w:r w:rsidRPr="001B5DE0">
        <w:rPr>
          <w:b/>
        </w:rPr>
        <w:t>Has there been specific consultation on this policy?</w:t>
      </w:r>
    </w:p>
    <w:p w14:paraId="59848C4C" w14:textId="55D1445A" w:rsidR="0071472D" w:rsidRPr="0071472D" w:rsidRDefault="002A678E" w:rsidP="005007CD">
      <w:r>
        <w:t xml:space="preserve">Yes, </w:t>
      </w:r>
      <w:r w:rsidR="007E4CF5" w:rsidRPr="007E4CF5">
        <w:t>involvement of Associate Director of Patient Experience</w:t>
      </w:r>
    </w:p>
    <w:p w14:paraId="4D072596" w14:textId="77777777" w:rsidR="00CC054B" w:rsidRPr="001B5DE0" w:rsidRDefault="00CC054B" w:rsidP="001B5DE0">
      <w:pPr>
        <w:rPr>
          <w:b/>
        </w:rPr>
      </w:pPr>
      <w:r w:rsidRPr="001B5DE0">
        <w:rPr>
          <w:b/>
        </w:rPr>
        <w:t>Did the consultation analysis reveal any difference in views across the protected characteristics?</w:t>
      </w:r>
    </w:p>
    <w:p w14:paraId="2639CD80" w14:textId="425E8864" w:rsidR="0071472D" w:rsidRPr="0071472D" w:rsidRDefault="007E4CF5" w:rsidP="005007CD">
      <w:r>
        <w:t>Yes – potential negative impact identified for LGBTQIA people</w:t>
      </w:r>
      <w:r w:rsidR="003268CF">
        <w:t xml:space="preserve"> </w:t>
      </w:r>
      <w:r>
        <w:t>and gender diverse patients.</w:t>
      </w:r>
    </w:p>
    <w:p w14:paraId="128D7175" w14:textId="77777777" w:rsidR="00CC054B" w:rsidRPr="001B5DE0" w:rsidRDefault="00CC054B" w:rsidP="001B5DE0">
      <w:pPr>
        <w:rPr>
          <w:b/>
        </w:rPr>
      </w:pPr>
      <w:r w:rsidRPr="001B5DE0">
        <w:rPr>
          <w:b/>
        </w:rPr>
        <w:t>Mitigating negative impact:</w:t>
      </w:r>
    </w:p>
    <w:p w14:paraId="2013909E" w14:textId="0400E0E4" w:rsidR="007E4CF5" w:rsidRDefault="007E4CF5" w:rsidP="007E4CF5">
      <w:r>
        <w:t xml:space="preserve">With </w:t>
      </w:r>
      <w:r w:rsidR="003268CF">
        <w:t xml:space="preserve">Trust adoption of the </w:t>
      </w:r>
      <w:r>
        <w:t>mitigations this policy will have a positive or neutral impact on people with the nine protected characteristics under the Equality Act 2010.</w:t>
      </w:r>
    </w:p>
    <w:p w14:paraId="337F4F50" w14:textId="77777777" w:rsidR="001E6B21" w:rsidRPr="001B5DE0" w:rsidRDefault="001E6B21" w:rsidP="001B5DE0">
      <w:pPr>
        <w:rPr>
          <w:b/>
        </w:rPr>
      </w:pPr>
      <w:r w:rsidRPr="001B5DE0">
        <w:rPr>
          <w:b/>
        </w:rPr>
        <w:t>Conclusion:</w:t>
      </w:r>
    </w:p>
    <w:p w14:paraId="36128D80" w14:textId="77777777" w:rsidR="001E6B21" w:rsidRPr="002C16FA" w:rsidRDefault="002C16FA" w:rsidP="001E6B21">
      <w:r>
        <w:t>(</w:t>
      </w:r>
      <w:r w:rsidR="001E6B21" w:rsidRPr="002C16FA">
        <w:t>Advise on the overall equality implications that should be taken into account by the policy approving committee.</w:t>
      </w:r>
      <w:r>
        <w:t>)</w:t>
      </w:r>
    </w:p>
    <w:p w14:paraId="00CB2E63" w14:textId="7512DFE6" w:rsidR="0071472D" w:rsidRDefault="00273B77" w:rsidP="005007CD">
      <w:r w:rsidRPr="00273B77">
        <w:t>The are many positive implications to the implementation of this policy. There is a specific focus within PSIRF for the Trust to address health inequalities as well as a much greater emphasis on the engagement of all parties that would be affected by an incident occurring.</w:t>
      </w:r>
    </w:p>
    <w:p w14:paraId="0DBF3900" w14:textId="19EA3A0E" w:rsidR="007A078D" w:rsidRDefault="003A26FA" w:rsidP="005D16B1">
      <w:pPr>
        <w:pStyle w:val="Header2"/>
      </w:pPr>
      <w:r>
        <w:br w:type="page"/>
      </w:r>
      <w:bookmarkStart w:id="42" w:name="_Toc523986736"/>
      <w:bookmarkStart w:id="43" w:name="_Toc523989254"/>
      <w:bookmarkStart w:id="44" w:name="_Toc199923761"/>
      <w:r w:rsidR="00310C5D" w:rsidRPr="00C54512">
        <w:lastRenderedPageBreak/>
        <w:t xml:space="preserve">Appendix </w:t>
      </w:r>
      <w:r w:rsidR="002A678E">
        <w:t>3</w:t>
      </w:r>
      <w:r w:rsidR="00310C5D" w:rsidRPr="00C54512">
        <w:t xml:space="preserve"> – </w:t>
      </w:r>
      <w:bookmarkEnd w:id="42"/>
      <w:bookmarkEnd w:id="43"/>
      <w:r w:rsidR="005F08FC">
        <w:t>Policy Implementation</w:t>
      </w:r>
      <w:r w:rsidR="00832DB4">
        <w:t xml:space="preserve"> Plan</w:t>
      </w:r>
      <w:bookmarkEnd w:id="44"/>
    </w:p>
    <w:p w14:paraId="7BFA6ED8" w14:textId="36234D49" w:rsidR="001E6B21" w:rsidRPr="00273B77" w:rsidRDefault="001E6B21" w:rsidP="005F08FC">
      <w:r w:rsidRPr="000C09A7">
        <w:rPr>
          <w:b/>
        </w:rPr>
        <w:t>Policy Title:</w:t>
      </w:r>
      <w:r w:rsidR="002C16FA">
        <w:rPr>
          <w:b/>
        </w:rPr>
        <w:t xml:space="preserve"> </w:t>
      </w:r>
      <w:r w:rsidR="00273B77" w:rsidRPr="00273B77">
        <w:t>Patient Safety Incident Response Policy</w:t>
      </w:r>
    </w:p>
    <w:p w14:paraId="517B4280" w14:textId="67B2D545" w:rsidR="001E6B21" w:rsidRPr="00273B77" w:rsidRDefault="001E6B21" w:rsidP="001E6B21">
      <w:r w:rsidRPr="000C09A7">
        <w:rPr>
          <w:b/>
        </w:rPr>
        <w:t>Implementation Lead:</w:t>
      </w:r>
      <w:r w:rsidR="002C16FA">
        <w:rPr>
          <w:b/>
        </w:rPr>
        <w:t xml:space="preserve"> </w:t>
      </w:r>
      <w:r w:rsidR="00273B77" w:rsidRPr="00273B77">
        <w:t>Head of Patient Safety and Improvement</w:t>
      </w:r>
    </w:p>
    <w:p w14:paraId="00B30BA2" w14:textId="36AD67EF" w:rsidR="001E6B21" w:rsidRPr="001E6B21" w:rsidRDefault="001E6B21" w:rsidP="001E6B21">
      <w:pPr>
        <w:rPr>
          <w:b/>
        </w:rPr>
      </w:pPr>
      <w:r w:rsidRPr="000C09A7">
        <w:rPr>
          <w:b/>
        </w:rPr>
        <w:t>Staff Groups affected by policy:</w:t>
      </w:r>
      <w:r w:rsidR="002C16FA">
        <w:rPr>
          <w:b/>
        </w:rPr>
        <w:t xml:space="preserve"> </w:t>
      </w:r>
      <w:r w:rsidR="00273B77" w:rsidRPr="00273B77">
        <w:t>All staff</w:t>
      </w:r>
    </w:p>
    <w:p w14:paraId="6FD2053D" w14:textId="33BBABB5" w:rsidR="001E6B21" w:rsidRPr="00273B77" w:rsidRDefault="001E6B21" w:rsidP="001E6B21">
      <w:r w:rsidRPr="00832DB4">
        <w:rPr>
          <w:b/>
        </w:rPr>
        <w:t>Subsidiary Companies affected by policy:</w:t>
      </w:r>
      <w:r w:rsidR="002C16FA">
        <w:rPr>
          <w:b/>
        </w:rPr>
        <w:t xml:space="preserve"> </w:t>
      </w:r>
      <w:r w:rsidR="00273B77" w:rsidRPr="00273B77">
        <w:t>Spencer Private Hospitals</w:t>
      </w:r>
    </w:p>
    <w:p w14:paraId="671FE8A0" w14:textId="77777777" w:rsidR="001E6B21" w:rsidRDefault="001E6B21" w:rsidP="005F08FC">
      <w:r w:rsidRPr="000C09A7">
        <w:rPr>
          <w:b/>
        </w:rPr>
        <w:t>Detail changes to current processes or practice:</w:t>
      </w:r>
    </w:p>
    <w:p w14:paraId="4E2C240E" w14:textId="7693986A" w:rsidR="001E6B21" w:rsidRPr="002E7061" w:rsidRDefault="003077CB" w:rsidP="008F54C0">
      <w:pPr>
        <w:pStyle w:val="ListParagraph"/>
        <w:numPr>
          <w:ilvl w:val="0"/>
          <w:numId w:val="5"/>
        </w:numPr>
      </w:pPr>
      <w:r w:rsidRPr="002E7061">
        <w:t>Strengthened health inequalities section in accordance with latest NHSE guidance</w:t>
      </w:r>
      <w:r w:rsidR="00AD7001">
        <w:t xml:space="preserve"> and Equality Impact Assessment findings</w:t>
      </w:r>
      <w:r w:rsidR="003268CF">
        <w:t xml:space="preserve"> and within the scope of this policy</w:t>
      </w:r>
    </w:p>
    <w:p w14:paraId="24DA80EC" w14:textId="66DCA64E" w:rsidR="003077CB" w:rsidRPr="002E7061" w:rsidRDefault="003077CB" w:rsidP="008F54C0">
      <w:pPr>
        <w:pStyle w:val="ListParagraph"/>
        <w:numPr>
          <w:ilvl w:val="0"/>
          <w:numId w:val="5"/>
        </w:numPr>
      </w:pPr>
      <w:r w:rsidRPr="002E7061">
        <w:t xml:space="preserve">Reviewed and updated </w:t>
      </w:r>
      <w:r w:rsidR="002E7061" w:rsidRPr="002E7061">
        <w:t>throughout in relation to NHSE Being Fair Tool</w:t>
      </w:r>
    </w:p>
    <w:p w14:paraId="192DDB50" w14:textId="4814FE31" w:rsidR="003077CB" w:rsidRDefault="002E7061" w:rsidP="008F54C0">
      <w:pPr>
        <w:pStyle w:val="ListParagraph"/>
        <w:numPr>
          <w:ilvl w:val="0"/>
          <w:numId w:val="5"/>
        </w:numPr>
      </w:pPr>
      <w:r w:rsidRPr="002E7061">
        <w:t>Clarified the</w:t>
      </w:r>
      <w:r w:rsidR="003077CB" w:rsidRPr="002E7061">
        <w:t xml:space="preserve"> oversight </w:t>
      </w:r>
      <w:r w:rsidRPr="002E7061">
        <w:t>requirements to specify care group responsibilities and</w:t>
      </w:r>
      <w:r w:rsidR="003077CB" w:rsidRPr="002E7061">
        <w:t xml:space="preserve"> reflect current practice in relation to LRAP</w:t>
      </w:r>
    </w:p>
    <w:p w14:paraId="68686FEC" w14:textId="5F189CCB" w:rsidR="00F74C01" w:rsidRDefault="00F74C01" w:rsidP="008F54C0">
      <w:pPr>
        <w:pStyle w:val="ListParagraph"/>
        <w:numPr>
          <w:ilvl w:val="0"/>
          <w:numId w:val="5"/>
        </w:numPr>
        <w:spacing w:before="120"/>
      </w:pPr>
      <w:r>
        <w:t>Adoption of NHSE, HSIB and Learn Together (2022)</w:t>
      </w:r>
    </w:p>
    <w:p w14:paraId="4E43F8B4" w14:textId="05327F4B" w:rsidR="007D1584" w:rsidRPr="002E7061" w:rsidRDefault="007D1584" w:rsidP="008F54C0">
      <w:pPr>
        <w:pStyle w:val="ListParagraph"/>
        <w:numPr>
          <w:ilvl w:val="0"/>
          <w:numId w:val="5"/>
        </w:numPr>
        <w:spacing w:before="120"/>
      </w:pPr>
      <w:r>
        <w:t>Adoption of HFIX and iFACES in relation to safety action development</w:t>
      </w:r>
    </w:p>
    <w:p w14:paraId="0E701670" w14:textId="70829C55" w:rsidR="001E6B21" w:rsidRDefault="001E6B21" w:rsidP="005F08FC">
      <w:r w:rsidRPr="000C09A7">
        <w:rPr>
          <w:b/>
        </w:rPr>
        <w:t>Specify any training requirements:</w:t>
      </w:r>
    </w:p>
    <w:p w14:paraId="487D06FF" w14:textId="5CEB15E9" w:rsidR="002E7061" w:rsidRDefault="002E7061" w:rsidP="002E7061">
      <w:r w:rsidRPr="002E7061">
        <w:t xml:space="preserve">See Table 1 </w:t>
      </w:r>
    </w:p>
    <w:p w14:paraId="57A99552" w14:textId="77777777" w:rsidR="001E6B21" w:rsidRDefault="001E6B21" w:rsidP="005F08FC">
      <w:r w:rsidRPr="000C09A7">
        <w:rPr>
          <w:b/>
        </w:rPr>
        <w:t>How will policy changes be communicated to staff groups</w:t>
      </w:r>
      <w:r>
        <w:rPr>
          <w:b/>
        </w:rPr>
        <w:t>/ subsidiary companies</w:t>
      </w:r>
      <w:r w:rsidRPr="000C09A7">
        <w:rPr>
          <w:b/>
        </w:rPr>
        <w:t>?</w:t>
      </w:r>
    </w:p>
    <w:p w14:paraId="3A4DF53C" w14:textId="314B3C94" w:rsidR="00273B77" w:rsidRDefault="00273B77" w:rsidP="00273B77">
      <w:pPr>
        <w:pStyle w:val="ListParagraph"/>
        <w:numPr>
          <w:ilvl w:val="0"/>
          <w:numId w:val="4"/>
        </w:numPr>
      </w:pPr>
      <w:r>
        <w:t>Patient safety communication cascade to care groups and via care group governance staff (including Spencer Private Hospitals)</w:t>
      </w:r>
    </w:p>
    <w:p w14:paraId="338A01EA" w14:textId="7FA99F66" w:rsidR="00273B77" w:rsidRDefault="00273B77" w:rsidP="00273B77">
      <w:pPr>
        <w:pStyle w:val="ListParagraph"/>
        <w:numPr>
          <w:ilvl w:val="0"/>
          <w:numId w:val="4"/>
        </w:numPr>
      </w:pPr>
      <w:r>
        <w:t>Policy update within Trust News</w:t>
      </w:r>
    </w:p>
    <w:sectPr w:rsidR="00273B77" w:rsidSect="006E79A1">
      <w:headerReference w:type="first" r:id="rId30"/>
      <w:footerReference w:type="first" r:id="rId31"/>
      <w:pgSz w:w="11906" w:h="16838" w:code="9"/>
      <w:pgMar w:top="1383" w:right="1134" w:bottom="1440" w:left="1276" w:header="6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CCF7" w14:textId="77777777" w:rsidR="005558DF" w:rsidRDefault="005558DF">
      <w:r>
        <w:separator/>
      </w:r>
    </w:p>
  </w:endnote>
  <w:endnote w:type="continuationSeparator" w:id="0">
    <w:p w14:paraId="3100B6C5" w14:textId="77777777" w:rsidR="005558DF" w:rsidRDefault="0055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4BB7" w14:textId="77777777" w:rsidR="00F73E7A" w:rsidRPr="00E7033D" w:rsidRDefault="00F73E7A">
    <w:pPr>
      <w:pStyle w:val="Footer"/>
      <w:jc w:val="center"/>
      <w:rPr>
        <w:sz w:val="20"/>
        <w:szCs w:val="20"/>
      </w:rP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sidRPr="00E7033D">
      <w:rPr>
        <w:b/>
        <w:bCs/>
        <w:noProof/>
        <w:sz w:val="20"/>
        <w:szCs w:val="20"/>
      </w:rPr>
      <w:t>16</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sidRPr="00E7033D">
      <w:rPr>
        <w:b/>
        <w:bCs/>
        <w:noProof/>
        <w:sz w:val="20"/>
        <w:szCs w:val="20"/>
      </w:rPr>
      <w:t>28</w:t>
    </w:r>
    <w:r w:rsidRPr="00E7033D">
      <w:rPr>
        <w:b/>
        <w:bCs/>
        <w:sz w:val="20"/>
        <w:szCs w:val="20"/>
      </w:rPr>
      <w:fldChar w:fldCharType="end"/>
    </w:r>
  </w:p>
  <w:p w14:paraId="5B72B81F" w14:textId="77777777" w:rsidR="00F73E7A" w:rsidRDefault="00F73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D906" w14:textId="77777777" w:rsidR="00F73E7A" w:rsidRDefault="00F73E7A" w:rsidP="006B4B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6D6E" w14:textId="0F8C9A6B" w:rsidR="00F73E7A" w:rsidRPr="00E7033D" w:rsidRDefault="00F73E7A" w:rsidP="007E68E2">
    <w:pPr>
      <w:pStyle w:val="Footer"/>
      <w:jc w:val="center"/>
      <w:rPr>
        <w:sz w:val="20"/>
        <w:szCs w:val="20"/>
      </w:rP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Pr>
        <w:b/>
        <w:bCs/>
        <w:sz w:val="20"/>
        <w:szCs w:val="20"/>
      </w:rPr>
      <w:t>33</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Pr>
        <w:b/>
        <w:bCs/>
        <w:sz w:val="20"/>
        <w:szCs w:val="20"/>
      </w:rPr>
      <w:t>33</w:t>
    </w:r>
    <w:r w:rsidRPr="00E7033D">
      <w:rPr>
        <w:b/>
        <w:bCs/>
        <w:sz w:val="20"/>
        <w:szCs w:val="20"/>
      </w:rPr>
      <w:fldChar w:fldCharType="end"/>
    </w:r>
  </w:p>
  <w:p w14:paraId="5EEE6A51" w14:textId="14767FDB" w:rsidR="00F73E7A" w:rsidRDefault="00F73E7A" w:rsidP="007E68E2">
    <w:pPr>
      <w:pStyle w:val="Footer"/>
      <w:tabs>
        <w:tab w:val="left" w:pos="82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209A" w14:textId="0EBCC72F" w:rsidR="00F73E7A" w:rsidRDefault="00F73E7A" w:rsidP="003268CF">
    <w:pPr>
      <w:pStyle w:val="Footer"/>
      <w:jc w:val="center"/>
      <w:rPr>
        <w:b/>
        <w:bCs/>
        <w:sz w:val="20"/>
        <w:szCs w:val="20"/>
      </w:rP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Pr>
        <w:b/>
        <w:bCs/>
        <w:sz w:val="20"/>
        <w:szCs w:val="20"/>
      </w:rPr>
      <w:t>33</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Pr>
        <w:b/>
        <w:bCs/>
        <w:sz w:val="20"/>
        <w:szCs w:val="20"/>
      </w:rPr>
      <w:t>33</w:t>
    </w:r>
    <w:r w:rsidRPr="00E7033D">
      <w:rPr>
        <w:b/>
        <w:bCs/>
        <w:sz w:val="20"/>
        <w:szCs w:val="20"/>
      </w:rPr>
      <w:fldChar w:fldCharType="end"/>
    </w:r>
  </w:p>
  <w:p w14:paraId="7B320E1E" w14:textId="77777777" w:rsidR="00F73E7A" w:rsidRDefault="00F73E7A" w:rsidP="003268C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A0F7" w14:textId="4A549001" w:rsidR="00F73E7A" w:rsidRDefault="00F73E7A" w:rsidP="003268CF">
    <w:pPr>
      <w:pStyle w:val="Footer"/>
      <w:jc w:val="cente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Pr>
        <w:b/>
        <w:bCs/>
        <w:sz w:val="20"/>
        <w:szCs w:val="20"/>
      </w:rPr>
      <w:t>33</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Pr>
        <w:b/>
        <w:bCs/>
        <w:sz w:val="20"/>
        <w:szCs w:val="20"/>
      </w:rPr>
      <w:t>33</w:t>
    </w:r>
    <w:r w:rsidRPr="00E7033D">
      <w:rPr>
        <w:b/>
        <w:bCs/>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AC3B" w14:textId="77777777" w:rsidR="00F73E7A" w:rsidRPr="00E7033D" w:rsidRDefault="00F73E7A" w:rsidP="007E68E2">
    <w:pPr>
      <w:pStyle w:val="Footer"/>
      <w:jc w:val="center"/>
      <w:rPr>
        <w:sz w:val="20"/>
        <w:szCs w:val="20"/>
      </w:rP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Pr>
        <w:b/>
        <w:bCs/>
        <w:sz w:val="20"/>
        <w:szCs w:val="20"/>
      </w:rPr>
      <w:t>33</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Pr>
        <w:b/>
        <w:bCs/>
        <w:sz w:val="20"/>
        <w:szCs w:val="20"/>
      </w:rPr>
      <w:t>33</w:t>
    </w:r>
    <w:r w:rsidRPr="00E7033D">
      <w:rPr>
        <w:b/>
        <w:bCs/>
        <w:sz w:val="20"/>
        <w:szCs w:val="20"/>
      </w:rPr>
      <w:fldChar w:fldCharType="end"/>
    </w:r>
  </w:p>
  <w:p w14:paraId="1033BBDC" w14:textId="77777777" w:rsidR="00F73E7A" w:rsidRDefault="00F73E7A" w:rsidP="006B4B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795C" w14:textId="77777777" w:rsidR="005558DF" w:rsidRDefault="005558DF">
      <w:r>
        <w:separator/>
      </w:r>
    </w:p>
  </w:footnote>
  <w:footnote w:type="continuationSeparator" w:id="0">
    <w:p w14:paraId="7117A718" w14:textId="77777777" w:rsidR="005558DF" w:rsidRDefault="0055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D560" w14:textId="77777777" w:rsidR="00F73E7A" w:rsidRDefault="00F73E7A" w:rsidP="001141D6">
    <w:pPr>
      <w:pStyle w:val="Header"/>
      <w:jc w:val="right"/>
    </w:pPr>
  </w:p>
  <w:p w14:paraId="168E69DE" w14:textId="77777777" w:rsidR="00F73E7A" w:rsidRPr="003B4F94" w:rsidRDefault="00F73E7A" w:rsidP="0015790D">
    <w:pPr>
      <w:pStyle w:val="Header"/>
      <w:jc w:val="center"/>
      <w:rPr>
        <w:rFonts w:ascii="Arial Bold" w:hAnsi="Arial Bold"/>
        <w:b/>
        <w:vanish/>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15FF" w14:textId="77777777" w:rsidR="00F73E7A" w:rsidRDefault="00F73E7A" w:rsidP="001141D6">
    <w:pPr>
      <w:pStyle w:val="Header"/>
      <w:jc w:val="right"/>
    </w:pPr>
    <w:r w:rsidRPr="0034311A">
      <w:rPr>
        <w:rFonts w:cs="Arial"/>
        <w:noProof/>
      </w:rPr>
      <w:drawing>
        <wp:inline distT="0" distB="0" distL="0" distR="0" wp14:anchorId="5B17696C" wp14:editId="2C34362B">
          <wp:extent cx="2220595" cy="1004570"/>
          <wp:effectExtent l="0" t="0" r="8255" b="5080"/>
          <wp:docPr id="116" name="Picture 3" descr="East Kent Hospitals University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Kent Hospitals University NHS Foundation Trust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0595" cy="1004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B0EF" w14:textId="6CE83F8F" w:rsidR="00F73E7A" w:rsidRDefault="00F73E7A" w:rsidP="001141D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98B4" w14:textId="77777777" w:rsidR="00F73E7A" w:rsidRDefault="00F73E7A" w:rsidP="001141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4C1"/>
    <w:multiLevelType w:val="hybridMultilevel"/>
    <w:tmpl w:val="A408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34AE"/>
    <w:multiLevelType w:val="hybridMultilevel"/>
    <w:tmpl w:val="623C2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05BC0"/>
    <w:multiLevelType w:val="hybridMultilevel"/>
    <w:tmpl w:val="9FDAEDE6"/>
    <w:lvl w:ilvl="0" w:tplc="A1FCEC94">
      <w:start w:val="1"/>
      <w:numFmt w:val="decimal"/>
      <w:lvlText w:val="%1."/>
      <w:lvlJc w:val="left"/>
      <w:pPr>
        <w:ind w:left="720" w:hanging="360"/>
      </w:pPr>
      <w:rPr>
        <w:rFonts w:cs="Calibri" w:hint="default"/>
        <w:color w:val="FFFFF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B59D8"/>
    <w:multiLevelType w:val="multilevel"/>
    <w:tmpl w:val="0809001F"/>
    <w:styleLink w:val="PolicyBullet"/>
    <w:lvl w:ilvl="0">
      <w:start w:val="1"/>
      <w:numFmt w:val="decimal"/>
      <w:lvlText w:val="%1."/>
      <w:lvlJc w:val="left"/>
      <w:pPr>
        <w:ind w:left="567" w:hanging="360"/>
      </w:pPr>
      <w:rPr>
        <w:rFonts w:ascii="Arial" w:hAnsi="Arial" w:hint="default"/>
        <w:b w:val="0"/>
        <w:sz w:val="22"/>
      </w:rPr>
    </w:lvl>
    <w:lvl w:ilvl="1">
      <w:start w:val="1"/>
      <w:numFmt w:val="decimal"/>
      <w:lvlText w:val="%1.%2."/>
      <w:lvlJc w:val="left"/>
      <w:pPr>
        <w:ind w:left="639" w:hanging="432"/>
      </w:pPr>
      <w:rPr>
        <w:rFonts w:ascii="Arial" w:hAnsi="Arial"/>
        <w:b w:val="0"/>
        <w:bCs/>
        <w:sz w:val="22"/>
      </w:rPr>
    </w:lvl>
    <w:lvl w:ilvl="2">
      <w:start w:val="1"/>
      <w:numFmt w:val="decimal"/>
      <w:lvlText w:val="%1.%2.%3."/>
      <w:lvlJc w:val="left"/>
      <w:pPr>
        <w:ind w:left="711" w:hanging="504"/>
      </w:pPr>
    </w:lvl>
    <w:lvl w:ilvl="3">
      <w:start w:val="1"/>
      <w:numFmt w:val="decimal"/>
      <w:lvlText w:val="%1.%2.%3.%4."/>
      <w:lvlJc w:val="left"/>
      <w:pPr>
        <w:ind w:left="855" w:hanging="648"/>
      </w:pPr>
      <w:rPr>
        <w:b w:val="0"/>
      </w:rPr>
    </w:lvl>
    <w:lvl w:ilvl="4">
      <w:start w:val="1"/>
      <w:numFmt w:val="decimal"/>
      <w:lvlText w:val="%1.%2.%3.%4.%5."/>
      <w:lvlJc w:val="left"/>
      <w:pPr>
        <w:ind w:left="2439" w:hanging="792"/>
      </w:pPr>
    </w:lvl>
    <w:lvl w:ilvl="5">
      <w:start w:val="1"/>
      <w:numFmt w:val="decimal"/>
      <w:lvlText w:val="%1.%2.%3.%4.%5.%6."/>
      <w:lvlJc w:val="left"/>
      <w:pPr>
        <w:ind w:left="2943" w:hanging="936"/>
      </w:pPr>
    </w:lvl>
    <w:lvl w:ilvl="6">
      <w:start w:val="1"/>
      <w:numFmt w:val="decimal"/>
      <w:lvlText w:val="%1.%2.%3.%4.%5.%6.%7."/>
      <w:lvlJc w:val="left"/>
      <w:pPr>
        <w:ind w:left="3447" w:hanging="1080"/>
      </w:pPr>
    </w:lvl>
    <w:lvl w:ilvl="7">
      <w:start w:val="1"/>
      <w:numFmt w:val="decimal"/>
      <w:lvlText w:val="%1.%2.%3.%4.%5.%6.%7.%8."/>
      <w:lvlJc w:val="left"/>
      <w:pPr>
        <w:ind w:left="3951" w:hanging="1224"/>
      </w:pPr>
    </w:lvl>
    <w:lvl w:ilvl="8">
      <w:start w:val="1"/>
      <w:numFmt w:val="decimal"/>
      <w:lvlText w:val="%1.%2.%3.%4.%5.%6.%7.%8.%9."/>
      <w:lvlJc w:val="left"/>
      <w:pPr>
        <w:ind w:left="4527" w:hanging="1440"/>
      </w:pPr>
    </w:lvl>
  </w:abstractNum>
  <w:abstractNum w:abstractNumId="4" w15:restartNumberingAfterBreak="0">
    <w:nsid w:val="08084E3C"/>
    <w:multiLevelType w:val="hybridMultilevel"/>
    <w:tmpl w:val="19E27B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63D1E"/>
    <w:multiLevelType w:val="hybridMultilevel"/>
    <w:tmpl w:val="F07E9BD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B04514A"/>
    <w:multiLevelType w:val="hybridMultilevel"/>
    <w:tmpl w:val="847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713AD"/>
    <w:multiLevelType w:val="multilevel"/>
    <w:tmpl w:val="D6E237E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A33C8"/>
    <w:multiLevelType w:val="hybridMultilevel"/>
    <w:tmpl w:val="9848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730FD"/>
    <w:multiLevelType w:val="hybridMultilevel"/>
    <w:tmpl w:val="19AC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715D0"/>
    <w:multiLevelType w:val="hybridMultilevel"/>
    <w:tmpl w:val="1B52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7210D"/>
    <w:multiLevelType w:val="hybridMultilevel"/>
    <w:tmpl w:val="296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1F039F"/>
    <w:multiLevelType w:val="hybridMultilevel"/>
    <w:tmpl w:val="0EDE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C5F54"/>
    <w:multiLevelType w:val="multilevel"/>
    <w:tmpl w:val="26F84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53A3D"/>
    <w:multiLevelType w:val="hybridMultilevel"/>
    <w:tmpl w:val="C91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B7922"/>
    <w:multiLevelType w:val="hybridMultilevel"/>
    <w:tmpl w:val="B51E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93817"/>
    <w:multiLevelType w:val="multilevel"/>
    <w:tmpl w:val="08CE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C41ED"/>
    <w:multiLevelType w:val="multilevel"/>
    <w:tmpl w:val="5CA20F68"/>
    <w:styleLink w:val="Bulletstyleforpolicies"/>
    <w:lvl w:ilvl="0">
      <w:start w:val="1"/>
      <w:numFmt w:val="decimal"/>
      <w:lvlText w:val="%1."/>
      <w:lvlJc w:val="left"/>
      <w:pPr>
        <w:ind w:left="360" w:hanging="360"/>
      </w:pPr>
      <w:rPr>
        <w:rFonts w:ascii="Arial" w:hAnsi="Arial"/>
        <w:b/>
        <w:sz w:val="28"/>
      </w:rPr>
    </w:lvl>
    <w:lvl w:ilvl="1">
      <w:start w:val="1"/>
      <w:numFmt w:val="decimal"/>
      <w:lvlText w:val="%1.%2."/>
      <w:lvlJc w:val="left"/>
      <w:pPr>
        <w:ind w:left="432" w:hanging="432"/>
      </w:pPr>
      <w:rPr>
        <w:rFonts w:ascii="Arial" w:hAnsi="Arial"/>
        <w:sz w:val="22"/>
      </w:rPr>
    </w:lvl>
    <w:lvl w:ilvl="2">
      <w:start w:val="1"/>
      <w:numFmt w:val="decimal"/>
      <w:lvlText w:val="%1.%2.%3."/>
      <w:lvlJc w:val="left"/>
      <w:pPr>
        <w:ind w:left="504" w:hanging="504"/>
      </w:pPr>
      <w:rPr>
        <w:rFonts w:ascii="Arial" w:hAnsi="Arial"/>
        <w:sz w:val="22"/>
      </w:rPr>
    </w:lvl>
    <w:lvl w:ilvl="3">
      <w:start w:val="1"/>
      <w:numFmt w:val="decimal"/>
      <w:lvlText w:val="%1.%2.%3.%4."/>
      <w:lvlJc w:val="left"/>
      <w:pPr>
        <w:ind w:left="648" w:hanging="648"/>
      </w:pPr>
      <w:rPr>
        <w:rFonts w:ascii="Arial" w:hAnsi="Arial"/>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0498A"/>
    <w:multiLevelType w:val="multilevel"/>
    <w:tmpl w:val="0BAE7E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8398B"/>
    <w:multiLevelType w:val="hybridMultilevel"/>
    <w:tmpl w:val="82D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C68F6"/>
    <w:multiLevelType w:val="hybridMultilevel"/>
    <w:tmpl w:val="FB0C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84E24"/>
    <w:multiLevelType w:val="hybridMultilevel"/>
    <w:tmpl w:val="DB4C8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731AE4"/>
    <w:multiLevelType w:val="hybridMultilevel"/>
    <w:tmpl w:val="9AD2F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C3F36"/>
    <w:multiLevelType w:val="hybridMultilevel"/>
    <w:tmpl w:val="7D3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E4BD3"/>
    <w:multiLevelType w:val="hybridMultilevel"/>
    <w:tmpl w:val="41AE0666"/>
    <w:lvl w:ilvl="0" w:tplc="5544A39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65144"/>
    <w:multiLevelType w:val="hybridMultilevel"/>
    <w:tmpl w:val="C412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A1D67"/>
    <w:multiLevelType w:val="hybridMultilevel"/>
    <w:tmpl w:val="63344382"/>
    <w:lvl w:ilvl="0" w:tplc="4498C74A">
      <w:start w:val="1"/>
      <w:numFmt w:val="bullet"/>
      <w:lvlText w:val="o"/>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C2934"/>
    <w:multiLevelType w:val="hybridMultilevel"/>
    <w:tmpl w:val="D7686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C1441"/>
    <w:multiLevelType w:val="hybridMultilevel"/>
    <w:tmpl w:val="8EB4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23065"/>
    <w:multiLevelType w:val="hybridMultilevel"/>
    <w:tmpl w:val="86F876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52F75BB"/>
    <w:multiLevelType w:val="hybridMultilevel"/>
    <w:tmpl w:val="A9AA8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6E4893"/>
    <w:multiLevelType w:val="hybridMultilevel"/>
    <w:tmpl w:val="C5C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B3694"/>
    <w:multiLevelType w:val="hybridMultilevel"/>
    <w:tmpl w:val="FDD46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9736CA"/>
    <w:multiLevelType w:val="multilevel"/>
    <w:tmpl w:val="7DC2F726"/>
    <w:lvl w:ilvl="0">
      <w:start w:val="1"/>
      <w:numFmt w:val="decimal"/>
      <w:lvlText w:val="%1."/>
      <w:lvlJc w:val="left"/>
      <w:pPr>
        <w:ind w:left="360" w:hanging="360"/>
      </w:pPr>
      <w:rPr>
        <w:rFonts w:hint="default"/>
      </w:rPr>
    </w:lvl>
    <w:lvl w:ilvl="1">
      <w:start w:val="1"/>
      <w:numFmt w:val="decimal"/>
      <w:lvlText w:val="%1.%2."/>
      <w:lvlJc w:val="left"/>
      <w:pPr>
        <w:ind w:left="792" w:hanging="79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CD278D"/>
    <w:multiLevelType w:val="hybridMultilevel"/>
    <w:tmpl w:val="F20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DC67A4"/>
    <w:multiLevelType w:val="hybridMultilevel"/>
    <w:tmpl w:val="666CB610"/>
    <w:lvl w:ilvl="0" w:tplc="31304730">
      <w:start w:val="1"/>
      <w:numFmt w:val="decimal"/>
      <w:lvlText w:val="%1."/>
      <w:lvlJc w:val="left"/>
      <w:pPr>
        <w:ind w:left="720" w:hanging="360"/>
      </w:pPr>
      <w:rPr>
        <w:rFonts w:ascii="Calibri" w:hAnsi="Calibri" w:cs="Calibri" w:hint="default"/>
        <w:color w:val="FFFFFF"/>
        <w:sz w:val="1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322DCB"/>
    <w:multiLevelType w:val="hybridMultilevel"/>
    <w:tmpl w:val="082CD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4B5782"/>
    <w:multiLevelType w:val="hybridMultilevel"/>
    <w:tmpl w:val="CBB2F478"/>
    <w:lvl w:ilvl="0" w:tplc="223EE858">
      <w:start w:val="1"/>
      <w:numFmt w:val="decimal"/>
      <w:lvlText w:val="%1."/>
      <w:lvlJc w:val="left"/>
      <w:pPr>
        <w:ind w:left="720" w:hanging="360"/>
      </w:pPr>
      <w:rPr>
        <w:rFonts w:ascii="Arial" w:hAnsi="Arial"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B72AF"/>
    <w:multiLevelType w:val="multilevel"/>
    <w:tmpl w:val="AEF47C62"/>
    <w:lvl w:ilvl="0">
      <w:start w:val="1"/>
      <w:numFmt w:val="decimal"/>
      <w:pStyle w:val="Policyheader"/>
      <w:lvlText w:val="%1."/>
      <w:lvlJc w:val="left"/>
      <w:pPr>
        <w:ind w:left="360" w:hanging="360"/>
      </w:pPr>
    </w:lvl>
    <w:lvl w:ilvl="1">
      <w:start w:val="1"/>
      <w:numFmt w:val="decimal"/>
      <w:pStyle w:val="Policybulletlevel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bulletLevel3"/>
      <w:lvlText w:val="%1.%2.%3."/>
      <w:lvlJc w:val="left"/>
      <w:pPr>
        <w:ind w:left="1497"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icybulletlevel4"/>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8"/>
  </w:num>
  <w:num w:numId="3">
    <w:abstractNumId w:val="17"/>
  </w:num>
  <w:num w:numId="4">
    <w:abstractNumId w:val="1"/>
  </w:num>
  <w:num w:numId="5">
    <w:abstractNumId w:val="30"/>
  </w:num>
  <w:num w:numId="6">
    <w:abstractNumId w:val="18"/>
  </w:num>
  <w:num w:numId="7">
    <w:abstractNumId w:val="14"/>
  </w:num>
  <w:num w:numId="8">
    <w:abstractNumId w:val="0"/>
  </w:num>
  <w:num w:numId="9">
    <w:abstractNumId w:val="11"/>
  </w:num>
  <w:num w:numId="10">
    <w:abstractNumId w:val="6"/>
  </w:num>
  <w:num w:numId="11">
    <w:abstractNumId w:val="12"/>
  </w:num>
  <w:num w:numId="12">
    <w:abstractNumId w:val="19"/>
  </w:num>
  <w:num w:numId="13">
    <w:abstractNumId w:val="23"/>
  </w:num>
  <w:num w:numId="14">
    <w:abstractNumId w:val="15"/>
  </w:num>
  <w:num w:numId="15">
    <w:abstractNumId w:val="20"/>
  </w:num>
  <w:num w:numId="16">
    <w:abstractNumId w:val="31"/>
  </w:num>
  <w:num w:numId="17">
    <w:abstractNumId w:val="10"/>
  </w:num>
  <w:num w:numId="18">
    <w:abstractNumId w:val="9"/>
  </w:num>
  <w:num w:numId="19">
    <w:abstractNumId w:val="25"/>
  </w:num>
  <w:num w:numId="20">
    <w:abstractNumId w:val="29"/>
  </w:num>
  <w:num w:numId="21">
    <w:abstractNumId w:val="21"/>
  </w:num>
  <w:num w:numId="22">
    <w:abstractNumId w:val="7"/>
  </w:num>
  <w:num w:numId="23">
    <w:abstractNumId w:val="16"/>
  </w:num>
  <w:num w:numId="24">
    <w:abstractNumId w:val="26"/>
  </w:num>
  <w:num w:numId="25">
    <w:abstractNumId w:val="24"/>
  </w:num>
  <w:num w:numId="26">
    <w:abstractNumId w:val="13"/>
  </w:num>
  <w:num w:numId="27">
    <w:abstractNumId w:val="37"/>
  </w:num>
  <w:num w:numId="28">
    <w:abstractNumId w:val="33"/>
  </w:num>
  <w:num w:numId="29">
    <w:abstractNumId w:val="8"/>
  </w:num>
  <w:num w:numId="30">
    <w:abstractNumId w:val="4"/>
  </w:num>
  <w:num w:numId="31">
    <w:abstractNumId w:val="36"/>
  </w:num>
  <w:num w:numId="32">
    <w:abstractNumId w:val="5"/>
  </w:num>
  <w:num w:numId="33">
    <w:abstractNumId w:val="35"/>
  </w:num>
  <w:num w:numId="34">
    <w:abstractNumId w:val="2"/>
  </w:num>
  <w:num w:numId="35">
    <w:abstractNumId w:val="27"/>
  </w:num>
  <w:num w:numId="36">
    <w:abstractNumId w:val="34"/>
  </w:num>
  <w:num w:numId="37">
    <w:abstractNumId w:val="32"/>
  </w:num>
  <w:num w:numId="38">
    <w:abstractNumId w:val="28"/>
  </w:num>
  <w:num w:numId="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linkStyle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851"/>
  <w:characterSpacingControl w:val="doNotCompress"/>
  <w:hdrShapeDefaults>
    <o:shapedefaults v:ext="edit" spidmax="2049" fill="f" fillcolor="white">
      <v:fill color="white" on="f"/>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0C"/>
    <w:rsid w:val="000014C7"/>
    <w:rsid w:val="000014D6"/>
    <w:rsid w:val="0000165C"/>
    <w:rsid w:val="00003E4D"/>
    <w:rsid w:val="00007983"/>
    <w:rsid w:val="000110B3"/>
    <w:rsid w:val="000114AB"/>
    <w:rsid w:val="00013AE1"/>
    <w:rsid w:val="00013CC4"/>
    <w:rsid w:val="00014BF2"/>
    <w:rsid w:val="000160C9"/>
    <w:rsid w:val="000176F0"/>
    <w:rsid w:val="0002072E"/>
    <w:rsid w:val="0002113C"/>
    <w:rsid w:val="000214AC"/>
    <w:rsid w:val="00021B57"/>
    <w:rsid w:val="00022AD0"/>
    <w:rsid w:val="000230A0"/>
    <w:rsid w:val="00023206"/>
    <w:rsid w:val="000235C7"/>
    <w:rsid w:val="000235FC"/>
    <w:rsid w:val="00025230"/>
    <w:rsid w:val="00026647"/>
    <w:rsid w:val="00027992"/>
    <w:rsid w:val="000319B8"/>
    <w:rsid w:val="00031F48"/>
    <w:rsid w:val="000324DE"/>
    <w:rsid w:val="000326E2"/>
    <w:rsid w:val="00033511"/>
    <w:rsid w:val="000343DE"/>
    <w:rsid w:val="00035A7E"/>
    <w:rsid w:val="00036316"/>
    <w:rsid w:val="00036C6C"/>
    <w:rsid w:val="000405F7"/>
    <w:rsid w:val="00041529"/>
    <w:rsid w:val="00041855"/>
    <w:rsid w:val="00042C20"/>
    <w:rsid w:val="000455C0"/>
    <w:rsid w:val="00047B73"/>
    <w:rsid w:val="00047FBA"/>
    <w:rsid w:val="000502C9"/>
    <w:rsid w:val="000515EF"/>
    <w:rsid w:val="00051810"/>
    <w:rsid w:val="0005240A"/>
    <w:rsid w:val="00052EB3"/>
    <w:rsid w:val="00053587"/>
    <w:rsid w:val="00054477"/>
    <w:rsid w:val="00055FAA"/>
    <w:rsid w:val="00057F72"/>
    <w:rsid w:val="00060E68"/>
    <w:rsid w:val="00061F2E"/>
    <w:rsid w:val="000634AD"/>
    <w:rsid w:val="000634C9"/>
    <w:rsid w:val="00063D70"/>
    <w:rsid w:val="00064C60"/>
    <w:rsid w:val="000654AB"/>
    <w:rsid w:val="00066B57"/>
    <w:rsid w:val="00066D76"/>
    <w:rsid w:val="00066DDA"/>
    <w:rsid w:val="00070B42"/>
    <w:rsid w:val="000710AE"/>
    <w:rsid w:val="00073398"/>
    <w:rsid w:val="000741BC"/>
    <w:rsid w:val="00074BA0"/>
    <w:rsid w:val="000773F2"/>
    <w:rsid w:val="00077752"/>
    <w:rsid w:val="00077822"/>
    <w:rsid w:val="00077D24"/>
    <w:rsid w:val="0008156F"/>
    <w:rsid w:val="00082BE5"/>
    <w:rsid w:val="0008312D"/>
    <w:rsid w:val="00083194"/>
    <w:rsid w:val="0008484F"/>
    <w:rsid w:val="00084FF1"/>
    <w:rsid w:val="00085489"/>
    <w:rsid w:val="00086089"/>
    <w:rsid w:val="000868BF"/>
    <w:rsid w:val="000873C7"/>
    <w:rsid w:val="000903C7"/>
    <w:rsid w:val="00091A3C"/>
    <w:rsid w:val="00092115"/>
    <w:rsid w:val="00095BB3"/>
    <w:rsid w:val="00095C83"/>
    <w:rsid w:val="00096ABE"/>
    <w:rsid w:val="00096C1E"/>
    <w:rsid w:val="00097021"/>
    <w:rsid w:val="0009740F"/>
    <w:rsid w:val="00097484"/>
    <w:rsid w:val="0009771E"/>
    <w:rsid w:val="000A0E25"/>
    <w:rsid w:val="000A1DF1"/>
    <w:rsid w:val="000A1E88"/>
    <w:rsid w:val="000A20EB"/>
    <w:rsid w:val="000A2D44"/>
    <w:rsid w:val="000A2EF6"/>
    <w:rsid w:val="000A36D8"/>
    <w:rsid w:val="000A38F1"/>
    <w:rsid w:val="000A55DA"/>
    <w:rsid w:val="000A5FF2"/>
    <w:rsid w:val="000B074E"/>
    <w:rsid w:val="000B28D9"/>
    <w:rsid w:val="000B29D9"/>
    <w:rsid w:val="000B4836"/>
    <w:rsid w:val="000B5AEA"/>
    <w:rsid w:val="000B5E5A"/>
    <w:rsid w:val="000B62FF"/>
    <w:rsid w:val="000C0041"/>
    <w:rsid w:val="000C1626"/>
    <w:rsid w:val="000C1958"/>
    <w:rsid w:val="000C39C8"/>
    <w:rsid w:val="000C3CCF"/>
    <w:rsid w:val="000C471D"/>
    <w:rsid w:val="000C58EA"/>
    <w:rsid w:val="000C656A"/>
    <w:rsid w:val="000C6BB5"/>
    <w:rsid w:val="000C6DEE"/>
    <w:rsid w:val="000C7427"/>
    <w:rsid w:val="000C75BB"/>
    <w:rsid w:val="000D084E"/>
    <w:rsid w:val="000D0D5C"/>
    <w:rsid w:val="000D10FE"/>
    <w:rsid w:val="000D4CE4"/>
    <w:rsid w:val="000D5163"/>
    <w:rsid w:val="000D532D"/>
    <w:rsid w:val="000D6F0C"/>
    <w:rsid w:val="000E020D"/>
    <w:rsid w:val="000E0210"/>
    <w:rsid w:val="000E1288"/>
    <w:rsid w:val="000E2226"/>
    <w:rsid w:val="000E249C"/>
    <w:rsid w:val="000E273F"/>
    <w:rsid w:val="000E4679"/>
    <w:rsid w:val="000E5344"/>
    <w:rsid w:val="000E6977"/>
    <w:rsid w:val="000E6D8E"/>
    <w:rsid w:val="000E70C5"/>
    <w:rsid w:val="000F1F63"/>
    <w:rsid w:val="000F23A7"/>
    <w:rsid w:val="000F2C31"/>
    <w:rsid w:val="000F3398"/>
    <w:rsid w:val="000F3D40"/>
    <w:rsid w:val="000F3E64"/>
    <w:rsid w:val="000F4822"/>
    <w:rsid w:val="000F4F67"/>
    <w:rsid w:val="000F52FD"/>
    <w:rsid w:val="000F58E7"/>
    <w:rsid w:val="000F5D69"/>
    <w:rsid w:val="000F635E"/>
    <w:rsid w:val="000F67A1"/>
    <w:rsid w:val="001008C1"/>
    <w:rsid w:val="00100B34"/>
    <w:rsid w:val="00101CC3"/>
    <w:rsid w:val="00101E3A"/>
    <w:rsid w:val="00101E90"/>
    <w:rsid w:val="00102254"/>
    <w:rsid w:val="001023A6"/>
    <w:rsid w:val="00103F74"/>
    <w:rsid w:val="00103F85"/>
    <w:rsid w:val="001056AB"/>
    <w:rsid w:val="001056C5"/>
    <w:rsid w:val="00105E54"/>
    <w:rsid w:val="00106144"/>
    <w:rsid w:val="00107A5F"/>
    <w:rsid w:val="00107AA5"/>
    <w:rsid w:val="001102E5"/>
    <w:rsid w:val="00110441"/>
    <w:rsid w:val="00110505"/>
    <w:rsid w:val="00110BC3"/>
    <w:rsid w:val="00111710"/>
    <w:rsid w:val="0011183D"/>
    <w:rsid w:val="001121D7"/>
    <w:rsid w:val="00112F37"/>
    <w:rsid w:val="001141D6"/>
    <w:rsid w:val="00114494"/>
    <w:rsid w:val="001154D8"/>
    <w:rsid w:val="00115892"/>
    <w:rsid w:val="00120F21"/>
    <w:rsid w:val="00122293"/>
    <w:rsid w:val="00122810"/>
    <w:rsid w:val="00122902"/>
    <w:rsid w:val="00122B0F"/>
    <w:rsid w:val="00122D17"/>
    <w:rsid w:val="001234F9"/>
    <w:rsid w:val="0012411D"/>
    <w:rsid w:val="001243B4"/>
    <w:rsid w:val="00124C28"/>
    <w:rsid w:val="00125833"/>
    <w:rsid w:val="00126043"/>
    <w:rsid w:val="00126D25"/>
    <w:rsid w:val="001272A9"/>
    <w:rsid w:val="00130197"/>
    <w:rsid w:val="00130FE0"/>
    <w:rsid w:val="0013144C"/>
    <w:rsid w:val="001321EA"/>
    <w:rsid w:val="00133850"/>
    <w:rsid w:val="001344D5"/>
    <w:rsid w:val="00134C03"/>
    <w:rsid w:val="00135A78"/>
    <w:rsid w:val="00135F78"/>
    <w:rsid w:val="00136107"/>
    <w:rsid w:val="001378A1"/>
    <w:rsid w:val="00141501"/>
    <w:rsid w:val="00141BE2"/>
    <w:rsid w:val="00142C77"/>
    <w:rsid w:val="00145B6C"/>
    <w:rsid w:val="00146778"/>
    <w:rsid w:val="00146B09"/>
    <w:rsid w:val="00147164"/>
    <w:rsid w:val="0015129C"/>
    <w:rsid w:val="00151D10"/>
    <w:rsid w:val="001521B6"/>
    <w:rsid w:val="00152650"/>
    <w:rsid w:val="001535D5"/>
    <w:rsid w:val="00153A33"/>
    <w:rsid w:val="001548E5"/>
    <w:rsid w:val="00155F1F"/>
    <w:rsid w:val="00157151"/>
    <w:rsid w:val="0015790D"/>
    <w:rsid w:val="0016118E"/>
    <w:rsid w:val="0016243C"/>
    <w:rsid w:val="0016273E"/>
    <w:rsid w:val="00162A1B"/>
    <w:rsid w:val="001631FC"/>
    <w:rsid w:val="00164514"/>
    <w:rsid w:val="001651AD"/>
    <w:rsid w:val="00165641"/>
    <w:rsid w:val="00166DE4"/>
    <w:rsid w:val="001678CE"/>
    <w:rsid w:val="001705B2"/>
    <w:rsid w:val="00170A16"/>
    <w:rsid w:val="00170CC5"/>
    <w:rsid w:val="001720E9"/>
    <w:rsid w:val="001728F1"/>
    <w:rsid w:val="00172A37"/>
    <w:rsid w:val="0017321A"/>
    <w:rsid w:val="001732B0"/>
    <w:rsid w:val="00173DB7"/>
    <w:rsid w:val="00174248"/>
    <w:rsid w:val="00175BB2"/>
    <w:rsid w:val="00176B55"/>
    <w:rsid w:val="00177475"/>
    <w:rsid w:val="001779FE"/>
    <w:rsid w:val="00177CC6"/>
    <w:rsid w:val="00180E32"/>
    <w:rsid w:val="00183550"/>
    <w:rsid w:val="0018573B"/>
    <w:rsid w:val="0018652D"/>
    <w:rsid w:val="001868C0"/>
    <w:rsid w:val="00187477"/>
    <w:rsid w:val="00187D64"/>
    <w:rsid w:val="001917E3"/>
    <w:rsid w:val="0019207A"/>
    <w:rsid w:val="0019388C"/>
    <w:rsid w:val="0019450E"/>
    <w:rsid w:val="00194B7E"/>
    <w:rsid w:val="00195731"/>
    <w:rsid w:val="001964BF"/>
    <w:rsid w:val="00196CDD"/>
    <w:rsid w:val="00197240"/>
    <w:rsid w:val="00197DFA"/>
    <w:rsid w:val="001A1C2C"/>
    <w:rsid w:val="001A39A3"/>
    <w:rsid w:val="001A494D"/>
    <w:rsid w:val="001A5C0F"/>
    <w:rsid w:val="001A5D23"/>
    <w:rsid w:val="001A5E44"/>
    <w:rsid w:val="001A749C"/>
    <w:rsid w:val="001A7535"/>
    <w:rsid w:val="001A7548"/>
    <w:rsid w:val="001A7728"/>
    <w:rsid w:val="001B000D"/>
    <w:rsid w:val="001B0496"/>
    <w:rsid w:val="001B0966"/>
    <w:rsid w:val="001B0C83"/>
    <w:rsid w:val="001B2692"/>
    <w:rsid w:val="001B2B76"/>
    <w:rsid w:val="001B4BF3"/>
    <w:rsid w:val="001B5DE0"/>
    <w:rsid w:val="001B5F47"/>
    <w:rsid w:val="001B6189"/>
    <w:rsid w:val="001B66FB"/>
    <w:rsid w:val="001B67DB"/>
    <w:rsid w:val="001B6B3A"/>
    <w:rsid w:val="001C0766"/>
    <w:rsid w:val="001C4353"/>
    <w:rsid w:val="001C49E5"/>
    <w:rsid w:val="001C60EF"/>
    <w:rsid w:val="001C6632"/>
    <w:rsid w:val="001C71FE"/>
    <w:rsid w:val="001C768E"/>
    <w:rsid w:val="001D3452"/>
    <w:rsid w:val="001D5061"/>
    <w:rsid w:val="001D6759"/>
    <w:rsid w:val="001D7A27"/>
    <w:rsid w:val="001E0155"/>
    <w:rsid w:val="001E0B6B"/>
    <w:rsid w:val="001E1AF3"/>
    <w:rsid w:val="001E2185"/>
    <w:rsid w:val="001E2FBC"/>
    <w:rsid w:val="001E3567"/>
    <w:rsid w:val="001E3D8D"/>
    <w:rsid w:val="001E6B21"/>
    <w:rsid w:val="001F0DA7"/>
    <w:rsid w:val="001F0E06"/>
    <w:rsid w:val="001F406F"/>
    <w:rsid w:val="001F4A31"/>
    <w:rsid w:val="001F4B3A"/>
    <w:rsid w:val="001F51FC"/>
    <w:rsid w:val="001F72F5"/>
    <w:rsid w:val="001F744F"/>
    <w:rsid w:val="00200300"/>
    <w:rsid w:val="002015C8"/>
    <w:rsid w:val="00201DF3"/>
    <w:rsid w:val="00202CF5"/>
    <w:rsid w:val="00202EF3"/>
    <w:rsid w:val="0020403E"/>
    <w:rsid w:val="00204773"/>
    <w:rsid w:val="00204980"/>
    <w:rsid w:val="002049CB"/>
    <w:rsid w:val="00204CE8"/>
    <w:rsid w:val="00206389"/>
    <w:rsid w:val="00206A19"/>
    <w:rsid w:val="00211BAB"/>
    <w:rsid w:val="00213070"/>
    <w:rsid w:val="002145A5"/>
    <w:rsid w:val="002150D8"/>
    <w:rsid w:val="00216005"/>
    <w:rsid w:val="002166E0"/>
    <w:rsid w:val="002174A3"/>
    <w:rsid w:val="002210DF"/>
    <w:rsid w:val="002224AE"/>
    <w:rsid w:val="00222726"/>
    <w:rsid w:val="0022378C"/>
    <w:rsid w:val="0022393A"/>
    <w:rsid w:val="00223CC4"/>
    <w:rsid w:val="00223D1C"/>
    <w:rsid w:val="00225077"/>
    <w:rsid w:val="0022569C"/>
    <w:rsid w:val="0022766A"/>
    <w:rsid w:val="00227F68"/>
    <w:rsid w:val="00233162"/>
    <w:rsid w:val="00234F54"/>
    <w:rsid w:val="00234F81"/>
    <w:rsid w:val="0023601A"/>
    <w:rsid w:val="002367B7"/>
    <w:rsid w:val="002375B9"/>
    <w:rsid w:val="00241FB8"/>
    <w:rsid w:val="00243DE5"/>
    <w:rsid w:val="002445BA"/>
    <w:rsid w:val="00244ED7"/>
    <w:rsid w:val="00246DF4"/>
    <w:rsid w:val="00250E78"/>
    <w:rsid w:val="00251D57"/>
    <w:rsid w:val="00251DBC"/>
    <w:rsid w:val="0025235D"/>
    <w:rsid w:val="00252443"/>
    <w:rsid w:val="002534CC"/>
    <w:rsid w:val="0025498D"/>
    <w:rsid w:val="00254D50"/>
    <w:rsid w:val="00256D21"/>
    <w:rsid w:val="00261A46"/>
    <w:rsid w:val="0026279E"/>
    <w:rsid w:val="0026662B"/>
    <w:rsid w:val="00267128"/>
    <w:rsid w:val="002733B8"/>
    <w:rsid w:val="00273B77"/>
    <w:rsid w:val="002740B5"/>
    <w:rsid w:val="00274A29"/>
    <w:rsid w:val="00275426"/>
    <w:rsid w:val="00275539"/>
    <w:rsid w:val="00275661"/>
    <w:rsid w:val="00275A5D"/>
    <w:rsid w:val="0027630A"/>
    <w:rsid w:val="0028037E"/>
    <w:rsid w:val="00282D70"/>
    <w:rsid w:val="00282D84"/>
    <w:rsid w:val="00283B70"/>
    <w:rsid w:val="00290118"/>
    <w:rsid w:val="00292C7C"/>
    <w:rsid w:val="00293F49"/>
    <w:rsid w:val="002942AD"/>
    <w:rsid w:val="002959F4"/>
    <w:rsid w:val="002962BD"/>
    <w:rsid w:val="002974AD"/>
    <w:rsid w:val="002A0C01"/>
    <w:rsid w:val="002A141D"/>
    <w:rsid w:val="002A29D7"/>
    <w:rsid w:val="002A3CB8"/>
    <w:rsid w:val="002A5A89"/>
    <w:rsid w:val="002A5C4E"/>
    <w:rsid w:val="002A678E"/>
    <w:rsid w:val="002A6CB3"/>
    <w:rsid w:val="002A7F6C"/>
    <w:rsid w:val="002B0430"/>
    <w:rsid w:val="002B0638"/>
    <w:rsid w:val="002B490A"/>
    <w:rsid w:val="002B5153"/>
    <w:rsid w:val="002B57C1"/>
    <w:rsid w:val="002B595E"/>
    <w:rsid w:val="002B60AE"/>
    <w:rsid w:val="002B6119"/>
    <w:rsid w:val="002B7457"/>
    <w:rsid w:val="002B7DCD"/>
    <w:rsid w:val="002C16FA"/>
    <w:rsid w:val="002C2213"/>
    <w:rsid w:val="002C2A1F"/>
    <w:rsid w:val="002C4CD8"/>
    <w:rsid w:val="002C5771"/>
    <w:rsid w:val="002C6D21"/>
    <w:rsid w:val="002C704B"/>
    <w:rsid w:val="002C7058"/>
    <w:rsid w:val="002D115E"/>
    <w:rsid w:val="002D1D3A"/>
    <w:rsid w:val="002D3665"/>
    <w:rsid w:val="002D3EA1"/>
    <w:rsid w:val="002D5383"/>
    <w:rsid w:val="002D53DB"/>
    <w:rsid w:val="002D544A"/>
    <w:rsid w:val="002D5A76"/>
    <w:rsid w:val="002D64C1"/>
    <w:rsid w:val="002D69EB"/>
    <w:rsid w:val="002D785C"/>
    <w:rsid w:val="002D7E0E"/>
    <w:rsid w:val="002E042A"/>
    <w:rsid w:val="002E3389"/>
    <w:rsid w:val="002E4234"/>
    <w:rsid w:val="002E46A0"/>
    <w:rsid w:val="002E7061"/>
    <w:rsid w:val="002E7EBD"/>
    <w:rsid w:val="002F2D09"/>
    <w:rsid w:val="002F3903"/>
    <w:rsid w:val="002F4173"/>
    <w:rsid w:val="002F43BC"/>
    <w:rsid w:val="002F4CF4"/>
    <w:rsid w:val="002F5451"/>
    <w:rsid w:val="002F57EA"/>
    <w:rsid w:val="002F5976"/>
    <w:rsid w:val="002F6762"/>
    <w:rsid w:val="002F6889"/>
    <w:rsid w:val="003009BE"/>
    <w:rsid w:val="003009DB"/>
    <w:rsid w:val="00301B05"/>
    <w:rsid w:val="00301B89"/>
    <w:rsid w:val="00304805"/>
    <w:rsid w:val="003056F7"/>
    <w:rsid w:val="00305A66"/>
    <w:rsid w:val="003061D9"/>
    <w:rsid w:val="00307791"/>
    <w:rsid w:val="003077CB"/>
    <w:rsid w:val="0031067F"/>
    <w:rsid w:val="00310860"/>
    <w:rsid w:val="00310C5D"/>
    <w:rsid w:val="00312721"/>
    <w:rsid w:val="00312747"/>
    <w:rsid w:val="0031307A"/>
    <w:rsid w:val="00315606"/>
    <w:rsid w:val="0031686B"/>
    <w:rsid w:val="0031729A"/>
    <w:rsid w:val="00317336"/>
    <w:rsid w:val="003200B4"/>
    <w:rsid w:val="0032209D"/>
    <w:rsid w:val="003230FB"/>
    <w:rsid w:val="00323576"/>
    <w:rsid w:val="0032468A"/>
    <w:rsid w:val="00324BA4"/>
    <w:rsid w:val="003268CF"/>
    <w:rsid w:val="003301EA"/>
    <w:rsid w:val="00330432"/>
    <w:rsid w:val="003308D3"/>
    <w:rsid w:val="00331EEC"/>
    <w:rsid w:val="00332AC8"/>
    <w:rsid w:val="00333718"/>
    <w:rsid w:val="00333747"/>
    <w:rsid w:val="00335E8D"/>
    <w:rsid w:val="003365A2"/>
    <w:rsid w:val="003402E9"/>
    <w:rsid w:val="003407FD"/>
    <w:rsid w:val="00341B48"/>
    <w:rsid w:val="00341C18"/>
    <w:rsid w:val="00341E19"/>
    <w:rsid w:val="00342224"/>
    <w:rsid w:val="00342DD1"/>
    <w:rsid w:val="00344D7A"/>
    <w:rsid w:val="003470C3"/>
    <w:rsid w:val="00347A49"/>
    <w:rsid w:val="00350BCF"/>
    <w:rsid w:val="00351290"/>
    <w:rsid w:val="00351ADF"/>
    <w:rsid w:val="00351C51"/>
    <w:rsid w:val="00351D0F"/>
    <w:rsid w:val="00352E84"/>
    <w:rsid w:val="003530B2"/>
    <w:rsid w:val="00353B4B"/>
    <w:rsid w:val="00354B5A"/>
    <w:rsid w:val="00355A6C"/>
    <w:rsid w:val="00360087"/>
    <w:rsid w:val="0036038A"/>
    <w:rsid w:val="003603B0"/>
    <w:rsid w:val="00364949"/>
    <w:rsid w:val="003660CA"/>
    <w:rsid w:val="0036618D"/>
    <w:rsid w:val="00366D3B"/>
    <w:rsid w:val="0037021D"/>
    <w:rsid w:val="00370F69"/>
    <w:rsid w:val="00374150"/>
    <w:rsid w:val="003804BF"/>
    <w:rsid w:val="003805CE"/>
    <w:rsid w:val="003827A2"/>
    <w:rsid w:val="00382DE1"/>
    <w:rsid w:val="00383498"/>
    <w:rsid w:val="0038603E"/>
    <w:rsid w:val="003870B4"/>
    <w:rsid w:val="00387751"/>
    <w:rsid w:val="00387C98"/>
    <w:rsid w:val="00390057"/>
    <w:rsid w:val="003903B4"/>
    <w:rsid w:val="00390CA8"/>
    <w:rsid w:val="0039158E"/>
    <w:rsid w:val="00392D52"/>
    <w:rsid w:val="00394867"/>
    <w:rsid w:val="00394E70"/>
    <w:rsid w:val="00396CA6"/>
    <w:rsid w:val="003A0C6F"/>
    <w:rsid w:val="003A16AB"/>
    <w:rsid w:val="003A26FA"/>
    <w:rsid w:val="003A277C"/>
    <w:rsid w:val="003A2A62"/>
    <w:rsid w:val="003A2B9D"/>
    <w:rsid w:val="003A374F"/>
    <w:rsid w:val="003A4D82"/>
    <w:rsid w:val="003A64E2"/>
    <w:rsid w:val="003A6894"/>
    <w:rsid w:val="003A7449"/>
    <w:rsid w:val="003B1441"/>
    <w:rsid w:val="003B2DDB"/>
    <w:rsid w:val="003B3DFD"/>
    <w:rsid w:val="003B4F94"/>
    <w:rsid w:val="003B54B5"/>
    <w:rsid w:val="003B582B"/>
    <w:rsid w:val="003C1110"/>
    <w:rsid w:val="003C123A"/>
    <w:rsid w:val="003C373C"/>
    <w:rsid w:val="003C38D4"/>
    <w:rsid w:val="003C707A"/>
    <w:rsid w:val="003D1F7F"/>
    <w:rsid w:val="003D2472"/>
    <w:rsid w:val="003D28DF"/>
    <w:rsid w:val="003D3111"/>
    <w:rsid w:val="003D3A8D"/>
    <w:rsid w:val="003D6A46"/>
    <w:rsid w:val="003E0A7A"/>
    <w:rsid w:val="003E0E90"/>
    <w:rsid w:val="003E104A"/>
    <w:rsid w:val="003E2AB7"/>
    <w:rsid w:val="003E34A4"/>
    <w:rsid w:val="003E5848"/>
    <w:rsid w:val="003E5921"/>
    <w:rsid w:val="003E76C2"/>
    <w:rsid w:val="003E7836"/>
    <w:rsid w:val="003E79E4"/>
    <w:rsid w:val="003F0EB9"/>
    <w:rsid w:val="003F1DE1"/>
    <w:rsid w:val="003F3CB0"/>
    <w:rsid w:val="003F3E70"/>
    <w:rsid w:val="003F4305"/>
    <w:rsid w:val="003F4A23"/>
    <w:rsid w:val="003F511C"/>
    <w:rsid w:val="003F54F8"/>
    <w:rsid w:val="003F5851"/>
    <w:rsid w:val="00400FFE"/>
    <w:rsid w:val="004036C4"/>
    <w:rsid w:val="00403E37"/>
    <w:rsid w:val="004040DD"/>
    <w:rsid w:val="00405861"/>
    <w:rsid w:val="0040587C"/>
    <w:rsid w:val="004060FD"/>
    <w:rsid w:val="0040653B"/>
    <w:rsid w:val="004077C9"/>
    <w:rsid w:val="0041037B"/>
    <w:rsid w:val="00410C40"/>
    <w:rsid w:val="00411E81"/>
    <w:rsid w:val="004124B1"/>
    <w:rsid w:val="00412F7A"/>
    <w:rsid w:val="004149CA"/>
    <w:rsid w:val="004175B1"/>
    <w:rsid w:val="00417EE9"/>
    <w:rsid w:val="00420516"/>
    <w:rsid w:val="00421EFD"/>
    <w:rsid w:val="00421FAD"/>
    <w:rsid w:val="004232AF"/>
    <w:rsid w:val="00424249"/>
    <w:rsid w:val="00424711"/>
    <w:rsid w:val="00425A00"/>
    <w:rsid w:val="00425EE8"/>
    <w:rsid w:val="00426C24"/>
    <w:rsid w:val="00427E1A"/>
    <w:rsid w:val="00431459"/>
    <w:rsid w:val="004322EB"/>
    <w:rsid w:val="00432543"/>
    <w:rsid w:val="00432CCD"/>
    <w:rsid w:val="00433014"/>
    <w:rsid w:val="004335AB"/>
    <w:rsid w:val="00434468"/>
    <w:rsid w:val="00434F90"/>
    <w:rsid w:val="00437707"/>
    <w:rsid w:val="00437798"/>
    <w:rsid w:val="00440A29"/>
    <w:rsid w:val="00440C5E"/>
    <w:rsid w:val="004410C2"/>
    <w:rsid w:val="00441112"/>
    <w:rsid w:val="00441ACA"/>
    <w:rsid w:val="00442B7F"/>
    <w:rsid w:val="00442EA9"/>
    <w:rsid w:val="004439D7"/>
    <w:rsid w:val="004463EE"/>
    <w:rsid w:val="00446F00"/>
    <w:rsid w:val="004472CB"/>
    <w:rsid w:val="00447B27"/>
    <w:rsid w:val="00450398"/>
    <w:rsid w:val="004507F9"/>
    <w:rsid w:val="0045116F"/>
    <w:rsid w:val="004514CF"/>
    <w:rsid w:val="00451DE9"/>
    <w:rsid w:val="00451FDF"/>
    <w:rsid w:val="0045239B"/>
    <w:rsid w:val="00452CA3"/>
    <w:rsid w:val="004559FE"/>
    <w:rsid w:val="0045751D"/>
    <w:rsid w:val="00457AB8"/>
    <w:rsid w:val="00457C4F"/>
    <w:rsid w:val="00457C6E"/>
    <w:rsid w:val="004606E2"/>
    <w:rsid w:val="00460A7A"/>
    <w:rsid w:val="00460AFD"/>
    <w:rsid w:val="00461556"/>
    <w:rsid w:val="00461D9A"/>
    <w:rsid w:val="0046494C"/>
    <w:rsid w:val="004653DC"/>
    <w:rsid w:val="00465454"/>
    <w:rsid w:val="00465EC2"/>
    <w:rsid w:val="00466978"/>
    <w:rsid w:val="00467DFF"/>
    <w:rsid w:val="00470009"/>
    <w:rsid w:val="0047188E"/>
    <w:rsid w:val="00471C44"/>
    <w:rsid w:val="00471C96"/>
    <w:rsid w:val="00472F19"/>
    <w:rsid w:val="0047351C"/>
    <w:rsid w:val="0047378A"/>
    <w:rsid w:val="00476110"/>
    <w:rsid w:val="00476375"/>
    <w:rsid w:val="004805F3"/>
    <w:rsid w:val="00480605"/>
    <w:rsid w:val="00480621"/>
    <w:rsid w:val="00480ADD"/>
    <w:rsid w:val="00483D40"/>
    <w:rsid w:val="0048421C"/>
    <w:rsid w:val="00486418"/>
    <w:rsid w:val="00487B97"/>
    <w:rsid w:val="00491FAA"/>
    <w:rsid w:val="00492298"/>
    <w:rsid w:val="0049318C"/>
    <w:rsid w:val="00493BEF"/>
    <w:rsid w:val="0049411C"/>
    <w:rsid w:val="00494E43"/>
    <w:rsid w:val="00494F8B"/>
    <w:rsid w:val="004951C0"/>
    <w:rsid w:val="004968C4"/>
    <w:rsid w:val="004970F5"/>
    <w:rsid w:val="004974C4"/>
    <w:rsid w:val="004A0222"/>
    <w:rsid w:val="004A168C"/>
    <w:rsid w:val="004A1811"/>
    <w:rsid w:val="004A1C0D"/>
    <w:rsid w:val="004A26FA"/>
    <w:rsid w:val="004A4396"/>
    <w:rsid w:val="004A4FAF"/>
    <w:rsid w:val="004A5DAA"/>
    <w:rsid w:val="004A6106"/>
    <w:rsid w:val="004A63BA"/>
    <w:rsid w:val="004B00FE"/>
    <w:rsid w:val="004B0A70"/>
    <w:rsid w:val="004B27F2"/>
    <w:rsid w:val="004B3991"/>
    <w:rsid w:val="004B6A75"/>
    <w:rsid w:val="004C323A"/>
    <w:rsid w:val="004C4E66"/>
    <w:rsid w:val="004C5045"/>
    <w:rsid w:val="004C5269"/>
    <w:rsid w:val="004C56E9"/>
    <w:rsid w:val="004C5F83"/>
    <w:rsid w:val="004C6D5C"/>
    <w:rsid w:val="004D00B3"/>
    <w:rsid w:val="004D06C0"/>
    <w:rsid w:val="004D0EE8"/>
    <w:rsid w:val="004D4FB7"/>
    <w:rsid w:val="004D5795"/>
    <w:rsid w:val="004D6F14"/>
    <w:rsid w:val="004D7A19"/>
    <w:rsid w:val="004E036C"/>
    <w:rsid w:val="004E0919"/>
    <w:rsid w:val="004E2A76"/>
    <w:rsid w:val="004E511A"/>
    <w:rsid w:val="004E5DA3"/>
    <w:rsid w:val="004E6287"/>
    <w:rsid w:val="004E6429"/>
    <w:rsid w:val="004E6509"/>
    <w:rsid w:val="004E6587"/>
    <w:rsid w:val="004E6606"/>
    <w:rsid w:val="004E66F1"/>
    <w:rsid w:val="004E6B72"/>
    <w:rsid w:val="004E6D98"/>
    <w:rsid w:val="004E7779"/>
    <w:rsid w:val="004F12F3"/>
    <w:rsid w:val="004F139F"/>
    <w:rsid w:val="004F14E5"/>
    <w:rsid w:val="004F19B6"/>
    <w:rsid w:val="004F22AE"/>
    <w:rsid w:val="004F4F33"/>
    <w:rsid w:val="004F5DA4"/>
    <w:rsid w:val="004F6208"/>
    <w:rsid w:val="005007CD"/>
    <w:rsid w:val="00500CB3"/>
    <w:rsid w:val="005015B5"/>
    <w:rsid w:val="0050500E"/>
    <w:rsid w:val="00505F35"/>
    <w:rsid w:val="00506BB9"/>
    <w:rsid w:val="00510B16"/>
    <w:rsid w:val="00511FD9"/>
    <w:rsid w:val="00512120"/>
    <w:rsid w:val="0051362A"/>
    <w:rsid w:val="005137EB"/>
    <w:rsid w:val="00513920"/>
    <w:rsid w:val="00513D35"/>
    <w:rsid w:val="00516773"/>
    <w:rsid w:val="00517555"/>
    <w:rsid w:val="005212F7"/>
    <w:rsid w:val="00521498"/>
    <w:rsid w:val="00521F00"/>
    <w:rsid w:val="00523697"/>
    <w:rsid w:val="00523787"/>
    <w:rsid w:val="00524091"/>
    <w:rsid w:val="0052552C"/>
    <w:rsid w:val="00526117"/>
    <w:rsid w:val="005270F5"/>
    <w:rsid w:val="00527AF0"/>
    <w:rsid w:val="00530F56"/>
    <w:rsid w:val="00531021"/>
    <w:rsid w:val="00531EB6"/>
    <w:rsid w:val="005346E8"/>
    <w:rsid w:val="005348E9"/>
    <w:rsid w:val="00534A78"/>
    <w:rsid w:val="00534B59"/>
    <w:rsid w:val="00536925"/>
    <w:rsid w:val="0054122C"/>
    <w:rsid w:val="00542296"/>
    <w:rsid w:val="00542B8F"/>
    <w:rsid w:val="005434C4"/>
    <w:rsid w:val="0054451E"/>
    <w:rsid w:val="00544C66"/>
    <w:rsid w:val="00550172"/>
    <w:rsid w:val="00551B08"/>
    <w:rsid w:val="00552062"/>
    <w:rsid w:val="00554F94"/>
    <w:rsid w:val="0055530D"/>
    <w:rsid w:val="005554DB"/>
    <w:rsid w:val="0055565C"/>
    <w:rsid w:val="005558DF"/>
    <w:rsid w:val="00555D9F"/>
    <w:rsid w:val="00556E5B"/>
    <w:rsid w:val="00562799"/>
    <w:rsid w:val="0056284E"/>
    <w:rsid w:val="00563CB1"/>
    <w:rsid w:val="00564B44"/>
    <w:rsid w:val="00564E17"/>
    <w:rsid w:val="00565BAF"/>
    <w:rsid w:val="00566526"/>
    <w:rsid w:val="00566CDE"/>
    <w:rsid w:val="00566E6C"/>
    <w:rsid w:val="00567288"/>
    <w:rsid w:val="005704EE"/>
    <w:rsid w:val="00571B3F"/>
    <w:rsid w:val="00572FE7"/>
    <w:rsid w:val="00573A3B"/>
    <w:rsid w:val="005751AA"/>
    <w:rsid w:val="0057525C"/>
    <w:rsid w:val="00575BD3"/>
    <w:rsid w:val="00576643"/>
    <w:rsid w:val="005773C0"/>
    <w:rsid w:val="0057798E"/>
    <w:rsid w:val="00577EC5"/>
    <w:rsid w:val="00580169"/>
    <w:rsid w:val="005801A3"/>
    <w:rsid w:val="00581333"/>
    <w:rsid w:val="00582363"/>
    <w:rsid w:val="00582597"/>
    <w:rsid w:val="00582871"/>
    <w:rsid w:val="00585EAF"/>
    <w:rsid w:val="00586A70"/>
    <w:rsid w:val="00587617"/>
    <w:rsid w:val="00591851"/>
    <w:rsid w:val="00591DBB"/>
    <w:rsid w:val="00591F8C"/>
    <w:rsid w:val="005927D2"/>
    <w:rsid w:val="005927F7"/>
    <w:rsid w:val="00593507"/>
    <w:rsid w:val="005940C8"/>
    <w:rsid w:val="005954C2"/>
    <w:rsid w:val="00595E77"/>
    <w:rsid w:val="00596AA4"/>
    <w:rsid w:val="0059773B"/>
    <w:rsid w:val="005A09E3"/>
    <w:rsid w:val="005A14F0"/>
    <w:rsid w:val="005A2784"/>
    <w:rsid w:val="005A29A6"/>
    <w:rsid w:val="005A2B56"/>
    <w:rsid w:val="005A34E9"/>
    <w:rsid w:val="005A3582"/>
    <w:rsid w:val="005A35AE"/>
    <w:rsid w:val="005A3BF4"/>
    <w:rsid w:val="005A3F3A"/>
    <w:rsid w:val="005A4FA1"/>
    <w:rsid w:val="005A52C2"/>
    <w:rsid w:val="005A61A4"/>
    <w:rsid w:val="005A7AF0"/>
    <w:rsid w:val="005B07C0"/>
    <w:rsid w:val="005B083A"/>
    <w:rsid w:val="005B0B29"/>
    <w:rsid w:val="005B1290"/>
    <w:rsid w:val="005B39AA"/>
    <w:rsid w:val="005B3FE3"/>
    <w:rsid w:val="005B4902"/>
    <w:rsid w:val="005B4E4C"/>
    <w:rsid w:val="005B4F2C"/>
    <w:rsid w:val="005B7B28"/>
    <w:rsid w:val="005C1111"/>
    <w:rsid w:val="005C1D08"/>
    <w:rsid w:val="005C37B8"/>
    <w:rsid w:val="005C4C2A"/>
    <w:rsid w:val="005C6AF8"/>
    <w:rsid w:val="005C75D9"/>
    <w:rsid w:val="005D13D9"/>
    <w:rsid w:val="005D16B1"/>
    <w:rsid w:val="005D1924"/>
    <w:rsid w:val="005D2FA4"/>
    <w:rsid w:val="005D4DFD"/>
    <w:rsid w:val="005E0CA9"/>
    <w:rsid w:val="005E394F"/>
    <w:rsid w:val="005E39A6"/>
    <w:rsid w:val="005E4E51"/>
    <w:rsid w:val="005E51F4"/>
    <w:rsid w:val="005E7298"/>
    <w:rsid w:val="005E7312"/>
    <w:rsid w:val="005F02DB"/>
    <w:rsid w:val="005F08FC"/>
    <w:rsid w:val="005F3EC3"/>
    <w:rsid w:val="005F4381"/>
    <w:rsid w:val="005F4479"/>
    <w:rsid w:val="005F5073"/>
    <w:rsid w:val="00600085"/>
    <w:rsid w:val="0060382F"/>
    <w:rsid w:val="00603C22"/>
    <w:rsid w:val="0060480D"/>
    <w:rsid w:val="00604CF5"/>
    <w:rsid w:val="00604D56"/>
    <w:rsid w:val="00605D0D"/>
    <w:rsid w:val="0060612C"/>
    <w:rsid w:val="00606C26"/>
    <w:rsid w:val="00607365"/>
    <w:rsid w:val="00610B2B"/>
    <w:rsid w:val="006119B4"/>
    <w:rsid w:val="00614838"/>
    <w:rsid w:val="00617BDE"/>
    <w:rsid w:val="00617DE9"/>
    <w:rsid w:val="00620860"/>
    <w:rsid w:val="00621213"/>
    <w:rsid w:val="00621342"/>
    <w:rsid w:val="0062227E"/>
    <w:rsid w:val="00622A91"/>
    <w:rsid w:val="00622C99"/>
    <w:rsid w:val="00624036"/>
    <w:rsid w:val="006245E8"/>
    <w:rsid w:val="00624D29"/>
    <w:rsid w:val="0062546F"/>
    <w:rsid w:val="00625523"/>
    <w:rsid w:val="0063017A"/>
    <w:rsid w:val="00630EEE"/>
    <w:rsid w:val="00631909"/>
    <w:rsid w:val="00632534"/>
    <w:rsid w:val="006329FC"/>
    <w:rsid w:val="00632E6D"/>
    <w:rsid w:val="006337C4"/>
    <w:rsid w:val="00633918"/>
    <w:rsid w:val="00634FF6"/>
    <w:rsid w:val="0063518C"/>
    <w:rsid w:val="00635904"/>
    <w:rsid w:val="00635DB5"/>
    <w:rsid w:val="00637A94"/>
    <w:rsid w:val="006421BB"/>
    <w:rsid w:val="00646772"/>
    <w:rsid w:val="006478D2"/>
    <w:rsid w:val="00650503"/>
    <w:rsid w:val="00650D84"/>
    <w:rsid w:val="00651213"/>
    <w:rsid w:val="006518CE"/>
    <w:rsid w:val="00651C02"/>
    <w:rsid w:val="00654474"/>
    <w:rsid w:val="00654EBE"/>
    <w:rsid w:val="00655DCC"/>
    <w:rsid w:val="00656B4A"/>
    <w:rsid w:val="0065710D"/>
    <w:rsid w:val="0065798C"/>
    <w:rsid w:val="00660278"/>
    <w:rsid w:val="00660A77"/>
    <w:rsid w:val="00660AC6"/>
    <w:rsid w:val="00661923"/>
    <w:rsid w:val="00661AF3"/>
    <w:rsid w:val="006636BF"/>
    <w:rsid w:val="00664BE7"/>
    <w:rsid w:val="00665EA4"/>
    <w:rsid w:val="006665A5"/>
    <w:rsid w:val="006672E4"/>
    <w:rsid w:val="00667470"/>
    <w:rsid w:val="006731A5"/>
    <w:rsid w:val="00673766"/>
    <w:rsid w:val="00676109"/>
    <w:rsid w:val="00677C35"/>
    <w:rsid w:val="00681C0F"/>
    <w:rsid w:val="0068216A"/>
    <w:rsid w:val="00683884"/>
    <w:rsid w:val="00686C5B"/>
    <w:rsid w:val="00690C2C"/>
    <w:rsid w:val="00690EC6"/>
    <w:rsid w:val="00691393"/>
    <w:rsid w:val="0069163F"/>
    <w:rsid w:val="006925C6"/>
    <w:rsid w:val="00694B9B"/>
    <w:rsid w:val="00697D44"/>
    <w:rsid w:val="006A0317"/>
    <w:rsid w:val="006A0B9D"/>
    <w:rsid w:val="006A0D7E"/>
    <w:rsid w:val="006A1E48"/>
    <w:rsid w:val="006A2802"/>
    <w:rsid w:val="006A3DE0"/>
    <w:rsid w:val="006A3EDC"/>
    <w:rsid w:val="006A545E"/>
    <w:rsid w:val="006A5802"/>
    <w:rsid w:val="006A5AC5"/>
    <w:rsid w:val="006A7426"/>
    <w:rsid w:val="006A756C"/>
    <w:rsid w:val="006A78FE"/>
    <w:rsid w:val="006A7995"/>
    <w:rsid w:val="006B3614"/>
    <w:rsid w:val="006B4B04"/>
    <w:rsid w:val="006B5A8C"/>
    <w:rsid w:val="006B689E"/>
    <w:rsid w:val="006B71A8"/>
    <w:rsid w:val="006C08D7"/>
    <w:rsid w:val="006C1171"/>
    <w:rsid w:val="006C2058"/>
    <w:rsid w:val="006C30CF"/>
    <w:rsid w:val="006C33B4"/>
    <w:rsid w:val="006C3445"/>
    <w:rsid w:val="006C366E"/>
    <w:rsid w:val="006C37F2"/>
    <w:rsid w:val="006C3D95"/>
    <w:rsid w:val="006C3DF4"/>
    <w:rsid w:val="006C4CFB"/>
    <w:rsid w:val="006C5BCD"/>
    <w:rsid w:val="006C66BF"/>
    <w:rsid w:val="006C6AA5"/>
    <w:rsid w:val="006D2659"/>
    <w:rsid w:val="006D3255"/>
    <w:rsid w:val="006D39A5"/>
    <w:rsid w:val="006D3A2A"/>
    <w:rsid w:val="006D6213"/>
    <w:rsid w:val="006D655C"/>
    <w:rsid w:val="006D696A"/>
    <w:rsid w:val="006D6D48"/>
    <w:rsid w:val="006D726B"/>
    <w:rsid w:val="006E0341"/>
    <w:rsid w:val="006E1C45"/>
    <w:rsid w:val="006E496F"/>
    <w:rsid w:val="006E50FD"/>
    <w:rsid w:val="006E52E9"/>
    <w:rsid w:val="006E58D5"/>
    <w:rsid w:val="006E6194"/>
    <w:rsid w:val="006E79A1"/>
    <w:rsid w:val="006F3C27"/>
    <w:rsid w:val="006F4C60"/>
    <w:rsid w:val="006F50C8"/>
    <w:rsid w:val="006F7E30"/>
    <w:rsid w:val="0070078D"/>
    <w:rsid w:val="00701574"/>
    <w:rsid w:val="00703E86"/>
    <w:rsid w:val="00704306"/>
    <w:rsid w:val="00704726"/>
    <w:rsid w:val="0070530E"/>
    <w:rsid w:val="00707934"/>
    <w:rsid w:val="00710B4F"/>
    <w:rsid w:val="00711E41"/>
    <w:rsid w:val="007125F3"/>
    <w:rsid w:val="007128CE"/>
    <w:rsid w:val="00712F68"/>
    <w:rsid w:val="0071366A"/>
    <w:rsid w:val="0071385C"/>
    <w:rsid w:val="0071387F"/>
    <w:rsid w:val="0071472D"/>
    <w:rsid w:val="00714AA2"/>
    <w:rsid w:val="00714FD2"/>
    <w:rsid w:val="007157EF"/>
    <w:rsid w:val="0071584A"/>
    <w:rsid w:val="00716A61"/>
    <w:rsid w:val="007172A3"/>
    <w:rsid w:val="00717CAE"/>
    <w:rsid w:val="00717EE2"/>
    <w:rsid w:val="00720406"/>
    <w:rsid w:val="00723136"/>
    <w:rsid w:val="007235CA"/>
    <w:rsid w:val="0072360E"/>
    <w:rsid w:val="0072415E"/>
    <w:rsid w:val="007261E3"/>
    <w:rsid w:val="00727602"/>
    <w:rsid w:val="007278BB"/>
    <w:rsid w:val="00730768"/>
    <w:rsid w:val="0073186C"/>
    <w:rsid w:val="007367C4"/>
    <w:rsid w:val="00736D7C"/>
    <w:rsid w:val="00737933"/>
    <w:rsid w:val="00737CD4"/>
    <w:rsid w:val="00742CBD"/>
    <w:rsid w:val="007454DD"/>
    <w:rsid w:val="00745860"/>
    <w:rsid w:val="00745D0F"/>
    <w:rsid w:val="007460DE"/>
    <w:rsid w:val="00750289"/>
    <w:rsid w:val="007519F3"/>
    <w:rsid w:val="007522AD"/>
    <w:rsid w:val="00753E6A"/>
    <w:rsid w:val="00754431"/>
    <w:rsid w:val="0075521F"/>
    <w:rsid w:val="00755565"/>
    <w:rsid w:val="00755AE0"/>
    <w:rsid w:val="007572E4"/>
    <w:rsid w:val="007604E5"/>
    <w:rsid w:val="0076052F"/>
    <w:rsid w:val="00760C14"/>
    <w:rsid w:val="00761E95"/>
    <w:rsid w:val="00763859"/>
    <w:rsid w:val="007641E5"/>
    <w:rsid w:val="00764EB0"/>
    <w:rsid w:val="00765EDD"/>
    <w:rsid w:val="0077149F"/>
    <w:rsid w:val="0077174C"/>
    <w:rsid w:val="00772390"/>
    <w:rsid w:val="007725F1"/>
    <w:rsid w:val="00772C90"/>
    <w:rsid w:val="0077327C"/>
    <w:rsid w:val="007736F7"/>
    <w:rsid w:val="00773AFF"/>
    <w:rsid w:val="00773CA2"/>
    <w:rsid w:val="00774A6F"/>
    <w:rsid w:val="00774CD5"/>
    <w:rsid w:val="00777509"/>
    <w:rsid w:val="00780898"/>
    <w:rsid w:val="00780B0B"/>
    <w:rsid w:val="007811E9"/>
    <w:rsid w:val="0078126E"/>
    <w:rsid w:val="0078206C"/>
    <w:rsid w:val="00784524"/>
    <w:rsid w:val="00784BDC"/>
    <w:rsid w:val="00784C19"/>
    <w:rsid w:val="007867F6"/>
    <w:rsid w:val="00786D94"/>
    <w:rsid w:val="00787FD6"/>
    <w:rsid w:val="0079046A"/>
    <w:rsid w:val="00794725"/>
    <w:rsid w:val="0079587B"/>
    <w:rsid w:val="007968AB"/>
    <w:rsid w:val="00796D34"/>
    <w:rsid w:val="007A04C1"/>
    <w:rsid w:val="007A078D"/>
    <w:rsid w:val="007A1976"/>
    <w:rsid w:val="007A19E8"/>
    <w:rsid w:val="007A302F"/>
    <w:rsid w:val="007A4A91"/>
    <w:rsid w:val="007A4E4D"/>
    <w:rsid w:val="007A57E9"/>
    <w:rsid w:val="007A66F6"/>
    <w:rsid w:val="007A6A04"/>
    <w:rsid w:val="007A6F33"/>
    <w:rsid w:val="007A70B9"/>
    <w:rsid w:val="007A74F7"/>
    <w:rsid w:val="007A7D4B"/>
    <w:rsid w:val="007B1164"/>
    <w:rsid w:val="007B319C"/>
    <w:rsid w:val="007B3CAD"/>
    <w:rsid w:val="007B4503"/>
    <w:rsid w:val="007B4C8D"/>
    <w:rsid w:val="007B64DC"/>
    <w:rsid w:val="007C00FD"/>
    <w:rsid w:val="007C0205"/>
    <w:rsid w:val="007C067D"/>
    <w:rsid w:val="007C0E90"/>
    <w:rsid w:val="007C1246"/>
    <w:rsid w:val="007C168E"/>
    <w:rsid w:val="007C4F21"/>
    <w:rsid w:val="007C60E6"/>
    <w:rsid w:val="007C67A4"/>
    <w:rsid w:val="007D0290"/>
    <w:rsid w:val="007D1584"/>
    <w:rsid w:val="007D2711"/>
    <w:rsid w:val="007D6597"/>
    <w:rsid w:val="007D7D82"/>
    <w:rsid w:val="007E0D75"/>
    <w:rsid w:val="007E1611"/>
    <w:rsid w:val="007E21A4"/>
    <w:rsid w:val="007E37A9"/>
    <w:rsid w:val="007E3E6D"/>
    <w:rsid w:val="007E4C94"/>
    <w:rsid w:val="007E4CF5"/>
    <w:rsid w:val="007E567B"/>
    <w:rsid w:val="007E596C"/>
    <w:rsid w:val="007E68E2"/>
    <w:rsid w:val="007E7332"/>
    <w:rsid w:val="007F0169"/>
    <w:rsid w:val="007F1497"/>
    <w:rsid w:val="007F2F53"/>
    <w:rsid w:val="007F49C3"/>
    <w:rsid w:val="007F610C"/>
    <w:rsid w:val="008007C6"/>
    <w:rsid w:val="00803153"/>
    <w:rsid w:val="00803A1B"/>
    <w:rsid w:val="0080411B"/>
    <w:rsid w:val="0080414E"/>
    <w:rsid w:val="0080451C"/>
    <w:rsid w:val="00804D9F"/>
    <w:rsid w:val="00805940"/>
    <w:rsid w:val="008072B4"/>
    <w:rsid w:val="00810099"/>
    <w:rsid w:val="008119ED"/>
    <w:rsid w:val="00812876"/>
    <w:rsid w:val="00814569"/>
    <w:rsid w:val="0081474F"/>
    <w:rsid w:val="008149D6"/>
    <w:rsid w:val="008157DA"/>
    <w:rsid w:val="00815959"/>
    <w:rsid w:val="0082082D"/>
    <w:rsid w:val="0082109D"/>
    <w:rsid w:val="00822129"/>
    <w:rsid w:val="00822FCD"/>
    <w:rsid w:val="0082377B"/>
    <w:rsid w:val="0082385B"/>
    <w:rsid w:val="008238C2"/>
    <w:rsid w:val="00824438"/>
    <w:rsid w:val="00824847"/>
    <w:rsid w:val="00824C2B"/>
    <w:rsid w:val="0082515F"/>
    <w:rsid w:val="008259FE"/>
    <w:rsid w:val="0082659D"/>
    <w:rsid w:val="00826B6D"/>
    <w:rsid w:val="00826EBC"/>
    <w:rsid w:val="00832173"/>
    <w:rsid w:val="00832B5F"/>
    <w:rsid w:val="00832DB4"/>
    <w:rsid w:val="008339BE"/>
    <w:rsid w:val="00834E47"/>
    <w:rsid w:val="00835724"/>
    <w:rsid w:val="00836D72"/>
    <w:rsid w:val="00837657"/>
    <w:rsid w:val="008376E5"/>
    <w:rsid w:val="0084129E"/>
    <w:rsid w:val="008427BC"/>
    <w:rsid w:val="00843BDC"/>
    <w:rsid w:val="00844FB7"/>
    <w:rsid w:val="00845221"/>
    <w:rsid w:val="00845B39"/>
    <w:rsid w:val="008477D9"/>
    <w:rsid w:val="00852706"/>
    <w:rsid w:val="00852C70"/>
    <w:rsid w:val="00854EF3"/>
    <w:rsid w:val="00855FBF"/>
    <w:rsid w:val="00856D41"/>
    <w:rsid w:val="00857629"/>
    <w:rsid w:val="00860143"/>
    <w:rsid w:val="00860E92"/>
    <w:rsid w:val="00860FD1"/>
    <w:rsid w:val="00861221"/>
    <w:rsid w:val="0086146E"/>
    <w:rsid w:val="00861F0A"/>
    <w:rsid w:val="00863914"/>
    <w:rsid w:val="00864064"/>
    <w:rsid w:val="00864662"/>
    <w:rsid w:val="00864B2F"/>
    <w:rsid w:val="00865BE4"/>
    <w:rsid w:val="008668E3"/>
    <w:rsid w:val="00867BC6"/>
    <w:rsid w:val="00867CA5"/>
    <w:rsid w:val="00871C1C"/>
    <w:rsid w:val="008728D9"/>
    <w:rsid w:val="00873D58"/>
    <w:rsid w:val="008741B2"/>
    <w:rsid w:val="00874285"/>
    <w:rsid w:val="00874737"/>
    <w:rsid w:val="00874BE1"/>
    <w:rsid w:val="008768DD"/>
    <w:rsid w:val="00876EA5"/>
    <w:rsid w:val="00880B5A"/>
    <w:rsid w:val="008829DF"/>
    <w:rsid w:val="00884311"/>
    <w:rsid w:val="00885216"/>
    <w:rsid w:val="008861C1"/>
    <w:rsid w:val="00887663"/>
    <w:rsid w:val="008921A6"/>
    <w:rsid w:val="008929E3"/>
    <w:rsid w:val="00893650"/>
    <w:rsid w:val="00893BF1"/>
    <w:rsid w:val="00894954"/>
    <w:rsid w:val="008970DA"/>
    <w:rsid w:val="008974EB"/>
    <w:rsid w:val="00897E2A"/>
    <w:rsid w:val="008A0D8C"/>
    <w:rsid w:val="008A0E44"/>
    <w:rsid w:val="008A0FBA"/>
    <w:rsid w:val="008A133D"/>
    <w:rsid w:val="008A16E1"/>
    <w:rsid w:val="008A2C2F"/>
    <w:rsid w:val="008A300C"/>
    <w:rsid w:val="008A30F1"/>
    <w:rsid w:val="008A36C3"/>
    <w:rsid w:val="008A39A4"/>
    <w:rsid w:val="008A433A"/>
    <w:rsid w:val="008A4EF8"/>
    <w:rsid w:val="008A570F"/>
    <w:rsid w:val="008A5E51"/>
    <w:rsid w:val="008A610A"/>
    <w:rsid w:val="008B17CB"/>
    <w:rsid w:val="008B1B92"/>
    <w:rsid w:val="008B3B35"/>
    <w:rsid w:val="008B49A8"/>
    <w:rsid w:val="008B4CA5"/>
    <w:rsid w:val="008B4EE0"/>
    <w:rsid w:val="008B6145"/>
    <w:rsid w:val="008B74CB"/>
    <w:rsid w:val="008B7A8B"/>
    <w:rsid w:val="008B7A91"/>
    <w:rsid w:val="008B7C0E"/>
    <w:rsid w:val="008C25AE"/>
    <w:rsid w:val="008C2C73"/>
    <w:rsid w:val="008C3E55"/>
    <w:rsid w:val="008C5215"/>
    <w:rsid w:val="008C67B9"/>
    <w:rsid w:val="008C6A68"/>
    <w:rsid w:val="008D02EE"/>
    <w:rsid w:val="008D109B"/>
    <w:rsid w:val="008D3722"/>
    <w:rsid w:val="008D45AA"/>
    <w:rsid w:val="008D669C"/>
    <w:rsid w:val="008D7087"/>
    <w:rsid w:val="008D7E3A"/>
    <w:rsid w:val="008E0DA6"/>
    <w:rsid w:val="008E4937"/>
    <w:rsid w:val="008E6978"/>
    <w:rsid w:val="008F3AC4"/>
    <w:rsid w:val="008F54C0"/>
    <w:rsid w:val="008F5ADD"/>
    <w:rsid w:val="008F6275"/>
    <w:rsid w:val="008F7641"/>
    <w:rsid w:val="00901720"/>
    <w:rsid w:val="00901EDC"/>
    <w:rsid w:val="009022AD"/>
    <w:rsid w:val="00902E69"/>
    <w:rsid w:val="00903ABE"/>
    <w:rsid w:val="0090640E"/>
    <w:rsid w:val="00910A0A"/>
    <w:rsid w:val="00911337"/>
    <w:rsid w:val="00912590"/>
    <w:rsid w:val="00912BB6"/>
    <w:rsid w:val="00913DF3"/>
    <w:rsid w:val="00915C51"/>
    <w:rsid w:val="00915E0C"/>
    <w:rsid w:val="00916EC1"/>
    <w:rsid w:val="00917A22"/>
    <w:rsid w:val="00920963"/>
    <w:rsid w:val="009218C5"/>
    <w:rsid w:val="00923220"/>
    <w:rsid w:val="00924678"/>
    <w:rsid w:val="009252DA"/>
    <w:rsid w:val="00927C55"/>
    <w:rsid w:val="009306D2"/>
    <w:rsid w:val="00931B3E"/>
    <w:rsid w:val="00931D73"/>
    <w:rsid w:val="00933721"/>
    <w:rsid w:val="009342CD"/>
    <w:rsid w:val="009358CE"/>
    <w:rsid w:val="00935ECE"/>
    <w:rsid w:val="00936790"/>
    <w:rsid w:val="00940EE9"/>
    <w:rsid w:val="0094123B"/>
    <w:rsid w:val="00941AED"/>
    <w:rsid w:val="009424FB"/>
    <w:rsid w:val="00942754"/>
    <w:rsid w:val="009431E0"/>
    <w:rsid w:val="00945517"/>
    <w:rsid w:val="009459E9"/>
    <w:rsid w:val="0094661F"/>
    <w:rsid w:val="00946B44"/>
    <w:rsid w:val="009504C0"/>
    <w:rsid w:val="0095269F"/>
    <w:rsid w:val="00953590"/>
    <w:rsid w:val="00953D96"/>
    <w:rsid w:val="0095445B"/>
    <w:rsid w:val="00955BE8"/>
    <w:rsid w:val="00956F52"/>
    <w:rsid w:val="00960298"/>
    <w:rsid w:val="009603D9"/>
    <w:rsid w:val="00961F71"/>
    <w:rsid w:val="00962C20"/>
    <w:rsid w:val="0096574E"/>
    <w:rsid w:val="00970210"/>
    <w:rsid w:val="00971118"/>
    <w:rsid w:val="009720E6"/>
    <w:rsid w:val="0097578D"/>
    <w:rsid w:val="009767E9"/>
    <w:rsid w:val="00976C04"/>
    <w:rsid w:val="009771C5"/>
    <w:rsid w:val="009808CA"/>
    <w:rsid w:val="0098092F"/>
    <w:rsid w:val="0098198E"/>
    <w:rsid w:val="00981DF4"/>
    <w:rsid w:val="00982F76"/>
    <w:rsid w:val="0098319B"/>
    <w:rsid w:val="00985D29"/>
    <w:rsid w:val="00986A3F"/>
    <w:rsid w:val="00986B24"/>
    <w:rsid w:val="009874A4"/>
    <w:rsid w:val="00992137"/>
    <w:rsid w:val="009925FD"/>
    <w:rsid w:val="0099272C"/>
    <w:rsid w:val="00996214"/>
    <w:rsid w:val="00996603"/>
    <w:rsid w:val="009971D5"/>
    <w:rsid w:val="00997A8D"/>
    <w:rsid w:val="00997B01"/>
    <w:rsid w:val="00997BC6"/>
    <w:rsid w:val="009A0A64"/>
    <w:rsid w:val="009A1155"/>
    <w:rsid w:val="009A30CA"/>
    <w:rsid w:val="009A5626"/>
    <w:rsid w:val="009A6E03"/>
    <w:rsid w:val="009B0759"/>
    <w:rsid w:val="009B1C90"/>
    <w:rsid w:val="009B2125"/>
    <w:rsid w:val="009B2A90"/>
    <w:rsid w:val="009B2AF0"/>
    <w:rsid w:val="009B3158"/>
    <w:rsid w:val="009B422F"/>
    <w:rsid w:val="009B475B"/>
    <w:rsid w:val="009B5178"/>
    <w:rsid w:val="009B5E10"/>
    <w:rsid w:val="009B61D2"/>
    <w:rsid w:val="009B72E0"/>
    <w:rsid w:val="009B7A8B"/>
    <w:rsid w:val="009B7FB5"/>
    <w:rsid w:val="009C1ADF"/>
    <w:rsid w:val="009C5B53"/>
    <w:rsid w:val="009C5CE8"/>
    <w:rsid w:val="009D06CF"/>
    <w:rsid w:val="009D0827"/>
    <w:rsid w:val="009D4DBC"/>
    <w:rsid w:val="009D50B9"/>
    <w:rsid w:val="009D66BB"/>
    <w:rsid w:val="009D6ADB"/>
    <w:rsid w:val="009D7447"/>
    <w:rsid w:val="009D7FB8"/>
    <w:rsid w:val="009D7FE4"/>
    <w:rsid w:val="009E0C09"/>
    <w:rsid w:val="009E0F13"/>
    <w:rsid w:val="009E1828"/>
    <w:rsid w:val="009E42E7"/>
    <w:rsid w:val="009E585E"/>
    <w:rsid w:val="009E59DE"/>
    <w:rsid w:val="009E64FB"/>
    <w:rsid w:val="009E665B"/>
    <w:rsid w:val="009E74F8"/>
    <w:rsid w:val="009E7CC7"/>
    <w:rsid w:val="009F0D7D"/>
    <w:rsid w:val="009F1193"/>
    <w:rsid w:val="009F17DD"/>
    <w:rsid w:val="009F1E67"/>
    <w:rsid w:val="009F3AEA"/>
    <w:rsid w:val="009F442C"/>
    <w:rsid w:val="009F6072"/>
    <w:rsid w:val="009F6143"/>
    <w:rsid w:val="009F70D2"/>
    <w:rsid w:val="009F796F"/>
    <w:rsid w:val="00A0045F"/>
    <w:rsid w:val="00A01516"/>
    <w:rsid w:val="00A0249B"/>
    <w:rsid w:val="00A0262E"/>
    <w:rsid w:val="00A02A2C"/>
    <w:rsid w:val="00A03169"/>
    <w:rsid w:val="00A044A0"/>
    <w:rsid w:val="00A0467E"/>
    <w:rsid w:val="00A046BD"/>
    <w:rsid w:val="00A0480B"/>
    <w:rsid w:val="00A0496B"/>
    <w:rsid w:val="00A05425"/>
    <w:rsid w:val="00A06905"/>
    <w:rsid w:val="00A07205"/>
    <w:rsid w:val="00A0732D"/>
    <w:rsid w:val="00A07E69"/>
    <w:rsid w:val="00A100E4"/>
    <w:rsid w:val="00A10F7F"/>
    <w:rsid w:val="00A112B8"/>
    <w:rsid w:val="00A11B33"/>
    <w:rsid w:val="00A1217C"/>
    <w:rsid w:val="00A13068"/>
    <w:rsid w:val="00A1466B"/>
    <w:rsid w:val="00A16E95"/>
    <w:rsid w:val="00A2002B"/>
    <w:rsid w:val="00A20259"/>
    <w:rsid w:val="00A21BD8"/>
    <w:rsid w:val="00A23F9E"/>
    <w:rsid w:val="00A24798"/>
    <w:rsid w:val="00A24A46"/>
    <w:rsid w:val="00A24AC2"/>
    <w:rsid w:val="00A26737"/>
    <w:rsid w:val="00A26CA8"/>
    <w:rsid w:val="00A270CB"/>
    <w:rsid w:val="00A271DF"/>
    <w:rsid w:val="00A3021E"/>
    <w:rsid w:val="00A30897"/>
    <w:rsid w:val="00A30EFA"/>
    <w:rsid w:val="00A31098"/>
    <w:rsid w:val="00A318B7"/>
    <w:rsid w:val="00A3225C"/>
    <w:rsid w:val="00A3321F"/>
    <w:rsid w:val="00A3361B"/>
    <w:rsid w:val="00A35615"/>
    <w:rsid w:val="00A35C6B"/>
    <w:rsid w:val="00A369DE"/>
    <w:rsid w:val="00A36B32"/>
    <w:rsid w:val="00A36CB6"/>
    <w:rsid w:val="00A37A0D"/>
    <w:rsid w:val="00A37AEE"/>
    <w:rsid w:val="00A4113D"/>
    <w:rsid w:val="00A413AF"/>
    <w:rsid w:val="00A42474"/>
    <w:rsid w:val="00A4341D"/>
    <w:rsid w:val="00A4439A"/>
    <w:rsid w:val="00A4563E"/>
    <w:rsid w:val="00A459F2"/>
    <w:rsid w:val="00A51641"/>
    <w:rsid w:val="00A51789"/>
    <w:rsid w:val="00A5286C"/>
    <w:rsid w:val="00A5477C"/>
    <w:rsid w:val="00A55FA2"/>
    <w:rsid w:val="00A568AB"/>
    <w:rsid w:val="00A57423"/>
    <w:rsid w:val="00A576F2"/>
    <w:rsid w:val="00A57BB1"/>
    <w:rsid w:val="00A57F9F"/>
    <w:rsid w:val="00A6007C"/>
    <w:rsid w:val="00A605DD"/>
    <w:rsid w:val="00A6140F"/>
    <w:rsid w:val="00A61624"/>
    <w:rsid w:val="00A63052"/>
    <w:rsid w:val="00A63C4B"/>
    <w:rsid w:val="00A64F43"/>
    <w:rsid w:val="00A661C5"/>
    <w:rsid w:val="00A71794"/>
    <w:rsid w:val="00A72839"/>
    <w:rsid w:val="00A73ABC"/>
    <w:rsid w:val="00A73D24"/>
    <w:rsid w:val="00A7474B"/>
    <w:rsid w:val="00A771B9"/>
    <w:rsid w:val="00A772B7"/>
    <w:rsid w:val="00A8068D"/>
    <w:rsid w:val="00A81524"/>
    <w:rsid w:val="00A8248F"/>
    <w:rsid w:val="00A827CC"/>
    <w:rsid w:val="00A82968"/>
    <w:rsid w:val="00A8315C"/>
    <w:rsid w:val="00A834F6"/>
    <w:rsid w:val="00A844B9"/>
    <w:rsid w:val="00A85603"/>
    <w:rsid w:val="00A85E16"/>
    <w:rsid w:val="00A86D5A"/>
    <w:rsid w:val="00A87869"/>
    <w:rsid w:val="00A9220D"/>
    <w:rsid w:val="00A92744"/>
    <w:rsid w:val="00A9353E"/>
    <w:rsid w:val="00A93E49"/>
    <w:rsid w:val="00A941D5"/>
    <w:rsid w:val="00A95424"/>
    <w:rsid w:val="00A96E49"/>
    <w:rsid w:val="00A97BBA"/>
    <w:rsid w:val="00A97EC0"/>
    <w:rsid w:val="00AA1E92"/>
    <w:rsid w:val="00AA438A"/>
    <w:rsid w:val="00AA57AA"/>
    <w:rsid w:val="00AA619F"/>
    <w:rsid w:val="00AA62EE"/>
    <w:rsid w:val="00AA658B"/>
    <w:rsid w:val="00AA6DD1"/>
    <w:rsid w:val="00AB1A93"/>
    <w:rsid w:val="00AB206A"/>
    <w:rsid w:val="00AB237B"/>
    <w:rsid w:val="00AB3ABE"/>
    <w:rsid w:val="00AB3CB5"/>
    <w:rsid w:val="00AB55A0"/>
    <w:rsid w:val="00AB624D"/>
    <w:rsid w:val="00AC11C1"/>
    <w:rsid w:val="00AC3354"/>
    <w:rsid w:val="00AC379F"/>
    <w:rsid w:val="00AC7729"/>
    <w:rsid w:val="00AD0957"/>
    <w:rsid w:val="00AD0CD2"/>
    <w:rsid w:val="00AD1AD1"/>
    <w:rsid w:val="00AD2E91"/>
    <w:rsid w:val="00AD2EDE"/>
    <w:rsid w:val="00AD3903"/>
    <w:rsid w:val="00AD49A7"/>
    <w:rsid w:val="00AD528E"/>
    <w:rsid w:val="00AD7001"/>
    <w:rsid w:val="00AE14F6"/>
    <w:rsid w:val="00AE2305"/>
    <w:rsid w:val="00AE25D1"/>
    <w:rsid w:val="00AE2703"/>
    <w:rsid w:val="00AE325B"/>
    <w:rsid w:val="00AE3434"/>
    <w:rsid w:val="00AE40E4"/>
    <w:rsid w:val="00AE4AE7"/>
    <w:rsid w:val="00AE5F18"/>
    <w:rsid w:val="00AE674D"/>
    <w:rsid w:val="00AE6AAE"/>
    <w:rsid w:val="00AE7824"/>
    <w:rsid w:val="00AF0962"/>
    <w:rsid w:val="00AF0B7C"/>
    <w:rsid w:val="00AF2CB0"/>
    <w:rsid w:val="00AF30AB"/>
    <w:rsid w:val="00AF451C"/>
    <w:rsid w:val="00AF4898"/>
    <w:rsid w:val="00AF5858"/>
    <w:rsid w:val="00AF7226"/>
    <w:rsid w:val="00B0155C"/>
    <w:rsid w:val="00B0265B"/>
    <w:rsid w:val="00B0315E"/>
    <w:rsid w:val="00B03CE8"/>
    <w:rsid w:val="00B068EE"/>
    <w:rsid w:val="00B06E39"/>
    <w:rsid w:val="00B06FF7"/>
    <w:rsid w:val="00B10784"/>
    <w:rsid w:val="00B11296"/>
    <w:rsid w:val="00B11CE9"/>
    <w:rsid w:val="00B12055"/>
    <w:rsid w:val="00B1209F"/>
    <w:rsid w:val="00B136CB"/>
    <w:rsid w:val="00B141AB"/>
    <w:rsid w:val="00B16015"/>
    <w:rsid w:val="00B1707B"/>
    <w:rsid w:val="00B17187"/>
    <w:rsid w:val="00B21A84"/>
    <w:rsid w:val="00B2536D"/>
    <w:rsid w:val="00B2751E"/>
    <w:rsid w:val="00B2783E"/>
    <w:rsid w:val="00B305F4"/>
    <w:rsid w:val="00B307EC"/>
    <w:rsid w:val="00B315FC"/>
    <w:rsid w:val="00B31AF4"/>
    <w:rsid w:val="00B32A82"/>
    <w:rsid w:val="00B33DD8"/>
    <w:rsid w:val="00B3412D"/>
    <w:rsid w:val="00B34C04"/>
    <w:rsid w:val="00B354D6"/>
    <w:rsid w:val="00B360E0"/>
    <w:rsid w:val="00B36769"/>
    <w:rsid w:val="00B367E5"/>
    <w:rsid w:val="00B36F8D"/>
    <w:rsid w:val="00B36FF2"/>
    <w:rsid w:val="00B37213"/>
    <w:rsid w:val="00B409D3"/>
    <w:rsid w:val="00B410D4"/>
    <w:rsid w:val="00B4111B"/>
    <w:rsid w:val="00B4130C"/>
    <w:rsid w:val="00B413FE"/>
    <w:rsid w:val="00B4244E"/>
    <w:rsid w:val="00B42579"/>
    <w:rsid w:val="00B43A77"/>
    <w:rsid w:val="00B45428"/>
    <w:rsid w:val="00B45F91"/>
    <w:rsid w:val="00B46CD7"/>
    <w:rsid w:val="00B53278"/>
    <w:rsid w:val="00B54847"/>
    <w:rsid w:val="00B54F6D"/>
    <w:rsid w:val="00B55A49"/>
    <w:rsid w:val="00B57858"/>
    <w:rsid w:val="00B617C9"/>
    <w:rsid w:val="00B6225A"/>
    <w:rsid w:val="00B62F99"/>
    <w:rsid w:val="00B64DBB"/>
    <w:rsid w:val="00B652A2"/>
    <w:rsid w:val="00B65D21"/>
    <w:rsid w:val="00B675D4"/>
    <w:rsid w:val="00B71D21"/>
    <w:rsid w:val="00B7254C"/>
    <w:rsid w:val="00B730DD"/>
    <w:rsid w:val="00B7584F"/>
    <w:rsid w:val="00B75854"/>
    <w:rsid w:val="00B76194"/>
    <w:rsid w:val="00B76A6C"/>
    <w:rsid w:val="00B7758F"/>
    <w:rsid w:val="00B80708"/>
    <w:rsid w:val="00B82116"/>
    <w:rsid w:val="00B8511B"/>
    <w:rsid w:val="00B85349"/>
    <w:rsid w:val="00B860F8"/>
    <w:rsid w:val="00B869CF"/>
    <w:rsid w:val="00B86A83"/>
    <w:rsid w:val="00B90125"/>
    <w:rsid w:val="00B913B4"/>
    <w:rsid w:val="00B92EBC"/>
    <w:rsid w:val="00B932B0"/>
    <w:rsid w:val="00B93F3A"/>
    <w:rsid w:val="00B95160"/>
    <w:rsid w:val="00B95CBA"/>
    <w:rsid w:val="00B96911"/>
    <w:rsid w:val="00B970A7"/>
    <w:rsid w:val="00BA0E11"/>
    <w:rsid w:val="00BA1D1A"/>
    <w:rsid w:val="00BA259E"/>
    <w:rsid w:val="00BA2C5B"/>
    <w:rsid w:val="00BA4F71"/>
    <w:rsid w:val="00BA6274"/>
    <w:rsid w:val="00BB04AA"/>
    <w:rsid w:val="00BB0BE0"/>
    <w:rsid w:val="00BB0D8C"/>
    <w:rsid w:val="00BB0F94"/>
    <w:rsid w:val="00BB19D2"/>
    <w:rsid w:val="00BB325A"/>
    <w:rsid w:val="00BB5157"/>
    <w:rsid w:val="00BB5606"/>
    <w:rsid w:val="00BB593E"/>
    <w:rsid w:val="00BB63A1"/>
    <w:rsid w:val="00BB669F"/>
    <w:rsid w:val="00BB6B7A"/>
    <w:rsid w:val="00BB7BC8"/>
    <w:rsid w:val="00BC1337"/>
    <w:rsid w:val="00BC26CC"/>
    <w:rsid w:val="00BC2D92"/>
    <w:rsid w:val="00BC3574"/>
    <w:rsid w:val="00BC43F9"/>
    <w:rsid w:val="00BC6B24"/>
    <w:rsid w:val="00BC6BD1"/>
    <w:rsid w:val="00BD03BD"/>
    <w:rsid w:val="00BD0564"/>
    <w:rsid w:val="00BD0AEF"/>
    <w:rsid w:val="00BD10F0"/>
    <w:rsid w:val="00BD1545"/>
    <w:rsid w:val="00BD175D"/>
    <w:rsid w:val="00BD1936"/>
    <w:rsid w:val="00BD2B4E"/>
    <w:rsid w:val="00BD2FD2"/>
    <w:rsid w:val="00BD40AB"/>
    <w:rsid w:val="00BD4700"/>
    <w:rsid w:val="00BD511C"/>
    <w:rsid w:val="00BD529F"/>
    <w:rsid w:val="00BD5C21"/>
    <w:rsid w:val="00BD64F5"/>
    <w:rsid w:val="00BD76DE"/>
    <w:rsid w:val="00BE0B77"/>
    <w:rsid w:val="00BE0DD4"/>
    <w:rsid w:val="00BE112E"/>
    <w:rsid w:val="00BE181A"/>
    <w:rsid w:val="00BE1DCD"/>
    <w:rsid w:val="00BE22AF"/>
    <w:rsid w:val="00BE5449"/>
    <w:rsid w:val="00BE5CC0"/>
    <w:rsid w:val="00BE5E57"/>
    <w:rsid w:val="00BF0BE9"/>
    <w:rsid w:val="00BF1456"/>
    <w:rsid w:val="00BF19E0"/>
    <w:rsid w:val="00BF234B"/>
    <w:rsid w:val="00BF3140"/>
    <w:rsid w:val="00BF3716"/>
    <w:rsid w:val="00BF5DE4"/>
    <w:rsid w:val="00BF68F4"/>
    <w:rsid w:val="00BF75F2"/>
    <w:rsid w:val="00BF7FB6"/>
    <w:rsid w:val="00C004A5"/>
    <w:rsid w:val="00C009BD"/>
    <w:rsid w:val="00C012C1"/>
    <w:rsid w:val="00C01499"/>
    <w:rsid w:val="00C01CAD"/>
    <w:rsid w:val="00C01FE7"/>
    <w:rsid w:val="00C02326"/>
    <w:rsid w:val="00C026CA"/>
    <w:rsid w:val="00C02BD2"/>
    <w:rsid w:val="00C0378D"/>
    <w:rsid w:val="00C041F4"/>
    <w:rsid w:val="00C045C7"/>
    <w:rsid w:val="00C07ED5"/>
    <w:rsid w:val="00C10A8E"/>
    <w:rsid w:val="00C136EB"/>
    <w:rsid w:val="00C1401B"/>
    <w:rsid w:val="00C14389"/>
    <w:rsid w:val="00C14F8E"/>
    <w:rsid w:val="00C152E0"/>
    <w:rsid w:val="00C17189"/>
    <w:rsid w:val="00C213C8"/>
    <w:rsid w:val="00C214FE"/>
    <w:rsid w:val="00C216BF"/>
    <w:rsid w:val="00C23803"/>
    <w:rsid w:val="00C2407D"/>
    <w:rsid w:val="00C30338"/>
    <w:rsid w:val="00C307B9"/>
    <w:rsid w:val="00C32393"/>
    <w:rsid w:val="00C32FFF"/>
    <w:rsid w:val="00C33407"/>
    <w:rsid w:val="00C3604D"/>
    <w:rsid w:val="00C36E1D"/>
    <w:rsid w:val="00C37077"/>
    <w:rsid w:val="00C37352"/>
    <w:rsid w:val="00C402BA"/>
    <w:rsid w:val="00C40EA4"/>
    <w:rsid w:val="00C424E6"/>
    <w:rsid w:val="00C50916"/>
    <w:rsid w:val="00C5117D"/>
    <w:rsid w:val="00C51738"/>
    <w:rsid w:val="00C51B5A"/>
    <w:rsid w:val="00C51F79"/>
    <w:rsid w:val="00C52CC2"/>
    <w:rsid w:val="00C53A1F"/>
    <w:rsid w:val="00C54512"/>
    <w:rsid w:val="00C54F1E"/>
    <w:rsid w:val="00C560CB"/>
    <w:rsid w:val="00C606E8"/>
    <w:rsid w:val="00C6113C"/>
    <w:rsid w:val="00C61AD3"/>
    <w:rsid w:val="00C64BDC"/>
    <w:rsid w:val="00C650A6"/>
    <w:rsid w:val="00C662EF"/>
    <w:rsid w:val="00C7138D"/>
    <w:rsid w:val="00C713DD"/>
    <w:rsid w:val="00C73508"/>
    <w:rsid w:val="00C74572"/>
    <w:rsid w:val="00C74B9D"/>
    <w:rsid w:val="00C762B1"/>
    <w:rsid w:val="00C766D0"/>
    <w:rsid w:val="00C7758D"/>
    <w:rsid w:val="00C77695"/>
    <w:rsid w:val="00C8360A"/>
    <w:rsid w:val="00C83A65"/>
    <w:rsid w:val="00C83B1A"/>
    <w:rsid w:val="00C8475E"/>
    <w:rsid w:val="00C84985"/>
    <w:rsid w:val="00C854F1"/>
    <w:rsid w:val="00C858F2"/>
    <w:rsid w:val="00C86F62"/>
    <w:rsid w:val="00C870E5"/>
    <w:rsid w:val="00C871F0"/>
    <w:rsid w:val="00C900D2"/>
    <w:rsid w:val="00C90517"/>
    <w:rsid w:val="00C92983"/>
    <w:rsid w:val="00C93057"/>
    <w:rsid w:val="00C94140"/>
    <w:rsid w:val="00C95781"/>
    <w:rsid w:val="00C95B68"/>
    <w:rsid w:val="00C95E1A"/>
    <w:rsid w:val="00C96103"/>
    <w:rsid w:val="00C96160"/>
    <w:rsid w:val="00C962D5"/>
    <w:rsid w:val="00C976E1"/>
    <w:rsid w:val="00CA4157"/>
    <w:rsid w:val="00CA55C8"/>
    <w:rsid w:val="00CA695B"/>
    <w:rsid w:val="00CA6AF7"/>
    <w:rsid w:val="00CB0280"/>
    <w:rsid w:val="00CB329C"/>
    <w:rsid w:val="00CB48C2"/>
    <w:rsid w:val="00CB5B34"/>
    <w:rsid w:val="00CB7387"/>
    <w:rsid w:val="00CB74CA"/>
    <w:rsid w:val="00CC054B"/>
    <w:rsid w:val="00CC094D"/>
    <w:rsid w:val="00CC0DC5"/>
    <w:rsid w:val="00CC1789"/>
    <w:rsid w:val="00CC1EFB"/>
    <w:rsid w:val="00CC233B"/>
    <w:rsid w:val="00CC24F8"/>
    <w:rsid w:val="00CC313C"/>
    <w:rsid w:val="00CC3728"/>
    <w:rsid w:val="00CC3FA6"/>
    <w:rsid w:val="00CC4794"/>
    <w:rsid w:val="00CC64E3"/>
    <w:rsid w:val="00CC6BA6"/>
    <w:rsid w:val="00CC711E"/>
    <w:rsid w:val="00CD0670"/>
    <w:rsid w:val="00CD0AAA"/>
    <w:rsid w:val="00CD1FE3"/>
    <w:rsid w:val="00CD4934"/>
    <w:rsid w:val="00CD4E01"/>
    <w:rsid w:val="00CD5526"/>
    <w:rsid w:val="00CD6500"/>
    <w:rsid w:val="00CD66FB"/>
    <w:rsid w:val="00CD6770"/>
    <w:rsid w:val="00CD793E"/>
    <w:rsid w:val="00CE2F40"/>
    <w:rsid w:val="00CE35B9"/>
    <w:rsid w:val="00CE6007"/>
    <w:rsid w:val="00CE602C"/>
    <w:rsid w:val="00CE68FF"/>
    <w:rsid w:val="00CE6E0E"/>
    <w:rsid w:val="00CE7033"/>
    <w:rsid w:val="00CE73FA"/>
    <w:rsid w:val="00CF2019"/>
    <w:rsid w:val="00CF2BC9"/>
    <w:rsid w:val="00CF30DB"/>
    <w:rsid w:val="00CF3569"/>
    <w:rsid w:val="00CF4014"/>
    <w:rsid w:val="00CF55FA"/>
    <w:rsid w:val="00CF6F91"/>
    <w:rsid w:val="00D004E2"/>
    <w:rsid w:val="00D01CF3"/>
    <w:rsid w:val="00D028BF"/>
    <w:rsid w:val="00D03468"/>
    <w:rsid w:val="00D04ADE"/>
    <w:rsid w:val="00D06093"/>
    <w:rsid w:val="00D06B17"/>
    <w:rsid w:val="00D11019"/>
    <w:rsid w:val="00D115D9"/>
    <w:rsid w:val="00D13E0D"/>
    <w:rsid w:val="00D14176"/>
    <w:rsid w:val="00D151CD"/>
    <w:rsid w:val="00D1576E"/>
    <w:rsid w:val="00D15E89"/>
    <w:rsid w:val="00D16548"/>
    <w:rsid w:val="00D21D97"/>
    <w:rsid w:val="00D21F9F"/>
    <w:rsid w:val="00D22450"/>
    <w:rsid w:val="00D2250E"/>
    <w:rsid w:val="00D255A8"/>
    <w:rsid w:val="00D2628C"/>
    <w:rsid w:val="00D263EC"/>
    <w:rsid w:val="00D26E8D"/>
    <w:rsid w:val="00D31090"/>
    <w:rsid w:val="00D325DD"/>
    <w:rsid w:val="00D327F7"/>
    <w:rsid w:val="00D32A06"/>
    <w:rsid w:val="00D32A0A"/>
    <w:rsid w:val="00D34266"/>
    <w:rsid w:val="00D35FD1"/>
    <w:rsid w:val="00D37A84"/>
    <w:rsid w:val="00D40ED0"/>
    <w:rsid w:val="00D41CF8"/>
    <w:rsid w:val="00D42646"/>
    <w:rsid w:val="00D46887"/>
    <w:rsid w:val="00D46938"/>
    <w:rsid w:val="00D474E2"/>
    <w:rsid w:val="00D47F2A"/>
    <w:rsid w:val="00D50A2A"/>
    <w:rsid w:val="00D527B1"/>
    <w:rsid w:val="00D52C9E"/>
    <w:rsid w:val="00D5326B"/>
    <w:rsid w:val="00D546D7"/>
    <w:rsid w:val="00D5698E"/>
    <w:rsid w:val="00D56B8B"/>
    <w:rsid w:val="00D56C0B"/>
    <w:rsid w:val="00D571FE"/>
    <w:rsid w:val="00D60A35"/>
    <w:rsid w:val="00D60F67"/>
    <w:rsid w:val="00D61386"/>
    <w:rsid w:val="00D63A86"/>
    <w:rsid w:val="00D65E4D"/>
    <w:rsid w:val="00D665CC"/>
    <w:rsid w:val="00D70BA6"/>
    <w:rsid w:val="00D75443"/>
    <w:rsid w:val="00D7623D"/>
    <w:rsid w:val="00D77FE8"/>
    <w:rsid w:val="00D80FC0"/>
    <w:rsid w:val="00D81F8E"/>
    <w:rsid w:val="00D8284C"/>
    <w:rsid w:val="00D82C90"/>
    <w:rsid w:val="00D839E0"/>
    <w:rsid w:val="00D83B3D"/>
    <w:rsid w:val="00D85ED8"/>
    <w:rsid w:val="00D85F3A"/>
    <w:rsid w:val="00D85F5C"/>
    <w:rsid w:val="00D86D3A"/>
    <w:rsid w:val="00D90480"/>
    <w:rsid w:val="00D914E3"/>
    <w:rsid w:val="00D927AD"/>
    <w:rsid w:val="00D94324"/>
    <w:rsid w:val="00D95F51"/>
    <w:rsid w:val="00D96FF4"/>
    <w:rsid w:val="00DA08F0"/>
    <w:rsid w:val="00DA0AC2"/>
    <w:rsid w:val="00DA354F"/>
    <w:rsid w:val="00DA3BF1"/>
    <w:rsid w:val="00DA4827"/>
    <w:rsid w:val="00DA518C"/>
    <w:rsid w:val="00DA66DB"/>
    <w:rsid w:val="00DA71EA"/>
    <w:rsid w:val="00DA7755"/>
    <w:rsid w:val="00DB00E3"/>
    <w:rsid w:val="00DB0D9B"/>
    <w:rsid w:val="00DB52FE"/>
    <w:rsid w:val="00DB53AA"/>
    <w:rsid w:val="00DB5BFA"/>
    <w:rsid w:val="00DB5DF1"/>
    <w:rsid w:val="00DB6B67"/>
    <w:rsid w:val="00DB6D52"/>
    <w:rsid w:val="00DB7C52"/>
    <w:rsid w:val="00DC0485"/>
    <w:rsid w:val="00DC07CF"/>
    <w:rsid w:val="00DC08F4"/>
    <w:rsid w:val="00DC0E2A"/>
    <w:rsid w:val="00DC2509"/>
    <w:rsid w:val="00DC57B5"/>
    <w:rsid w:val="00DC5C82"/>
    <w:rsid w:val="00DC6B2D"/>
    <w:rsid w:val="00DC78A1"/>
    <w:rsid w:val="00DD0EEA"/>
    <w:rsid w:val="00DD1BE3"/>
    <w:rsid w:val="00DD2465"/>
    <w:rsid w:val="00DD2C48"/>
    <w:rsid w:val="00DD30FF"/>
    <w:rsid w:val="00DD5EF3"/>
    <w:rsid w:val="00DD6BC7"/>
    <w:rsid w:val="00DD7303"/>
    <w:rsid w:val="00DD76C5"/>
    <w:rsid w:val="00DD7CAD"/>
    <w:rsid w:val="00DE12B0"/>
    <w:rsid w:val="00DE164C"/>
    <w:rsid w:val="00DE196F"/>
    <w:rsid w:val="00DE2731"/>
    <w:rsid w:val="00DE328E"/>
    <w:rsid w:val="00DE3681"/>
    <w:rsid w:val="00DE3B1A"/>
    <w:rsid w:val="00DE52FF"/>
    <w:rsid w:val="00DE562A"/>
    <w:rsid w:val="00DE6046"/>
    <w:rsid w:val="00DE726F"/>
    <w:rsid w:val="00DF0560"/>
    <w:rsid w:val="00DF0F58"/>
    <w:rsid w:val="00DF2A36"/>
    <w:rsid w:val="00DF3184"/>
    <w:rsid w:val="00DF4BD7"/>
    <w:rsid w:val="00DF4D2B"/>
    <w:rsid w:val="00DF552F"/>
    <w:rsid w:val="00DF58D9"/>
    <w:rsid w:val="00DF59F6"/>
    <w:rsid w:val="00DF6461"/>
    <w:rsid w:val="00E01C9D"/>
    <w:rsid w:val="00E01EAE"/>
    <w:rsid w:val="00E03EFD"/>
    <w:rsid w:val="00E05774"/>
    <w:rsid w:val="00E07821"/>
    <w:rsid w:val="00E07E23"/>
    <w:rsid w:val="00E1328A"/>
    <w:rsid w:val="00E1391A"/>
    <w:rsid w:val="00E14210"/>
    <w:rsid w:val="00E147FC"/>
    <w:rsid w:val="00E14D34"/>
    <w:rsid w:val="00E14E81"/>
    <w:rsid w:val="00E159A0"/>
    <w:rsid w:val="00E16FA4"/>
    <w:rsid w:val="00E177EA"/>
    <w:rsid w:val="00E17D99"/>
    <w:rsid w:val="00E203AE"/>
    <w:rsid w:val="00E21FEC"/>
    <w:rsid w:val="00E220C6"/>
    <w:rsid w:val="00E225CB"/>
    <w:rsid w:val="00E241B7"/>
    <w:rsid w:val="00E24933"/>
    <w:rsid w:val="00E255FD"/>
    <w:rsid w:val="00E256AC"/>
    <w:rsid w:val="00E25ABF"/>
    <w:rsid w:val="00E264E2"/>
    <w:rsid w:val="00E27AB5"/>
    <w:rsid w:val="00E27BE9"/>
    <w:rsid w:val="00E307F4"/>
    <w:rsid w:val="00E314F2"/>
    <w:rsid w:val="00E3209C"/>
    <w:rsid w:val="00E327BA"/>
    <w:rsid w:val="00E33780"/>
    <w:rsid w:val="00E34C02"/>
    <w:rsid w:val="00E34CB3"/>
    <w:rsid w:val="00E35EF2"/>
    <w:rsid w:val="00E362F2"/>
    <w:rsid w:val="00E369B2"/>
    <w:rsid w:val="00E41149"/>
    <w:rsid w:val="00E424BE"/>
    <w:rsid w:val="00E42864"/>
    <w:rsid w:val="00E43D75"/>
    <w:rsid w:val="00E4468F"/>
    <w:rsid w:val="00E452D2"/>
    <w:rsid w:val="00E46542"/>
    <w:rsid w:val="00E47478"/>
    <w:rsid w:val="00E47E91"/>
    <w:rsid w:val="00E50CE0"/>
    <w:rsid w:val="00E55EBC"/>
    <w:rsid w:val="00E56A60"/>
    <w:rsid w:val="00E57BFA"/>
    <w:rsid w:val="00E615EC"/>
    <w:rsid w:val="00E622C6"/>
    <w:rsid w:val="00E623C6"/>
    <w:rsid w:val="00E626BC"/>
    <w:rsid w:val="00E62A55"/>
    <w:rsid w:val="00E63DA0"/>
    <w:rsid w:val="00E644CA"/>
    <w:rsid w:val="00E65073"/>
    <w:rsid w:val="00E66257"/>
    <w:rsid w:val="00E66538"/>
    <w:rsid w:val="00E66654"/>
    <w:rsid w:val="00E67B67"/>
    <w:rsid w:val="00E7033D"/>
    <w:rsid w:val="00E7115E"/>
    <w:rsid w:val="00E71372"/>
    <w:rsid w:val="00E72048"/>
    <w:rsid w:val="00E72957"/>
    <w:rsid w:val="00E760D2"/>
    <w:rsid w:val="00E771D6"/>
    <w:rsid w:val="00E775E0"/>
    <w:rsid w:val="00E81705"/>
    <w:rsid w:val="00E82B3D"/>
    <w:rsid w:val="00E82FA2"/>
    <w:rsid w:val="00E83D92"/>
    <w:rsid w:val="00E84425"/>
    <w:rsid w:val="00E84B6E"/>
    <w:rsid w:val="00E84E08"/>
    <w:rsid w:val="00E85210"/>
    <w:rsid w:val="00E87326"/>
    <w:rsid w:val="00E87C24"/>
    <w:rsid w:val="00E92C1D"/>
    <w:rsid w:val="00E92F03"/>
    <w:rsid w:val="00E95203"/>
    <w:rsid w:val="00E9533B"/>
    <w:rsid w:val="00E976FB"/>
    <w:rsid w:val="00EA0AF6"/>
    <w:rsid w:val="00EA17A5"/>
    <w:rsid w:val="00EA238A"/>
    <w:rsid w:val="00EA38DE"/>
    <w:rsid w:val="00EA42DE"/>
    <w:rsid w:val="00EA4841"/>
    <w:rsid w:val="00EA4D41"/>
    <w:rsid w:val="00EA5703"/>
    <w:rsid w:val="00EB0AE0"/>
    <w:rsid w:val="00EB0FF1"/>
    <w:rsid w:val="00EB1209"/>
    <w:rsid w:val="00EB1617"/>
    <w:rsid w:val="00EB1C5F"/>
    <w:rsid w:val="00EB2830"/>
    <w:rsid w:val="00EB2AC2"/>
    <w:rsid w:val="00EB33D9"/>
    <w:rsid w:val="00EB647F"/>
    <w:rsid w:val="00EB69F2"/>
    <w:rsid w:val="00EC12C4"/>
    <w:rsid w:val="00EC192A"/>
    <w:rsid w:val="00EC1C84"/>
    <w:rsid w:val="00EC25E5"/>
    <w:rsid w:val="00EC384A"/>
    <w:rsid w:val="00EC6CC8"/>
    <w:rsid w:val="00EC7C29"/>
    <w:rsid w:val="00ED17C3"/>
    <w:rsid w:val="00ED2876"/>
    <w:rsid w:val="00ED3BD7"/>
    <w:rsid w:val="00ED42B9"/>
    <w:rsid w:val="00ED5127"/>
    <w:rsid w:val="00ED535B"/>
    <w:rsid w:val="00ED5F86"/>
    <w:rsid w:val="00ED76CB"/>
    <w:rsid w:val="00EE0B1A"/>
    <w:rsid w:val="00EE29BD"/>
    <w:rsid w:val="00EE2FF0"/>
    <w:rsid w:val="00EE486D"/>
    <w:rsid w:val="00EE5534"/>
    <w:rsid w:val="00EE66FF"/>
    <w:rsid w:val="00EF0A24"/>
    <w:rsid w:val="00EF0BB4"/>
    <w:rsid w:val="00EF1F12"/>
    <w:rsid w:val="00EF287B"/>
    <w:rsid w:val="00EF2C72"/>
    <w:rsid w:val="00EF3D73"/>
    <w:rsid w:val="00EF475C"/>
    <w:rsid w:val="00EF5549"/>
    <w:rsid w:val="00EF6821"/>
    <w:rsid w:val="00F05105"/>
    <w:rsid w:val="00F057DD"/>
    <w:rsid w:val="00F106F7"/>
    <w:rsid w:val="00F10BED"/>
    <w:rsid w:val="00F10D6E"/>
    <w:rsid w:val="00F12F47"/>
    <w:rsid w:val="00F130CB"/>
    <w:rsid w:val="00F16AC6"/>
    <w:rsid w:val="00F20A8E"/>
    <w:rsid w:val="00F2251F"/>
    <w:rsid w:val="00F2265C"/>
    <w:rsid w:val="00F229A6"/>
    <w:rsid w:val="00F2369E"/>
    <w:rsid w:val="00F2451F"/>
    <w:rsid w:val="00F25434"/>
    <w:rsid w:val="00F275F9"/>
    <w:rsid w:val="00F278FF"/>
    <w:rsid w:val="00F30243"/>
    <w:rsid w:val="00F302CE"/>
    <w:rsid w:val="00F33E7D"/>
    <w:rsid w:val="00F35178"/>
    <w:rsid w:val="00F352C5"/>
    <w:rsid w:val="00F353D5"/>
    <w:rsid w:val="00F36A76"/>
    <w:rsid w:val="00F40AF7"/>
    <w:rsid w:val="00F4221F"/>
    <w:rsid w:val="00F42889"/>
    <w:rsid w:val="00F43DD7"/>
    <w:rsid w:val="00F442C0"/>
    <w:rsid w:val="00F463FC"/>
    <w:rsid w:val="00F47948"/>
    <w:rsid w:val="00F50680"/>
    <w:rsid w:val="00F517A5"/>
    <w:rsid w:val="00F51B07"/>
    <w:rsid w:val="00F53B17"/>
    <w:rsid w:val="00F543FB"/>
    <w:rsid w:val="00F548E9"/>
    <w:rsid w:val="00F54910"/>
    <w:rsid w:val="00F5643E"/>
    <w:rsid w:val="00F56A43"/>
    <w:rsid w:val="00F6032D"/>
    <w:rsid w:val="00F60DF7"/>
    <w:rsid w:val="00F611A7"/>
    <w:rsid w:val="00F611C9"/>
    <w:rsid w:val="00F61770"/>
    <w:rsid w:val="00F61967"/>
    <w:rsid w:val="00F61AE9"/>
    <w:rsid w:val="00F65AE3"/>
    <w:rsid w:val="00F65BFA"/>
    <w:rsid w:val="00F667CA"/>
    <w:rsid w:val="00F66C5E"/>
    <w:rsid w:val="00F67169"/>
    <w:rsid w:val="00F67220"/>
    <w:rsid w:val="00F7056F"/>
    <w:rsid w:val="00F70BA6"/>
    <w:rsid w:val="00F7112D"/>
    <w:rsid w:val="00F71175"/>
    <w:rsid w:val="00F71404"/>
    <w:rsid w:val="00F716F5"/>
    <w:rsid w:val="00F734C9"/>
    <w:rsid w:val="00F73D72"/>
    <w:rsid w:val="00F73E7A"/>
    <w:rsid w:val="00F745F1"/>
    <w:rsid w:val="00F74C01"/>
    <w:rsid w:val="00F80300"/>
    <w:rsid w:val="00F8145E"/>
    <w:rsid w:val="00F81763"/>
    <w:rsid w:val="00F819E1"/>
    <w:rsid w:val="00F82B61"/>
    <w:rsid w:val="00F82EB1"/>
    <w:rsid w:val="00F837D1"/>
    <w:rsid w:val="00F860EF"/>
    <w:rsid w:val="00F872C3"/>
    <w:rsid w:val="00F905E7"/>
    <w:rsid w:val="00F906EF"/>
    <w:rsid w:val="00F908F9"/>
    <w:rsid w:val="00F90F94"/>
    <w:rsid w:val="00F92523"/>
    <w:rsid w:val="00F94BB3"/>
    <w:rsid w:val="00F94F21"/>
    <w:rsid w:val="00F95179"/>
    <w:rsid w:val="00F95928"/>
    <w:rsid w:val="00F96D23"/>
    <w:rsid w:val="00F97793"/>
    <w:rsid w:val="00FA077B"/>
    <w:rsid w:val="00FA19AF"/>
    <w:rsid w:val="00FA2468"/>
    <w:rsid w:val="00FA3F5F"/>
    <w:rsid w:val="00FA4D5E"/>
    <w:rsid w:val="00FA51AE"/>
    <w:rsid w:val="00FA7461"/>
    <w:rsid w:val="00FB0212"/>
    <w:rsid w:val="00FB1405"/>
    <w:rsid w:val="00FB22FE"/>
    <w:rsid w:val="00FB2902"/>
    <w:rsid w:val="00FB49D0"/>
    <w:rsid w:val="00FB6D8F"/>
    <w:rsid w:val="00FB769F"/>
    <w:rsid w:val="00FB76D7"/>
    <w:rsid w:val="00FB78F8"/>
    <w:rsid w:val="00FC17C1"/>
    <w:rsid w:val="00FC1AF1"/>
    <w:rsid w:val="00FC211C"/>
    <w:rsid w:val="00FC2C35"/>
    <w:rsid w:val="00FC4D81"/>
    <w:rsid w:val="00FC576A"/>
    <w:rsid w:val="00FD180A"/>
    <w:rsid w:val="00FD2223"/>
    <w:rsid w:val="00FD23D6"/>
    <w:rsid w:val="00FD592D"/>
    <w:rsid w:val="00FD5B5D"/>
    <w:rsid w:val="00FD71E2"/>
    <w:rsid w:val="00FD744B"/>
    <w:rsid w:val="00FD7A6D"/>
    <w:rsid w:val="00FE1409"/>
    <w:rsid w:val="00FE16BE"/>
    <w:rsid w:val="00FE1979"/>
    <w:rsid w:val="00FE3701"/>
    <w:rsid w:val="00FE3B51"/>
    <w:rsid w:val="00FE3D4B"/>
    <w:rsid w:val="00FE3E69"/>
    <w:rsid w:val="00FE4178"/>
    <w:rsid w:val="00FE4403"/>
    <w:rsid w:val="00FE472A"/>
    <w:rsid w:val="00FE6D1F"/>
    <w:rsid w:val="00FE6D23"/>
    <w:rsid w:val="00FE7E1E"/>
    <w:rsid w:val="00FF0045"/>
    <w:rsid w:val="00FF0786"/>
    <w:rsid w:val="00FF2A7B"/>
    <w:rsid w:val="00FF2BEA"/>
    <w:rsid w:val="00FF2C4F"/>
    <w:rsid w:val="00FF3809"/>
    <w:rsid w:val="00FF3CF7"/>
    <w:rsid w:val="00FF3F4E"/>
    <w:rsid w:val="00FF4199"/>
    <w:rsid w:val="00FF42F8"/>
    <w:rsid w:val="00FF461F"/>
    <w:rsid w:val="00FF4FF2"/>
    <w:rsid w:val="00FF5B5E"/>
    <w:rsid w:val="00FF5E34"/>
    <w:rsid w:val="00FF6294"/>
    <w:rsid w:val="00FF6E5B"/>
    <w:rsid w:val="00FF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endarrow="block"/>
    </o:shapedefaults>
    <o:shapelayout v:ext="edit">
      <o:idmap v:ext="edit" data="1"/>
    </o:shapelayout>
  </w:shapeDefaults>
  <w:decimalSymbol w:val="."/>
  <w:listSeparator w:val=","/>
  <w14:docId w14:val="6A0ED29B"/>
  <w15:docId w15:val="{320F301F-B9E0-4C64-812F-11715A6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lsdException w:name="heading 2" w:semiHidden="1" w:uiPriority="9"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3B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uiPriority w:val="9"/>
    <w:rsid w:val="00D60F67"/>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rsid w:val="00D60F67"/>
    <w:pPr>
      <w:keepNext/>
      <w:spacing w:after="240" w:line="360" w:lineRule="auto"/>
      <w:outlineLvl w:val="2"/>
    </w:pPr>
    <w:rPr>
      <w:b/>
      <w:sz w:val="28"/>
      <w:szCs w:val="20"/>
    </w:rPr>
  </w:style>
  <w:style w:type="paragraph" w:styleId="Heading4">
    <w:name w:val="heading 4"/>
    <w:basedOn w:val="Normal"/>
    <w:next w:val="Normal"/>
    <w:uiPriority w:val="9"/>
    <w:semiHidden/>
    <w:unhideWhenUsed/>
    <w:rsid w:val="00D60F67"/>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rsid w:val="006C33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33B4"/>
  </w:style>
  <w:style w:type="paragraph" w:styleId="Header">
    <w:name w:val="header"/>
    <w:basedOn w:val="Normal"/>
    <w:link w:val="HeaderChar"/>
    <w:rsid w:val="00D60F67"/>
    <w:pPr>
      <w:tabs>
        <w:tab w:val="center" w:pos="4153"/>
        <w:tab w:val="right" w:pos="8306"/>
      </w:tabs>
    </w:pPr>
  </w:style>
  <w:style w:type="paragraph" w:styleId="Footer">
    <w:name w:val="footer"/>
    <w:basedOn w:val="Normal"/>
    <w:link w:val="FooterChar"/>
    <w:uiPriority w:val="99"/>
    <w:rsid w:val="00D60F67"/>
    <w:pPr>
      <w:tabs>
        <w:tab w:val="center" w:pos="4153"/>
        <w:tab w:val="right" w:pos="8306"/>
      </w:tabs>
    </w:pPr>
  </w:style>
  <w:style w:type="table" w:styleId="TableGrid">
    <w:name w:val="Table Grid"/>
    <w:basedOn w:val="TableNormal"/>
    <w:uiPriority w:val="59"/>
    <w:rsid w:val="00D60F67"/>
    <w:rPr>
      <w:rFonts w:ascii="Arial" w:hAnsi="Arial"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0F67"/>
    <w:rPr>
      <w:sz w:val="20"/>
      <w:szCs w:val="20"/>
    </w:rPr>
  </w:style>
  <w:style w:type="character" w:styleId="FootnoteReference">
    <w:name w:val="footnote reference"/>
    <w:rsid w:val="00D60F67"/>
    <w:rPr>
      <w:vertAlign w:val="superscript"/>
    </w:rPr>
  </w:style>
  <w:style w:type="character" w:styleId="PageNumber">
    <w:name w:val="page number"/>
    <w:basedOn w:val="DefaultParagraphFont"/>
    <w:rsid w:val="00D60F67"/>
  </w:style>
  <w:style w:type="character" w:styleId="FollowedHyperlink">
    <w:name w:val="FollowedHyperlink"/>
    <w:rsid w:val="00D60F67"/>
    <w:rPr>
      <w:color w:val="800080"/>
      <w:u w:val="single"/>
    </w:rPr>
  </w:style>
  <w:style w:type="character" w:styleId="Hyperlink">
    <w:name w:val="Hyperlink"/>
    <w:uiPriority w:val="99"/>
    <w:rsid w:val="00D60F67"/>
    <w:rPr>
      <w:color w:val="0000FF"/>
      <w:u w:val="single"/>
    </w:rPr>
  </w:style>
  <w:style w:type="paragraph" w:styleId="BalloonText">
    <w:name w:val="Balloon Text"/>
    <w:basedOn w:val="Normal"/>
    <w:semiHidden/>
    <w:rsid w:val="00D60F67"/>
    <w:rPr>
      <w:rFonts w:ascii="Tahoma" w:hAnsi="Tahoma" w:cs="Tahoma"/>
      <w:sz w:val="16"/>
      <w:szCs w:val="16"/>
    </w:rPr>
  </w:style>
  <w:style w:type="paragraph" w:styleId="Title">
    <w:name w:val="Title"/>
    <w:aliases w:val="Centred title"/>
    <w:basedOn w:val="Normal"/>
    <w:link w:val="TitleChar"/>
    <w:qFormat/>
    <w:rsid w:val="00D60F67"/>
    <w:pPr>
      <w:spacing w:before="480" w:after="480"/>
      <w:jc w:val="center"/>
    </w:pPr>
    <w:rPr>
      <w:b/>
      <w:sz w:val="32"/>
      <w:szCs w:val="32"/>
    </w:rPr>
  </w:style>
  <w:style w:type="paragraph" w:styleId="BodyText">
    <w:name w:val="Body Text"/>
    <w:basedOn w:val="Normal"/>
    <w:link w:val="BodyTextChar"/>
    <w:rsid w:val="00D60F67"/>
    <w:rPr>
      <w:szCs w:val="20"/>
    </w:rPr>
  </w:style>
  <w:style w:type="paragraph" w:styleId="BodyTextIndent">
    <w:name w:val="Body Text Indent"/>
    <w:basedOn w:val="Normal"/>
    <w:rsid w:val="00D60F67"/>
    <w:pPr>
      <w:spacing w:after="120"/>
      <w:ind w:left="283"/>
    </w:pPr>
  </w:style>
  <w:style w:type="paragraph" w:styleId="BodyText2">
    <w:name w:val="Body Text 2"/>
    <w:basedOn w:val="Normal"/>
    <w:rsid w:val="00D60F67"/>
    <w:pPr>
      <w:spacing w:after="120" w:line="480" w:lineRule="auto"/>
    </w:pPr>
  </w:style>
  <w:style w:type="paragraph" w:styleId="BodyText3">
    <w:name w:val="Body Text 3"/>
    <w:basedOn w:val="Normal"/>
    <w:rsid w:val="00D60F67"/>
    <w:pPr>
      <w:spacing w:after="120"/>
    </w:pPr>
    <w:rPr>
      <w:sz w:val="16"/>
      <w:szCs w:val="16"/>
    </w:rPr>
  </w:style>
  <w:style w:type="character" w:styleId="CommentReference">
    <w:name w:val="annotation reference"/>
    <w:semiHidden/>
    <w:rsid w:val="00D60F67"/>
    <w:rPr>
      <w:sz w:val="16"/>
      <w:szCs w:val="16"/>
    </w:rPr>
  </w:style>
  <w:style w:type="paragraph" w:styleId="CommentText">
    <w:name w:val="annotation text"/>
    <w:basedOn w:val="Normal"/>
    <w:link w:val="CommentTextChar"/>
    <w:semiHidden/>
    <w:rsid w:val="00D60F67"/>
    <w:rPr>
      <w:sz w:val="20"/>
      <w:szCs w:val="20"/>
    </w:rPr>
  </w:style>
  <w:style w:type="paragraph" w:styleId="CommentSubject">
    <w:name w:val="annotation subject"/>
    <w:basedOn w:val="CommentText"/>
    <w:next w:val="CommentText"/>
    <w:semiHidden/>
    <w:rsid w:val="00D60F67"/>
    <w:rPr>
      <w:b/>
      <w:bCs/>
    </w:rPr>
  </w:style>
  <w:style w:type="paragraph" w:customStyle="1" w:styleId="Default">
    <w:name w:val="Default"/>
    <w:rsid w:val="00D60F67"/>
    <w:pPr>
      <w:autoSpaceDE w:val="0"/>
      <w:autoSpaceDN w:val="0"/>
      <w:adjustRightInd w:val="0"/>
      <w:spacing w:after="200" w:line="276" w:lineRule="auto"/>
    </w:pPr>
    <w:rPr>
      <w:rFonts w:ascii="Arial" w:hAnsi="Arial" w:cs="Arial"/>
      <w:color w:val="000000"/>
      <w:sz w:val="24"/>
      <w:szCs w:val="24"/>
    </w:rPr>
  </w:style>
  <w:style w:type="paragraph" w:styleId="ListParagraph">
    <w:name w:val="List Paragraph"/>
    <w:basedOn w:val="Normal"/>
    <w:uiPriority w:val="34"/>
    <w:rsid w:val="00D60F67"/>
    <w:pPr>
      <w:ind w:left="720"/>
      <w:contextualSpacing/>
    </w:pPr>
  </w:style>
  <w:style w:type="character" w:customStyle="1" w:styleId="FooterChar">
    <w:name w:val="Footer Char"/>
    <w:link w:val="Footer"/>
    <w:uiPriority w:val="99"/>
    <w:rsid w:val="00D60F67"/>
    <w:rPr>
      <w:rFonts w:ascii="Arial" w:eastAsiaTheme="minorHAnsi" w:hAnsi="Arial" w:cstheme="minorBidi"/>
      <w:sz w:val="24"/>
      <w:szCs w:val="22"/>
      <w:lang w:eastAsia="en-US"/>
    </w:rPr>
  </w:style>
  <w:style w:type="character" w:styleId="PlaceholderText">
    <w:name w:val="Placeholder Text"/>
    <w:uiPriority w:val="99"/>
    <w:semiHidden/>
    <w:rsid w:val="00D60F67"/>
    <w:rPr>
      <w:color w:val="808080"/>
    </w:rPr>
  </w:style>
  <w:style w:type="paragraph" w:styleId="TOCHeading">
    <w:name w:val="TOC Heading"/>
    <w:basedOn w:val="Heading1"/>
    <w:next w:val="Normal"/>
    <w:uiPriority w:val="39"/>
    <w:semiHidden/>
    <w:unhideWhenUsed/>
    <w:qFormat/>
    <w:rsid w:val="00D60F67"/>
    <w:pPr>
      <w:outlineLvl w:val="9"/>
    </w:pPr>
  </w:style>
  <w:style w:type="paragraph" w:styleId="TOC1">
    <w:name w:val="toc 1"/>
    <w:basedOn w:val="Normal"/>
    <w:next w:val="Normal"/>
    <w:autoRedefine/>
    <w:uiPriority w:val="39"/>
    <w:rsid w:val="00D60F67"/>
    <w:pPr>
      <w:tabs>
        <w:tab w:val="left" w:pos="482"/>
        <w:tab w:val="right" w:leader="dot" w:pos="9498"/>
      </w:tabs>
      <w:spacing w:after="0"/>
      <w:ind w:left="425" w:hanging="425"/>
    </w:pPr>
  </w:style>
  <w:style w:type="paragraph" w:styleId="TOC3">
    <w:name w:val="toc 3"/>
    <w:basedOn w:val="Normal"/>
    <w:next w:val="Normal"/>
    <w:autoRedefine/>
    <w:uiPriority w:val="39"/>
    <w:rsid w:val="00D60F67"/>
    <w:pPr>
      <w:tabs>
        <w:tab w:val="left" w:pos="1100"/>
        <w:tab w:val="right" w:leader="dot" w:pos="8755"/>
      </w:tabs>
      <w:spacing w:after="120"/>
    </w:pPr>
  </w:style>
  <w:style w:type="paragraph" w:customStyle="1" w:styleId="TableofContents">
    <w:name w:val="Table of Contents"/>
    <w:basedOn w:val="TOC3"/>
    <w:qFormat/>
    <w:rsid w:val="00D60F67"/>
    <w:rPr>
      <w:noProof/>
    </w:rPr>
  </w:style>
  <w:style w:type="paragraph" w:customStyle="1" w:styleId="SectionTitle">
    <w:name w:val="Section Title"/>
    <w:basedOn w:val="Normal"/>
    <w:rsid w:val="00D60F67"/>
    <w:pPr>
      <w:spacing w:before="200" w:after="200"/>
    </w:pPr>
    <w:rPr>
      <w:b/>
      <w:sz w:val="28"/>
    </w:rPr>
  </w:style>
  <w:style w:type="numbering" w:customStyle="1" w:styleId="PolicyBullet">
    <w:name w:val="Policy Bullet"/>
    <w:basedOn w:val="NoList"/>
    <w:rsid w:val="00D60F67"/>
    <w:pPr>
      <w:numPr>
        <w:numId w:val="1"/>
      </w:numPr>
    </w:pPr>
  </w:style>
  <w:style w:type="paragraph" w:customStyle="1" w:styleId="Policyheader">
    <w:name w:val="Policy header"/>
    <w:basedOn w:val="Header"/>
    <w:link w:val="PolicyheaderChar"/>
    <w:qFormat/>
    <w:rsid w:val="00D60F67"/>
    <w:pPr>
      <w:keepNext/>
      <w:numPr>
        <w:numId w:val="2"/>
      </w:numPr>
      <w:tabs>
        <w:tab w:val="clear" w:pos="4153"/>
        <w:tab w:val="clear" w:pos="8306"/>
      </w:tabs>
      <w:spacing w:before="240" w:after="240" w:line="300" w:lineRule="auto"/>
      <w:ind w:left="851" w:hanging="851"/>
      <w:outlineLvl w:val="0"/>
    </w:pPr>
    <w:rPr>
      <w:b/>
      <w:bCs/>
      <w:noProof/>
      <w:sz w:val="28"/>
    </w:rPr>
  </w:style>
  <w:style w:type="character" w:customStyle="1" w:styleId="Heading3Char">
    <w:name w:val="Heading 3 Char"/>
    <w:link w:val="Heading3"/>
    <w:rsid w:val="00D60F67"/>
    <w:rPr>
      <w:rFonts w:ascii="Arial" w:eastAsiaTheme="minorHAnsi" w:hAnsi="Arial" w:cstheme="minorBidi"/>
      <w:b/>
      <w:sz w:val="28"/>
      <w:lang w:eastAsia="en-US"/>
    </w:rPr>
  </w:style>
  <w:style w:type="character" w:customStyle="1" w:styleId="TitleChar">
    <w:name w:val="Title Char"/>
    <w:aliases w:val="Centred title Char"/>
    <w:link w:val="Title"/>
    <w:rsid w:val="00D60F67"/>
    <w:rPr>
      <w:rFonts w:ascii="Arial" w:eastAsiaTheme="minorHAnsi" w:hAnsi="Arial" w:cstheme="minorBidi"/>
      <w:b/>
      <w:sz w:val="32"/>
      <w:szCs w:val="32"/>
      <w:lang w:eastAsia="en-US"/>
    </w:rPr>
  </w:style>
  <w:style w:type="paragraph" w:customStyle="1" w:styleId="Policybulletlevel2">
    <w:name w:val="Policy bullet level 2"/>
    <w:basedOn w:val="Normal"/>
    <w:link w:val="Policybulletlevel2Char"/>
    <w:qFormat/>
    <w:rsid w:val="00D60F67"/>
    <w:pPr>
      <w:numPr>
        <w:ilvl w:val="1"/>
        <w:numId w:val="2"/>
      </w:numPr>
      <w:suppressAutoHyphens/>
      <w:spacing w:before="120" w:after="120" w:line="300" w:lineRule="auto"/>
      <w:ind w:left="851" w:hanging="851"/>
    </w:pPr>
  </w:style>
  <w:style w:type="paragraph" w:styleId="Revision">
    <w:name w:val="Revision"/>
    <w:hidden/>
    <w:uiPriority w:val="99"/>
    <w:semiHidden/>
    <w:rsid w:val="00D60F67"/>
    <w:rPr>
      <w:rFonts w:ascii="Arial" w:hAnsi="Arial" w:cs="Arial"/>
      <w:sz w:val="22"/>
      <w:szCs w:val="24"/>
    </w:rPr>
  </w:style>
  <w:style w:type="paragraph" w:customStyle="1" w:styleId="PolicybulletLevel3">
    <w:name w:val="Policy bullet Level 3"/>
    <w:basedOn w:val="Policybulletlevel2"/>
    <w:qFormat/>
    <w:rsid w:val="00D60F67"/>
    <w:pPr>
      <w:numPr>
        <w:ilvl w:val="2"/>
      </w:numPr>
      <w:ind w:left="851" w:hanging="851"/>
    </w:pPr>
  </w:style>
  <w:style w:type="numbering" w:customStyle="1" w:styleId="Bulletstyleforpolicies">
    <w:name w:val="Bullet style for policies"/>
    <w:rsid w:val="00D60F67"/>
    <w:pPr>
      <w:numPr>
        <w:numId w:val="3"/>
      </w:numPr>
    </w:pPr>
  </w:style>
  <w:style w:type="paragraph" w:customStyle="1" w:styleId="Policybulletlevel4">
    <w:name w:val="Policy bullet level 4"/>
    <w:basedOn w:val="PolicybulletLevel3"/>
    <w:qFormat/>
    <w:rsid w:val="00D60F67"/>
    <w:pPr>
      <w:numPr>
        <w:ilvl w:val="3"/>
      </w:numPr>
      <w:ind w:left="1701" w:hanging="850"/>
    </w:pPr>
  </w:style>
  <w:style w:type="paragraph" w:customStyle="1" w:styleId="Policybulletstyle">
    <w:name w:val="Policy bullet style"/>
    <w:basedOn w:val="Policybulletlevel2"/>
    <w:link w:val="PolicybulletstyleChar"/>
    <w:rsid w:val="00D60F67"/>
  </w:style>
  <w:style w:type="paragraph" w:customStyle="1" w:styleId="Policybullet2">
    <w:name w:val="Policy bullet 2"/>
    <w:basedOn w:val="Heading3"/>
    <w:rsid w:val="00D60F67"/>
    <w:pPr>
      <w:spacing w:before="120" w:after="120" w:line="300" w:lineRule="auto"/>
      <w:ind w:left="709" w:hanging="709"/>
    </w:pPr>
    <w:rPr>
      <w:rFonts w:eastAsia="Times New Roman"/>
      <w:b w:val="0"/>
      <w:color w:val="000000"/>
      <w:sz w:val="24"/>
    </w:rPr>
  </w:style>
  <w:style w:type="character" w:customStyle="1" w:styleId="PolicyheaderChar">
    <w:name w:val="Policy header Char"/>
    <w:link w:val="Policyheader"/>
    <w:rsid w:val="00D60F67"/>
    <w:rPr>
      <w:rFonts w:ascii="Arial" w:eastAsiaTheme="minorHAnsi" w:hAnsi="Arial" w:cstheme="minorBidi"/>
      <w:b/>
      <w:bCs/>
      <w:noProof/>
      <w:sz w:val="28"/>
      <w:szCs w:val="22"/>
      <w:lang w:eastAsia="en-US"/>
    </w:rPr>
  </w:style>
  <w:style w:type="character" w:customStyle="1" w:styleId="Policybulletlevel2Char">
    <w:name w:val="Policy bullet level 2 Char"/>
    <w:link w:val="Policybulletlevel2"/>
    <w:rsid w:val="00D60F67"/>
    <w:rPr>
      <w:rFonts w:ascii="Arial" w:eastAsiaTheme="minorHAnsi" w:hAnsi="Arial" w:cstheme="minorBidi"/>
      <w:sz w:val="24"/>
      <w:szCs w:val="22"/>
      <w:lang w:eastAsia="en-US"/>
    </w:rPr>
  </w:style>
  <w:style w:type="character" w:customStyle="1" w:styleId="PolicybulletstyleChar">
    <w:name w:val="Policy bullet style Char"/>
    <w:basedOn w:val="Policybulletlevel2Char"/>
    <w:link w:val="Policybulletstyle"/>
    <w:rsid w:val="00D60F67"/>
    <w:rPr>
      <w:rFonts w:ascii="Arial" w:eastAsiaTheme="minorHAnsi" w:hAnsi="Arial" w:cstheme="minorBidi"/>
      <w:sz w:val="24"/>
      <w:szCs w:val="22"/>
      <w:lang w:eastAsia="en-US"/>
    </w:rPr>
  </w:style>
  <w:style w:type="paragraph" w:customStyle="1" w:styleId="PolicyBullet3">
    <w:name w:val="Policy Bullet 3"/>
    <w:basedOn w:val="Policybullet2"/>
    <w:rsid w:val="00D60F67"/>
  </w:style>
  <w:style w:type="paragraph" w:customStyle="1" w:styleId="PolicyBullet4">
    <w:name w:val="Policy Bullet 4"/>
    <w:basedOn w:val="PolicyBullet3"/>
    <w:rsid w:val="00D60F67"/>
  </w:style>
  <w:style w:type="paragraph" w:styleId="NoSpacing">
    <w:name w:val="No Spacing"/>
    <w:uiPriority w:val="1"/>
    <w:rsid w:val="00D60F67"/>
    <w:rPr>
      <w:rFonts w:ascii="Arial" w:hAnsi="Arial" w:cs="Arial"/>
      <w:sz w:val="24"/>
      <w:szCs w:val="24"/>
    </w:rPr>
  </w:style>
  <w:style w:type="paragraph" w:customStyle="1" w:styleId="PolicyHeader2">
    <w:name w:val="Policy Header 2"/>
    <w:basedOn w:val="Policybulletlevel2"/>
    <w:next w:val="Policybullet2"/>
    <w:qFormat/>
    <w:rsid w:val="00D60F67"/>
    <w:pPr>
      <w:keepNext/>
      <w:spacing w:before="240" w:after="240"/>
      <w:outlineLvl w:val="1"/>
    </w:pPr>
    <w:rPr>
      <w:b/>
    </w:rPr>
  </w:style>
  <w:style w:type="character" w:styleId="Strong">
    <w:name w:val="Strong"/>
    <w:uiPriority w:val="22"/>
    <w:rsid w:val="00D60F67"/>
    <w:rPr>
      <w:b/>
      <w:bCs/>
    </w:rPr>
  </w:style>
  <w:style w:type="paragraph" w:styleId="TOC2">
    <w:name w:val="toc 2"/>
    <w:basedOn w:val="Normal"/>
    <w:next w:val="Normal"/>
    <w:autoRedefine/>
    <w:uiPriority w:val="39"/>
    <w:rsid w:val="00D60F67"/>
    <w:pPr>
      <w:tabs>
        <w:tab w:val="left" w:pos="993"/>
        <w:tab w:val="right" w:leader="dot" w:pos="9496"/>
      </w:tabs>
      <w:ind w:left="426"/>
    </w:pPr>
  </w:style>
  <w:style w:type="paragraph" w:customStyle="1" w:styleId="PolicyHeader3">
    <w:name w:val="Policy Header 3"/>
    <w:basedOn w:val="PolicybulletLevel3"/>
    <w:next w:val="PolicybulletLevel3"/>
    <w:rsid w:val="00D60F67"/>
    <w:pPr>
      <w:outlineLvl w:val="2"/>
    </w:pPr>
  </w:style>
  <w:style w:type="paragraph" w:customStyle="1" w:styleId="Tabletext">
    <w:name w:val="Table text"/>
    <w:rsid w:val="00D60F67"/>
    <w:pPr>
      <w:suppressAutoHyphens/>
      <w:autoSpaceDN w:val="0"/>
      <w:spacing w:after="60"/>
      <w:textAlignment w:val="baseline"/>
    </w:pPr>
    <w:rPr>
      <w:rFonts w:ascii="Arial" w:eastAsia="Times New Roman" w:hAnsi="Arial"/>
      <w:sz w:val="22"/>
      <w:szCs w:val="22"/>
    </w:rPr>
  </w:style>
  <w:style w:type="paragraph" w:customStyle="1" w:styleId="Tablesubhead">
    <w:name w:val="Table sub head"/>
    <w:basedOn w:val="Normal"/>
    <w:rsid w:val="00D60F67"/>
    <w:pPr>
      <w:keepNext/>
      <w:suppressAutoHyphens/>
      <w:autoSpaceDN w:val="0"/>
      <w:textAlignment w:val="baseline"/>
    </w:pPr>
    <w:rPr>
      <w:rFonts w:eastAsia="Times New Roman"/>
      <w:b/>
      <w:bCs/>
      <w:szCs w:val="20"/>
    </w:rPr>
  </w:style>
  <w:style w:type="paragraph" w:customStyle="1" w:styleId="Tableheader">
    <w:name w:val="Table header"/>
    <w:rsid w:val="00D60F67"/>
    <w:pPr>
      <w:keepNext/>
      <w:suppressAutoHyphens/>
      <w:autoSpaceDN w:val="0"/>
      <w:jc w:val="center"/>
      <w:textAlignment w:val="baseline"/>
    </w:pPr>
    <w:rPr>
      <w:rFonts w:ascii="Arial" w:eastAsia="Times New Roman" w:hAnsi="Arial"/>
      <w:b/>
      <w:bCs/>
      <w:color w:val="FFFFFF"/>
      <w:sz w:val="22"/>
    </w:rPr>
  </w:style>
  <w:style w:type="character" w:customStyle="1" w:styleId="UnresolvedMention1">
    <w:name w:val="Unresolved Mention1"/>
    <w:basedOn w:val="DefaultParagraphFont"/>
    <w:uiPriority w:val="99"/>
    <w:semiHidden/>
    <w:unhideWhenUsed/>
    <w:rsid w:val="00D60F67"/>
    <w:rPr>
      <w:color w:val="605E5C"/>
      <w:shd w:val="clear" w:color="auto" w:fill="E1DFDD"/>
    </w:rPr>
  </w:style>
  <w:style w:type="paragraph" w:customStyle="1" w:styleId="Heading">
    <w:name w:val="Heading"/>
    <w:basedOn w:val="Normal"/>
    <w:next w:val="BodyText"/>
    <w:link w:val="HeadingChar"/>
    <w:rsid w:val="00D60F67"/>
    <w:pPr>
      <w:keepNext/>
      <w:suppressAutoHyphens/>
      <w:spacing w:before="240" w:after="120"/>
    </w:pPr>
    <w:rPr>
      <w:rFonts w:eastAsia="MS Mincho" w:cs="Tahoma"/>
      <w:sz w:val="28"/>
      <w:szCs w:val="28"/>
      <w:lang w:eastAsia="ar-SA"/>
    </w:rPr>
  </w:style>
  <w:style w:type="character" w:customStyle="1" w:styleId="BodyTextChar">
    <w:name w:val="Body Text Char"/>
    <w:basedOn w:val="DefaultParagraphFont"/>
    <w:link w:val="BodyText"/>
    <w:rsid w:val="00D60F67"/>
    <w:rPr>
      <w:rFonts w:ascii="Arial" w:eastAsiaTheme="minorHAnsi" w:hAnsi="Arial" w:cstheme="minorBidi"/>
      <w:sz w:val="22"/>
      <w:lang w:eastAsia="en-US"/>
    </w:rPr>
  </w:style>
  <w:style w:type="character" w:customStyle="1" w:styleId="FootnoteTextChar">
    <w:name w:val="Footnote Text Char"/>
    <w:basedOn w:val="DefaultParagraphFont"/>
    <w:link w:val="FootnoteText"/>
    <w:rsid w:val="00D60F67"/>
    <w:rPr>
      <w:rFonts w:ascii="Arial" w:eastAsiaTheme="minorHAnsi" w:hAnsi="Arial" w:cstheme="minorBidi"/>
      <w:lang w:eastAsia="en-US"/>
    </w:rPr>
  </w:style>
  <w:style w:type="character" w:customStyle="1" w:styleId="HeadingChar">
    <w:name w:val="Heading Char"/>
    <w:link w:val="Heading"/>
    <w:rsid w:val="00D60F67"/>
    <w:rPr>
      <w:rFonts w:ascii="Arial" w:eastAsia="MS Mincho" w:hAnsi="Arial" w:cs="Tahoma"/>
      <w:sz w:val="28"/>
      <w:szCs w:val="28"/>
      <w:lang w:eastAsia="ar-SA"/>
    </w:rPr>
  </w:style>
  <w:style w:type="character" w:styleId="UnresolvedMention">
    <w:name w:val="Unresolved Mention"/>
    <w:basedOn w:val="DefaultParagraphFont"/>
    <w:uiPriority w:val="99"/>
    <w:semiHidden/>
    <w:unhideWhenUsed/>
    <w:rsid w:val="00D60F67"/>
    <w:rPr>
      <w:color w:val="605E5C"/>
      <w:shd w:val="clear" w:color="auto" w:fill="E1DFDD"/>
    </w:rPr>
  </w:style>
  <w:style w:type="character" w:customStyle="1" w:styleId="CommentTextChar">
    <w:name w:val="Comment Text Char"/>
    <w:basedOn w:val="DefaultParagraphFont"/>
    <w:link w:val="CommentText"/>
    <w:semiHidden/>
    <w:rsid w:val="00D60F67"/>
    <w:rPr>
      <w:rFonts w:ascii="Arial" w:eastAsiaTheme="minorHAnsi" w:hAnsi="Arial" w:cstheme="minorBidi"/>
      <w:lang w:eastAsia="en-US"/>
    </w:rPr>
  </w:style>
  <w:style w:type="paragraph" w:styleId="NormalWeb">
    <w:name w:val="Normal (Web)"/>
    <w:basedOn w:val="Normal"/>
    <w:uiPriority w:val="99"/>
    <w:semiHidden/>
    <w:unhideWhenUsed/>
    <w:rsid w:val="00D60F67"/>
    <w:pPr>
      <w:spacing w:before="100" w:beforeAutospacing="1" w:after="100" w:afterAutospacing="1"/>
    </w:pPr>
    <w:rPr>
      <w:rFonts w:ascii="Calibri" w:hAnsi="Calibri" w:cs="Calibri"/>
    </w:rPr>
  </w:style>
  <w:style w:type="table" w:styleId="GridTable1Light">
    <w:name w:val="Grid Table 1 Light"/>
    <w:basedOn w:val="TableNormal"/>
    <w:uiPriority w:val="46"/>
    <w:rsid w:val="00D60F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60F67"/>
    <w:rPr>
      <w:rFonts w:ascii="Arial" w:eastAsia="Times New Roman" w:hAnsi="Arial"/>
    </w:rPr>
    <w:tblPr/>
  </w:style>
  <w:style w:type="character" w:customStyle="1" w:styleId="HeaderChar">
    <w:name w:val="Header Char"/>
    <w:basedOn w:val="DefaultParagraphFont"/>
    <w:link w:val="Header"/>
    <w:rsid w:val="00D60F67"/>
    <w:rPr>
      <w:rFonts w:ascii="Arial" w:eastAsiaTheme="minorHAnsi" w:hAnsi="Arial" w:cstheme="minorBidi"/>
      <w:sz w:val="24"/>
      <w:szCs w:val="22"/>
      <w:lang w:eastAsia="en-US"/>
    </w:rPr>
  </w:style>
  <w:style w:type="paragraph" w:customStyle="1" w:styleId="Header2">
    <w:name w:val="Header 2"/>
    <w:basedOn w:val="Policyheader"/>
    <w:link w:val="Header2Char"/>
    <w:qFormat/>
    <w:rsid w:val="00D60F67"/>
    <w:pPr>
      <w:numPr>
        <w:numId w:val="0"/>
      </w:numPr>
      <w:ind w:left="851" w:hanging="851"/>
      <w:outlineLvl w:val="1"/>
    </w:pPr>
  </w:style>
  <w:style w:type="paragraph" w:customStyle="1" w:styleId="Header3">
    <w:name w:val="Header 3"/>
    <w:basedOn w:val="Normal"/>
    <w:link w:val="Header3Char"/>
    <w:qFormat/>
    <w:rsid w:val="00D60F67"/>
    <w:pPr>
      <w:outlineLvl w:val="2"/>
    </w:pPr>
    <w:rPr>
      <w:rFonts w:eastAsia="Times New Roman"/>
      <w:b/>
    </w:rPr>
  </w:style>
  <w:style w:type="character" w:customStyle="1" w:styleId="Header2Char">
    <w:name w:val="Header 2 Char"/>
    <w:basedOn w:val="PolicyheaderChar"/>
    <w:link w:val="Header2"/>
    <w:rsid w:val="00D60F67"/>
    <w:rPr>
      <w:rFonts w:ascii="Arial" w:eastAsiaTheme="minorHAnsi" w:hAnsi="Arial" w:cstheme="minorBidi"/>
      <w:b/>
      <w:bCs/>
      <w:noProof/>
      <w:sz w:val="28"/>
      <w:szCs w:val="22"/>
      <w:lang w:eastAsia="en-US"/>
    </w:rPr>
  </w:style>
  <w:style w:type="character" w:customStyle="1" w:styleId="Header3Char">
    <w:name w:val="Header 3 Char"/>
    <w:basedOn w:val="DefaultParagraphFont"/>
    <w:link w:val="Header3"/>
    <w:rsid w:val="00D60F67"/>
    <w:rPr>
      <w:rFonts w:ascii="Arial" w:eastAsia="Times New Roman" w:hAnsi="Arial" w:cstheme="minorBidi"/>
      <w:b/>
      <w:sz w:val="24"/>
      <w:szCs w:val="22"/>
      <w:lang w:eastAsia="en-US"/>
    </w:rPr>
  </w:style>
  <w:style w:type="table" w:customStyle="1" w:styleId="TableGrid1">
    <w:name w:val="Table Grid1"/>
    <w:basedOn w:val="TableNormal"/>
    <w:next w:val="TableGrid"/>
    <w:uiPriority w:val="39"/>
    <w:rsid w:val="00E775E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52764">
      <w:bodyDiv w:val="1"/>
      <w:marLeft w:val="0"/>
      <w:marRight w:val="0"/>
      <w:marTop w:val="0"/>
      <w:marBottom w:val="0"/>
      <w:divBdr>
        <w:top w:val="none" w:sz="0" w:space="0" w:color="auto"/>
        <w:left w:val="none" w:sz="0" w:space="0" w:color="auto"/>
        <w:bottom w:val="none" w:sz="0" w:space="0" w:color="auto"/>
        <w:right w:val="none" w:sz="0" w:space="0" w:color="auto"/>
      </w:divBdr>
    </w:div>
    <w:div w:id="857817544">
      <w:bodyDiv w:val="1"/>
      <w:marLeft w:val="0"/>
      <w:marRight w:val="0"/>
      <w:marTop w:val="0"/>
      <w:marBottom w:val="0"/>
      <w:divBdr>
        <w:top w:val="none" w:sz="0" w:space="0" w:color="auto"/>
        <w:left w:val="none" w:sz="0" w:space="0" w:color="auto"/>
        <w:bottom w:val="none" w:sz="0" w:space="0" w:color="auto"/>
        <w:right w:val="none" w:sz="0" w:space="0" w:color="auto"/>
      </w:divBdr>
    </w:div>
    <w:div w:id="1019309047">
      <w:bodyDiv w:val="1"/>
      <w:marLeft w:val="0"/>
      <w:marRight w:val="0"/>
      <w:marTop w:val="0"/>
      <w:marBottom w:val="0"/>
      <w:divBdr>
        <w:top w:val="none" w:sz="0" w:space="0" w:color="auto"/>
        <w:left w:val="none" w:sz="0" w:space="0" w:color="auto"/>
        <w:bottom w:val="none" w:sz="0" w:space="0" w:color="auto"/>
        <w:right w:val="none" w:sz="0" w:space="0" w:color="auto"/>
      </w:divBdr>
    </w:div>
    <w:div w:id="1529559996">
      <w:bodyDiv w:val="1"/>
      <w:marLeft w:val="0"/>
      <w:marRight w:val="0"/>
      <w:marTop w:val="0"/>
      <w:marBottom w:val="0"/>
      <w:divBdr>
        <w:top w:val="none" w:sz="0" w:space="0" w:color="auto"/>
        <w:left w:val="none" w:sz="0" w:space="0" w:color="auto"/>
        <w:bottom w:val="none" w:sz="0" w:space="0" w:color="auto"/>
        <w:right w:val="none" w:sz="0" w:space="0" w:color="auto"/>
      </w:divBdr>
      <w:divsChild>
        <w:div w:id="94910737">
          <w:marLeft w:val="0"/>
          <w:marRight w:val="0"/>
          <w:marTop w:val="0"/>
          <w:marBottom w:val="0"/>
          <w:divBdr>
            <w:top w:val="none" w:sz="0" w:space="0" w:color="auto"/>
            <w:left w:val="none" w:sz="0" w:space="0" w:color="auto"/>
            <w:bottom w:val="none" w:sz="0" w:space="0" w:color="auto"/>
            <w:right w:val="none" w:sz="0" w:space="0" w:color="auto"/>
          </w:divBdr>
          <w:divsChild>
            <w:div w:id="1917519542">
              <w:marLeft w:val="0"/>
              <w:marRight w:val="0"/>
              <w:marTop w:val="0"/>
              <w:marBottom w:val="0"/>
              <w:divBdr>
                <w:top w:val="none" w:sz="0" w:space="0" w:color="auto"/>
                <w:left w:val="none" w:sz="0" w:space="0" w:color="auto"/>
                <w:bottom w:val="none" w:sz="0" w:space="0" w:color="auto"/>
                <w:right w:val="none" w:sz="0" w:space="0" w:color="auto"/>
              </w:divBdr>
              <w:divsChild>
                <w:div w:id="454835664">
                  <w:marLeft w:val="0"/>
                  <w:marRight w:val="0"/>
                  <w:marTop w:val="0"/>
                  <w:marBottom w:val="0"/>
                  <w:divBdr>
                    <w:top w:val="none" w:sz="0" w:space="0" w:color="auto"/>
                    <w:left w:val="none" w:sz="0" w:space="0" w:color="auto"/>
                    <w:bottom w:val="none" w:sz="0" w:space="0" w:color="auto"/>
                    <w:right w:val="none" w:sz="0" w:space="0" w:color="auto"/>
                  </w:divBdr>
                  <w:divsChild>
                    <w:div w:id="1041053387">
                      <w:marLeft w:val="0"/>
                      <w:marRight w:val="0"/>
                      <w:marTop w:val="0"/>
                      <w:marBottom w:val="0"/>
                      <w:divBdr>
                        <w:top w:val="none" w:sz="0" w:space="0" w:color="auto"/>
                        <w:left w:val="none" w:sz="0" w:space="0" w:color="auto"/>
                        <w:bottom w:val="none" w:sz="0" w:space="0" w:color="auto"/>
                        <w:right w:val="none" w:sz="0" w:space="0" w:color="auto"/>
                      </w:divBdr>
                      <w:divsChild>
                        <w:div w:id="455220898">
                          <w:marLeft w:val="355"/>
                          <w:marRight w:val="691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ngland.nhs.uk/publication/patient-safety-incident-response-framework-and-supporting-guidance/"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england.nhs.uk/wp-content/uploads/2022/08/B1465-2.-Engaging-and-involving...-v1-FIN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england.nhs.uk/wp-content/uploads/2022/08/B1465-4.-Oversight-roles-and-responsibilities-specification-v1-FINAL.pdf" TargetMode="External"/><Relationship Id="rId25" Type="http://schemas.openxmlformats.org/officeDocument/2006/relationships/hyperlink" Target="https://www.england.nhs.uk/long-read/patient-safety-healthcare-inequalities-reduction-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ngland.nhs.uk/wp-content/uploads/2022/08/B1465-SEIPS-quick-reference-and-work-system-explorer-v1-FINAL.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hare.ad.ekhuft.nhs.uk\share\MedDir\PatientSafety\PSIRF\Policy%20(PSIRF)\ekhuft.psirf@nhs.net" TargetMode="External"/><Relationship Id="rId24" Type="http://schemas.openxmlformats.org/officeDocument/2006/relationships/hyperlink" Target="https://www.england.nhs.uk/publication/being-fair-too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england.nhs.uk/long-read/patient-safety-incident-response-standards/" TargetMode="External"/><Relationship Id="rId28" Type="http://schemas.openxmlformats.org/officeDocument/2006/relationships/image" Target="media/image2.png"/><Relationship Id="rId10" Type="http://schemas.openxmlformats.org/officeDocument/2006/relationships/hyperlink" Target="https://learn-together.org.uk/investigation-resources/" TargetMode="External"/><Relationship Id="rId19" Type="http://schemas.openxmlformats.org/officeDocument/2006/relationships/hyperlink" Target="https://www.england.nhs.uk/wp-content/uploads/2022/08/B1465-Safety-action-development-v1.1.pdf"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mailto:ekhuft.psirf@nhs.net" TargetMode="External"/><Relationship Id="rId14" Type="http://schemas.openxmlformats.org/officeDocument/2006/relationships/header" Target="header2.xml"/><Relationship Id="rId22" Type="http://schemas.openxmlformats.org/officeDocument/2006/relationships/hyperlink" Target="https://www.england.nhs.uk/long-read/policy-guidance-on-recording-patient-safety-events-and-levels-of-harm/" TargetMode="External"/><Relationship Id="rId27" Type="http://schemas.openxmlformats.org/officeDocument/2006/relationships/footer" Target="footer4.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A14F-0342-4460-8D39-134A16335897}">
  <ds:schemaRefs>
    <ds:schemaRef ds:uri="http://schemas.microsoft.com/office/2006/metadata/longProperties"/>
  </ds:schemaRefs>
</ds:datastoreItem>
</file>

<file path=customXml/itemProps2.xml><?xml version="1.0" encoding="utf-8"?>
<ds:datastoreItem xmlns:ds="http://schemas.openxmlformats.org/officeDocument/2006/customXml" ds:itemID="{04C5DEE4-DCE1-403C-B12C-5A87C799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8447</Words>
  <Characters>48151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East Kent Hospitals Complaints Management Policy</vt:lpstr>
    </vt:vector>
  </TitlesOfParts>
  <Manager/>
  <Company/>
  <LinksUpToDate>false</LinksUpToDate>
  <CharactersWithSpaces>56486</CharactersWithSpaces>
  <SharedDoc>false</SharedDoc>
  <HLinks>
    <vt:vector size="96" baseType="variant">
      <vt:variant>
        <vt:i4>2359310</vt:i4>
      </vt:variant>
      <vt:variant>
        <vt:i4>92</vt:i4>
      </vt:variant>
      <vt:variant>
        <vt:i4>0</vt:i4>
      </vt:variant>
      <vt:variant>
        <vt:i4>5</vt:i4>
      </vt:variant>
      <vt:variant>
        <vt:lpwstr/>
      </vt:variant>
      <vt:variant>
        <vt:lpwstr>_Toc6490175</vt:lpwstr>
      </vt:variant>
      <vt:variant>
        <vt:i4>2359310</vt:i4>
      </vt:variant>
      <vt:variant>
        <vt:i4>86</vt:i4>
      </vt:variant>
      <vt:variant>
        <vt:i4>0</vt:i4>
      </vt:variant>
      <vt:variant>
        <vt:i4>5</vt:i4>
      </vt:variant>
      <vt:variant>
        <vt:lpwstr/>
      </vt:variant>
      <vt:variant>
        <vt:lpwstr>_Toc6490174</vt:lpwstr>
      </vt:variant>
      <vt:variant>
        <vt:i4>2359310</vt:i4>
      </vt:variant>
      <vt:variant>
        <vt:i4>80</vt:i4>
      </vt:variant>
      <vt:variant>
        <vt:i4>0</vt:i4>
      </vt:variant>
      <vt:variant>
        <vt:i4>5</vt:i4>
      </vt:variant>
      <vt:variant>
        <vt:lpwstr/>
      </vt:variant>
      <vt:variant>
        <vt:lpwstr>_Toc6490173</vt:lpwstr>
      </vt:variant>
      <vt:variant>
        <vt:i4>2359310</vt:i4>
      </vt:variant>
      <vt:variant>
        <vt:i4>74</vt:i4>
      </vt:variant>
      <vt:variant>
        <vt:i4>0</vt:i4>
      </vt:variant>
      <vt:variant>
        <vt:i4>5</vt:i4>
      </vt:variant>
      <vt:variant>
        <vt:lpwstr/>
      </vt:variant>
      <vt:variant>
        <vt:lpwstr>_Toc6490172</vt:lpwstr>
      </vt:variant>
      <vt:variant>
        <vt:i4>2359310</vt:i4>
      </vt:variant>
      <vt:variant>
        <vt:i4>68</vt:i4>
      </vt:variant>
      <vt:variant>
        <vt:i4>0</vt:i4>
      </vt:variant>
      <vt:variant>
        <vt:i4>5</vt:i4>
      </vt:variant>
      <vt:variant>
        <vt:lpwstr/>
      </vt:variant>
      <vt:variant>
        <vt:lpwstr>_Toc6490171</vt:lpwstr>
      </vt:variant>
      <vt:variant>
        <vt:i4>2359310</vt:i4>
      </vt:variant>
      <vt:variant>
        <vt:i4>62</vt:i4>
      </vt:variant>
      <vt:variant>
        <vt:i4>0</vt:i4>
      </vt:variant>
      <vt:variant>
        <vt:i4>5</vt:i4>
      </vt:variant>
      <vt:variant>
        <vt:lpwstr/>
      </vt:variant>
      <vt:variant>
        <vt:lpwstr>_Toc6490170</vt:lpwstr>
      </vt:variant>
      <vt:variant>
        <vt:i4>2424846</vt:i4>
      </vt:variant>
      <vt:variant>
        <vt:i4>56</vt:i4>
      </vt:variant>
      <vt:variant>
        <vt:i4>0</vt:i4>
      </vt:variant>
      <vt:variant>
        <vt:i4>5</vt:i4>
      </vt:variant>
      <vt:variant>
        <vt:lpwstr/>
      </vt:variant>
      <vt:variant>
        <vt:lpwstr>_Toc6490169</vt:lpwstr>
      </vt:variant>
      <vt:variant>
        <vt:i4>2424846</vt:i4>
      </vt:variant>
      <vt:variant>
        <vt:i4>50</vt:i4>
      </vt:variant>
      <vt:variant>
        <vt:i4>0</vt:i4>
      </vt:variant>
      <vt:variant>
        <vt:i4>5</vt:i4>
      </vt:variant>
      <vt:variant>
        <vt:lpwstr/>
      </vt:variant>
      <vt:variant>
        <vt:lpwstr>_Toc6490168</vt:lpwstr>
      </vt:variant>
      <vt:variant>
        <vt:i4>2424846</vt:i4>
      </vt:variant>
      <vt:variant>
        <vt:i4>44</vt:i4>
      </vt:variant>
      <vt:variant>
        <vt:i4>0</vt:i4>
      </vt:variant>
      <vt:variant>
        <vt:i4>5</vt:i4>
      </vt:variant>
      <vt:variant>
        <vt:lpwstr/>
      </vt:variant>
      <vt:variant>
        <vt:lpwstr>_Toc6490167</vt:lpwstr>
      </vt:variant>
      <vt:variant>
        <vt:i4>2424846</vt:i4>
      </vt:variant>
      <vt:variant>
        <vt:i4>38</vt:i4>
      </vt:variant>
      <vt:variant>
        <vt:i4>0</vt:i4>
      </vt:variant>
      <vt:variant>
        <vt:i4>5</vt:i4>
      </vt:variant>
      <vt:variant>
        <vt:lpwstr/>
      </vt:variant>
      <vt:variant>
        <vt:lpwstr>_Toc6490166</vt:lpwstr>
      </vt:variant>
      <vt:variant>
        <vt:i4>2424846</vt:i4>
      </vt:variant>
      <vt:variant>
        <vt:i4>32</vt:i4>
      </vt:variant>
      <vt:variant>
        <vt:i4>0</vt:i4>
      </vt:variant>
      <vt:variant>
        <vt:i4>5</vt:i4>
      </vt:variant>
      <vt:variant>
        <vt:lpwstr/>
      </vt:variant>
      <vt:variant>
        <vt:lpwstr>_Toc6490165</vt:lpwstr>
      </vt:variant>
      <vt:variant>
        <vt:i4>2424846</vt:i4>
      </vt:variant>
      <vt:variant>
        <vt:i4>26</vt:i4>
      </vt:variant>
      <vt:variant>
        <vt:i4>0</vt:i4>
      </vt:variant>
      <vt:variant>
        <vt:i4>5</vt:i4>
      </vt:variant>
      <vt:variant>
        <vt:lpwstr/>
      </vt:variant>
      <vt:variant>
        <vt:lpwstr>_Toc6490164</vt:lpwstr>
      </vt:variant>
      <vt:variant>
        <vt:i4>2424846</vt:i4>
      </vt:variant>
      <vt:variant>
        <vt:i4>20</vt:i4>
      </vt:variant>
      <vt:variant>
        <vt:i4>0</vt:i4>
      </vt:variant>
      <vt:variant>
        <vt:i4>5</vt:i4>
      </vt:variant>
      <vt:variant>
        <vt:lpwstr/>
      </vt:variant>
      <vt:variant>
        <vt:lpwstr>_Toc6490163</vt:lpwstr>
      </vt:variant>
      <vt:variant>
        <vt:i4>2424846</vt:i4>
      </vt:variant>
      <vt:variant>
        <vt:i4>14</vt:i4>
      </vt:variant>
      <vt:variant>
        <vt:i4>0</vt:i4>
      </vt:variant>
      <vt:variant>
        <vt:i4>5</vt:i4>
      </vt:variant>
      <vt:variant>
        <vt:lpwstr/>
      </vt:variant>
      <vt:variant>
        <vt:lpwstr>_Toc6490160</vt:lpwstr>
      </vt:variant>
      <vt:variant>
        <vt:i4>2490382</vt:i4>
      </vt:variant>
      <vt:variant>
        <vt:i4>8</vt:i4>
      </vt:variant>
      <vt:variant>
        <vt:i4>0</vt:i4>
      </vt:variant>
      <vt:variant>
        <vt:i4>5</vt:i4>
      </vt:variant>
      <vt:variant>
        <vt:lpwstr/>
      </vt:variant>
      <vt:variant>
        <vt:lpwstr>_Toc6490159</vt:lpwstr>
      </vt:variant>
      <vt:variant>
        <vt:i4>2490382</vt:i4>
      </vt:variant>
      <vt:variant>
        <vt:i4>2</vt:i4>
      </vt:variant>
      <vt:variant>
        <vt:i4>0</vt:i4>
      </vt:variant>
      <vt:variant>
        <vt:i4>5</vt:i4>
      </vt:variant>
      <vt:variant>
        <vt:lpwstr/>
      </vt:variant>
      <vt:variant>
        <vt:lpwstr>_Toc6490158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Kent Hospitals Complaints Management Policy</dc:title>
  <dc:subject>1.1.	This document sets out the policy for managing complaints at East Kent Hospitals University NHS Foundation Trust (the Trust) and applies to all staff, volunteers, students, contractors, locums and those on honorary contracts.</dc:subject>
  <dc:creator>Melinda Brewer</dc:creator>
  <cp:keywords/>
  <cp:lastModifiedBy>Hollie Godwin</cp:lastModifiedBy>
  <cp:revision>3</cp:revision>
  <dcterms:created xsi:type="dcterms:W3CDTF">2025-08-21T17:06:00Z</dcterms:created>
  <dcterms:modified xsi:type="dcterms:W3CDTF">2025-11-20T10:38:00Z</dcterms:modified>
</cp:coreProperties>
</file>